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265" w:rsidRPr="007D3265" w:rsidRDefault="007D3265" w:rsidP="007D3265">
      <w:pPr>
        <w:widowControl/>
        <w:jc w:val="center"/>
        <w:outlineLvl w:val="1"/>
        <w:rPr>
          <w:rFonts w:ascii="宋体" w:eastAsia="宋体" w:hAnsi="宋体" w:cs="宋体"/>
          <w:b/>
          <w:bCs/>
          <w:color w:val="666666"/>
          <w:kern w:val="36"/>
          <w:sz w:val="30"/>
          <w:szCs w:val="30"/>
        </w:rPr>
      </w:pPr>
      <w:r w:rsidRPr="007D3265">
        <w:rPr>
          <w:rFonts w:ascii="宋体" w:eastAsia="宋体" w:hAnsi="宋体" w:cs="宋体" w:hint="eastAsia"/>
          <w:b/>
          <w:bCs/>
          <w:color w:val="666666"/>
          <w:kern w:val="36"/>
          <w:sz w:val="30"/>
          <w:szCs w:val="30"/>
        </w:rPr>
        <w:t>商业银行IT治理结构建设实践研究</w:t>
      </w:r>
    </w:p>
    <w:p w:rsidR="007D3265" w:rsidRPr="007D3265" w:rsidRDefault="007D3265" w:rsidP="007D3265">
      <w:pPr>
        <w:widowControl/>
        <w:spacing w:line="450" w:lineRule="atLeast"/>
        <w:jc w:val="center"/>
        <w:rPr>
          <w:rFonts w:ascii="宋体" w:eastAsia="宋体" w:hAnsi="宋体" w:cs="宋体" w:hint="eastAsia"/>
          <w:color w:val="666666"/>
          <w:kern w:val="0"/>
          <w:sz w:val="18"/>
          <w:szCs w:val="18"/>
        </w:rPr>
      </w:pPr>
      <w:r w:rsidRPr="007D3265">
        <w:rPr>
          <w:rFonts w:ascii="宋体" w:eastAsia="宋体" w:hAnsi="宋体" w:cs="宋体" w:hint="eastAsia"/>
          <w:color w:val="666666"/>
          <w:kern w:val="0"/>
          <w:sz w:val="18"/>
          <w:szCs w:val="18"/>
        </w:rPr>
        <w:t xml:space="preserve">孙建光，陈 燕 时间:2009年08月12日 </w:t>
      </w:r>
    </w:p>
    <w:p w:rsidR="007D3265" w:rsidRPr="007D3265" w:rsidRDefault="007D3265" w:rsidP="007D3265">
      <w:pPr>
        <w:widowControl/>
        <w:spacing w:line="225" w:lineRule="atLeast"/>
        <w:jc w:val="right"/>
        <w:rPr>
          <w:rFonts w:ascii="宋体" w:eastAsia="宋体" w:hAnsi="宋体" w:cs="宋体" w:hint="eastAsia"/>
          <w:color w:val="666666"/>
          <w:kern w:val="0"/>
          <w:sz w:val="18"/>
          <w:szCs w:val="18"/>
        </w:rPr>
      </w:pPr>
      <w:r w:rsidRPr="007D3265">
        <w:rPr>
          <w:rFonts w:ascii="宋体" w:eastAsia="宋体" w:hAnsi="宋体" w:cs="宋体" w:hint="eastAsia"/>
          <w:color w:val="666666"/>
          <w:kern w:val="0"/>
          <w:sz w:val="18"/>
          <w:szCs w:val="18"/>
        </w:rPr>
        <w:t xml:space="preserve">字 体: </w:t>
      </w:r>
      <w:hyperlink r:id="rId6" w:history="1">
        <w:r w:rsidRPr="007D3265">
          <w:rPr>
            <w:rFonts w:ascii="宋体" w:eastAsia="宋体" w:hAnsi="宋体" w:cs="宋体" w:hint="eastAsia"/>
            <w:color w:val="FFFFFF"/>
            <w:kern w:val="0"/>
            <w:sz w:val="18"/>
            <w:szCs w:val="18"/>
            <w:shd w:val="clear" w:color="auto" w:fill="216B8A"/>
          </w:rPr>
          <w:t>大</w:t>
        </w:r>
      </w:hyperlink>
      <w:r w:rsidRPr="007D3265">
        <w:rPr>
          <w:rFonts w:ascii="宋体" w:eastAsia="宋体" w:hAnsi="宋体" w:cs="宋体" w:hint="eastAsia"/>
          <w:color w:val="666666"/>
          <w:kern w:val="0"/>
          <w:sz w:val="18"/>
          <w:szCs w:val="18"/>
        </w:rPr>
        <w:t xml:space="preserve"> </w:t>
      </w:r>
      <w:hyperlink r:id="rId7" w:history="1">
        <w:r w:rsidRPr="007D3265">
          <w:rPr>
            <w:rFonts w:ascii="宋体" w:eastAsia="宋体" w:hAnsi="宋体" w:cs="宋体" w:hint="eastAsia"/>
            <w:color w:val="FFFFFF"/>
            <w:kern w:val="0"/>
            <w:sz w:val="18"/>
            <w:szCs w:val="18"/>
            <w:shd w:val="clear" w:color="auto" w:fill="216B8A"/>
          </w:rPr>
          <w:t>中</w:t>
        </w:r>
      </w:hyperlink>
      <w:r w:rsidRPr="007D3265">
        <w:rPr>
          <w:rFonts w:ascii="宋体" w:eastAsia="宋体" w:hAnsi="宋体" w:cs="宋体" w:hint="eastAsia"/>
          <w:color w:val="666666"/>
          <w:kern w:val="0"/>
          <w:sz w:val="18"/>
          <w:szCs w:val="18"/>
        </w:rPr>
        <w:t xml:space="preserve"> </w:t>
      </w:r>
      <w:hyperlink r:id="rId8" w:history="1">
        <w:r w:rsidRPr="007D3265">
          <w:rPr>
            <w:rFonts w:ascii="宋体" w:eastAsia="宋体" w:hAnsi="宋体" w:cs="宋体" w:hint="eastAsia"/>
            <w:color w:val="FFFFFF"/>
            <w:kern w:val="0"/>
            <w:sz w:val="18"/>
            <w:szCs w:val="18"/>
            <w:shd w:val="clear" w:color="auto" w:fill="216B8A"/>
          </w:rPr>
          <w:t>小</w:t>
        </w:r>
      </w:hyperlink>
    </w:p>
    <w:p w:rsidR="007D3265" w:rsidRPr="007D3265" w:rsidRDefault="007D3265" w:rsidP="007D3265">
      <w:pPr>
        <w:widowControl/>
        <w:shd w:val="clear" w:color="auto" w:fill="F4F4F2"/>
        <w:spacing w:line="375" w:lineRule="atLeast"/>
        <w:jc w:val="left"/>
        <w:rPr>
          <w:rFonts w:ascii="宋体" w:eastAsia="宋体" w:hAnsi="宋体" w:cs="宋体" w:hint="eastAsia"/>
          <w:b/>
          <w:bCs/>
          <w:color w:val="666666"/>
          <w:kern w:val="0"/>
          <w:sz w:val="18"/>
          <w:szCs w:val="18"/>
        </w:rPr>
      </w:pPr>
      <w:r w:rsidRPr="007D3265">
        <w:rPr>
          <w:rFonts w:ascii="宋体" w:eastAsia="宋体" w:hAnsi="宋体" w:cs="宋体" w:hint="eastAsia"/>
          <w:b/>
          <w:bCs/>
          <w:color w:val="666666"/>
          <w:kern w:val="0"/>
          <w:sz w:val="18"/>
          <w:szCs w:val="18"/>
        </w:rPr>
        <w:t>关键词:</w:t>
      </w:r>
      <w:hyperlink r:id="rId9" w:tgtFrame="_blank" w:history="1">
        <w:r w:rsidRPr="007D3265">
          <w:rPr>
            <w:rFonts w:ascii="宋体" w:eastAsia="宋体" w:hAnsi="宋体" w:cs="宋体" w:hint="eastAsia"/>
            <w:b/>
            <w:bCs/>
            <w:color w:val="336699"/>
            <w:kern w:val="0"/>
            <w:sz w:val="18"/>
            <w:szCs w:val="18"/>
          </w:rPr>
          <w:t>我国</w:t>
        </w:r>
      </w:hyperlink>
      <w:hyperlink r:id="rId10" w:tgtFrame="_blank" w:history="1">
        <w:r w:rsidRPr="007D3265">
          <w:rPr>
            <w:rFonts w:ascii="宋体" w:eastAsia="宋体" w:hAnsi="宋体" w:cs="宋体" w:hint="eastAsia"/>
            <w:b/>
            <w:bCs/>
            <w:color w:val="336699"/>
            <w:kern w:val="0"/>
            <w:sz w:val="18"/>
            <w:szCs w:val="18"/>
          </w:rPr>
          <w:t>信息安全管理</w:t>
        </w:r>
      </w:hyperlink>
      <w:hyperlink r:id="rId11" w:tgtFrame="_blank" w:history="1">
        <w:r w:rsidRPr="007D3265">
          <w:rPr>
            <w:rFonts w:ascii="宋体" w:eastAsia="宋体" w:hAnsi="宋体" w:cs="宋体" w:hint="eastAsia"/>
            <w:b/>
            <w:bCs/>
            <w:color w:val="336699"/>
            <w:kern w:val="0"/>
            <w:sz w:val="18"/>
            <w:szCs w:val="18"/>
          </w:rPr>
          <w:t>信息安全</w:t>
        </w:r>
      </w:hyperlink>
      <w:hyperlink r:id="rId12" w:tgtFrame="_blank" w:history="1">
        <w:r w:rsidRPr="007D3265">
          <w:rPr>
            <w:rFonts w:ascii="宋体" w:eastAsia="宋体" w:hAnsi="宋体" w:cs="宋体" w:hint="eastAsia"/>
            <w:b/>
            <w:bCs/>
            <w:color w:val="336699"/>
            <w:kern w:val="0"/>
            <w:sz w:val="18"/>
            <w:szCs w:val="18"/>
          </w:rPr>
          <w:t>信息技术</w:t>
        </w:r>
      </w:hyperlink>
      <w:hyperlink r:id="rId13" w:tgtFrame="_blank" w:history="1">
        <w:r w:rsidRPr="007D3265">
          <w:rPr>
            <w:rFonts w:ascii="宋体" w:eastAsia="宋体" w:hAnsi="宋体" w:cs="宋体" w:hint="eastAsia"/>
            <w:b/>
            <w:bCs/>
            <w:color w:val="336699"/>
            <w:kern w:val="0"/>
            <w:sz w:val="18"/>
            <w:szCs w:val="18"/>
          </w:rPr>
          <w:t>面的</w:t>
        </w:r>
      </w:hyperlink>
    </w:p>
    <w:p w:rsidR="007D3265" w:rsidRPr="007D3265" w:rsidRDefault="007D3265" w:rsidP="007D3265">
      <w:pPr>
        <w:widowControl/>
        <w:spacing w:before="100" w:beforeAutospacing="1" w:after="100" w:afterAutospacing="1" w:line="330" w:lineRule="atLeast"/>
        <w:jc w:val="left"/>
        <w:rPr>
          <w:rFonts w:ascii="宋体" w:eastAsia="宋体" w:hAnsi="宋体" w:cs="宋体" w:hint="eastAsia"/>
          <w:color w:val="666666"/>
          <w:kern w:val="0"/>
          <w:sz w:val="18"/>
          <w:szCs w:val="18"/>
        </w:rPr>
      </w:pPr>
      <w:r w:rsidRPr="007D3265">
        <w:rPr>
          <w:rFonts w:ascii="宋体" w:eastAsia="宋体" w:hAnsi="宋体" w:cs="宋体" w:hint="eastAsia"/>
          <w:b/>
          <w:bCs/>
          <w:color w:val="666666"/>
          <w:kern w:val="0"/>
          <w:sz w:val="18"/>
        </w:rPr>
        <w:t>摘 要:</w:t>
      </w:r>
      <w:r w:rsidRPr="007D3265">
        <w:rPr>
          <w:rFonts w:ascii="宋体" w:eastAsia="宋体" w:hAnsi="宋体" w:cs="宋体" w:hint="eastAsia"/>
          <w:color w:val="666666"/>
          <w:kern w:val="0"/>
          <w:sz w:val="18"/>
          <w:szCs w:val="18"/>
        </w:rPr>
        <w:t>提出一种通过IT战略制定、CISR模型、COBIT实施、IT项目管理流程、CMM、ITIL和ISO27001等国际标准的融合运用来指导商业银行IT治理实施的新模式,该模式解决了中国商业银行现阶段关于IT治理实施研究所面临的模式混乱和范围不清等问题。</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关键词:</w:t>
      </w:r>
      <w:r w:rsidRPr="007D3265">
        <w:rPr>
          <w:rFonts w:ascii="宋体" w:eastAsia="宋体" w:hAnsi="宋体" w:cs="宋体" w:hint="eastAsia"/>
          <w:color w:val="666666"/>
          <w:kern w:val="0"/>
          <w:sz w:val="18"/>
          <w:szCs w:val="18"/>
        </w:rPr>
        <w:t>公司治理；IT治理；治理模型；</w:t>
      </w:r>
      <w:hyperlink r:id="rId14" w:tooltip="信息技术" w:history="1">
        <w:r w:rsidRPr="007D3265">
          <w:rPr>
            <w:rFonts w:ascii="宋体" w:eastAsia="宋体" w:hAnsi="宋体" w:cs="宋体" w:hint="eastAsia"/>
            <w:color w:val="336699"/>
            <w:kern w:val="0"/>
            <w:sz w:val="18"/>
          </w:rPr>
          <w:t>信息技术</w:t>
        </w:r>
      </w:hyperlink>
      <w:r w:rsidRPr="007D3265">
        <w:rPr>
          <w:rFonts w:ascii="宋体" w:eastAsia="宋体" w:hAnsi="宋体" w:cs="宋体" w:hint="eastAsia"/>
          <w:color w:val="666666"/>
          <w:kern w:val="0"/>
          <w:sz w:val="18"/>
          <w:szCs w:val="18"/>
        </w:rPr>
        <w:t>发展战略； IT标准</w:t>
      </w:r>
    </w:p>
    <w:p w:rsidR="007D3265" w:rsidRPr="007D3265" w:rsidRDefault="007D3265" w:rsidP="007D3265">
      <w:pPr>
        <w:widowControl/>
        <w:spacing w:before="100" w:beforeAutospacing="1" w:after="100" w:afterAutospacing="1" w:line="330" w:lineRule="atLeast"/>
        <w:jc w:val="left"/>
        <w:rPr>
          <w:rFonts w:ascii="宋体" w:eastAsia="宋体" w:hAnsi="宋体" w:cs="宋体" w:hint="eastAsia"/>
          <w:color w:val="666666"/>
          <w:kern w:val="0"/>
          <w:sz w:val="18"/>
          <w:szCs w:val="18"/>
        </w:rPr>
      </w:pPr>
      <w:r w:rsidRPr="007D3265">
        <w:rPr>
          <w:rFonts w:ascii="宋体" w:eastAsia="宋体" w:hAnsi="宋体" w:cs="宋体" w:hint="eastAsia"/>
          <w:color w:val="666666"/>
          <w:kern w:val="0"/>
          <w:sz w:val="18"/>
          <w:szCs w:val="18"/>
        </w:rPr>
        <w:t>构建社会主义和谐社会，是目前从全面建设小康社会、开创中国特色社会主义事业新局</w:t>
      </w:r>
      <w:hyperlink r:id="rId15" w:tooltip="面的" w:history="1">
        <w:r w:rsidRPr="007D3265">
          <w:rPr>
            <w:rFonts w:ascii="宋体" w:eastAsia="宋体" w:hAnsi="宋体" w:cs="宋体" w:hint="eastAsia"/>
            <w:color w:val="336699"/>
            <w:kern w:val="0"/>
            <w:sz w:val="18"/>
          </w:rPr>
          <w:t>面的</w:t>
        </w:r>
      </w:hyperlink>
      <w:r w:rsidRPr="007D3265">
        <w:rPr>
          <w:rFonts w:ascii="宋体" w:eastAsia="宋体" w:hAnsi="宋体" w:cs="宋体" w:hint="eastAsia"/>
          <w:color w:val="666666"/>
          <w:kern w:val="0"/>
          <w:sz w:val="18"/>
          <w:szCs w:val="18"/>
        </w:rPr>
        <w:t>全局出发，提出的一项重大任务，而银行业更因其特殊功能而成为构建和谐社会的关键角色，负有历史使命。为了在现有国际金融危机下更好地发展中国银行业，中国银监会提出“以存款为基础，以风险管理立行，以金融服务兴行”的理念，公司治理在国际金融危机这个大环境下再次被提出并需给予足够重视。 IT治理是公司治理的重要组成部分，良好的IT 治理能提高公司治理的水平, 商业银行IT治理在协助商业银行企业朝良性的整体运营发展方面发挥着重要作用, 同时也帮助提高银行的信息管理水平、加强公司治理环节的信息披露和内部控制，为股东和客户提供更多信息等方面来提高公司整体治理水平。</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1 IT治理的国内、国际研究与发展情况</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国际信息系统审计与控制协会(ISACA)认为，IT 治理是一个内涵丰富的术语,包括信息系统、技术及连通性、商业活动、法律相关事宜以及所有利益相关者-公司董事、高级管理人员、业务流程的执行者、IT 供应商、IT 的使用者以及审计人员等。为推动IT 治理的理论与实践,ISACA 于1998 年成立了IT治理协会(ITGI),强调IT 治理是董事会和高级管理层的责任,是企业治理的一部分。</w:t>
      </w:r>
      <w:r w:rsidRPr="007D3265">
        <w:rPr>
          <w:rFonts w:ascii="宋体" w:eastAsia="宋体" w:hAnsi="宋体" w:cs="宋体" w:hint="eastAsia"/>
          <w:color w:val="666666"/>
          <w:kern w:val="0"/>
          <w:sz w:val="18"/>
          <w:szCs w:val="18"/>
        </w:rPr>
        <w:br/>
        <w:t>Patel认为应该将产品和服务质量包含进来，IT治理能提高组织的IT投资回报，像COBIT和ITIL这些IT治理框架在国际范围内被广泛接受并可帮助实现这些利益。WESSELS E和VAN L J提出公司董事会成员、高级管理人员和IT管理人员希望通过采用IT治理来保证企业的效率、降低成本并提高对IT环境的控制</w:t>
      </w:r>
      <w:r w:rsidRPr="007D3265">
        <w:rPr>
          <w:rFonts w:ascii="宋体" w:eastAsia="宋体" w:hAnsi="宋体" w:cs="宋体" w:hint="eastAsia"/>
          <w:color w:val="666666"/>
          <w:kern w:val="0"/>
          <w:sz w:val="18"/>
          <w:szCs w:val="18"/>
          <w:vertAlign w:val="superscript"/>
        </w:rPr>
        <w:t>[1]</w:t>
      </w:r>
      <w:r w:rsidRPr="007D3265">
        <w:rPr>
          <w:rFonts w:ascii="宋体" w:eastAsia="宋体" w:hAnsi="宋体" w:cs="宋体" w:hint="eastAsia"/>
          <w:color w:val="666666"/>
          <w:kern w:val="0"/>
          <w:sz w:val="18"/>
          <w:szCs w:val="18"/>
        </w:rPr>
        <w:t xml:space="preserve">。 </w:t>
      </w:r>
      <w:r w:rsidRPr="007D3265">
        <w:rPr>
          <w:rFonts w:ascii="宋体" w:eastAsia="宋体" w:hAnsi="宋体" w:cs="宋体" w:hint="eastAsia"/>
          <w:color w:val="666666"/>
          <w:kern w:val="0"/>
          <w:sz w:val="18"/>
          <w:szCs w:val="18"/>
        </w:rPr>
        <w:br/>
        <w:t>几年前IT治理的概念被引入到国内，在媒体、IT业及金融等IT应用水平较高的行业一度炒得很热，专家学者也在不断呼吁IT治理的重要性，但真正将IT治理实践到公司运营层面的案例在国内还不是很多，目前</w:t>
      </w:r>
      <w:hyperlink r:id="rId16" w:tooltip="我国" w:history="1">
        <w:r w:rsidRPr="007D3265">
          <w:rPr>
            <w:rFonts w:ascii="宋体" w:eastAsia="宋体" w:hAnsi="宋体" w:cs="宋体" w:hint="eastAsia"/>
            <w:color w:val="336699"/>
            <w:kern w:val="0"/>
            <w:sz w:val="18"/>
          </w:rPr>
          <w:t>我国</w:t>
        </w:r>
      </w:hyperlink>
      <w:r w:rsidRPr="007D3265">
        <w:rPr>
          <w:rFonts w:ascii="宋体" w:eastAsia="宋体" w:hAnsi="宋体" w:cs="宋体" w:hint="eastAsia"/>
          <w:color w:val="666666"/>
          <w:kern w:val="0"/>
          <w:sz w:val="18"/>
          <w:szCs w:val="18"/>
        </w:rPr>
        <w:t>的IT治理仍处于起步阶段。</w:t>
      </w:r>
      <w:r w:rsidRPr="007D3265">
        <w:rPr>
          <w:rFonts w:ascii="宋体" w:eastAsia="宋体" w:hAnsi="宋体" w:cs="宋体" w:hint="eastAsia"/>
          <w:color w:val="666666"/>
          <w:kern w:val="0"/>
          <w:sz w:val="18"/>
          <w:szCs w:val="18"/>
        </w:rPr>
        <w:br/>
        <w:t>根据IT治理协会（ITGI）2006年发布的《2006年全球IT治理调查报告》，通信和金融服务行业明显比零售和制造业等行业要好，COBIT 的认知度在逐渐增加。据中国IT治理论坛的数据表明国内企业IT治理的有效性能达到60%的企业比例仍然很低，约为15%左右，目前绝大多数企业的IT治理的有效性在30%～60%。</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2 我国商业银行IT治理现状</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目前，我国的商业银行可简单分为3大类，分别为国有大型商业银行、中资背景中小商业银行和外商独资商业银行。</w:t>
      </w:r>
      <w:r w:rsidRPr="007D3265">
        <w:rPr>
          <w:rFonts w:ascii="宋体" w:eastAsia="宋体" w:hAnsi="宋体" w:cs="宋体" w:hint="eastAsia"/>
          <w:color w:val="666666"/>
          <w:kern w:val="0"/>
          <w:sz w:val="18"/>
          <w:szCs w:val="18"/>
        </w:rPr>
        <w:br/>
        <w:t>根据调查,目前外资商业银行在IT治理方面一般是参照其母行的公司治理及IT治理模式并结合自身情况进行定制和调优</w:t>
      </w:r>
      <w:r w:rsidRPr="007D3265">
        <w:rPr>
          <w:rFonts w:ascii="宋体" w:eastAsia="宋体" w:hAnsi="宋体" w:cs="宋体" w:hint="eastAsia"/>
          <w:color w:val="666666"/>
          <w:kern w:val="0"/>
          <w:sz w:val="18"/>
          <w:szCs w:val="18"/>
          <w:vertAlign w:val="superscript"/>
        </w:rPr>
        <w:t>[2]</w:t>
      </w:r>
      <w:r w:rsidRPr="007D3265">
        <w:rPr>
          <w:rFonts w:ascii="宋体" w:eastAsia="宋体" w:hAnsi="宋体" w:cs="宋体" w:hint="eastAsia"/>
          <w:color w:val="666666"/>
          <w:kern w:val="0"/>
          <w:sz w:val="18"/>
          <w:szCs w:val="18"/>
        </w:rPr>
        <w:t>，一般情况下是符合国际通用的IT治理模式，与其公司治理一起构成一个相对完善和协调的整体，利用其在公司治理和IT治理方面的理念和实践经验并结合公司自身的发展和认知摸索出一条相对可行的IT治理实施方案。简单归结为如下的IT治理路线图：</w:t>
      </w:r>
      <w:r w:rsidRPr="007D3265">
        <w:rPr>
          <w:rFonts w:ascii="宋体" w:eastAsia="宋体" w:hAnsi="宋体" w:cs="宋体" w:hint="eastAsia"/>
          <w:color w:val="666666"/>
          <w:kern w:val="0"/>
          <w:sz w:val="18"/>
          <w:szCs w:val="18"/>
        </w:rPr>
        <w:br/>
        <w:t>（1）识别企业业务模式 ；</w:t>
      </w:r>
      <w:r w:rsidRPr="007D3265">
        <w:rPr>
          <w:rFonts w:ascii="宋体" w:eastAsia="宋体" w:hAnsi="宋体" w:cs="宋体" w:hint="eastAsia"/>
          <w:color w:val="666666"/>
          <w:kern w:val="0"/>
          <w:sz w:val="18"/>
          <w:szCs w:val="18"/>
        </w:rPr>
        <w:br/>
        <w:t xml:space="preserve">（2）分析现有IT治理状况； </w:t>
      </w:r>
      <w:r w:rsidRPr="007D3265">
        <w:rPr>
          <w:rFonts w:ascii="宋体" w:eastAsia="宋体" w:hAnsi="宋体" w:cs="宋体" w:hint="eastAsia"/>
          <w:color w:val="666666"/>
          <w:kern w:val="0"/>
          <w:sz w:val="18"/>
          <w:szCs w:val="18"/>
        </w:rPr>
        <w:br/>
        <w:t>（3）制定IT治理规划及实施计划 ；</w:t>
      </w:r>
      <w:r w:rsidRPr="007D3265">
        <w:rPr>
          <w:rFonts w:ascii="宋体" w:eastAsia="宋体" w:hAnsi="宋体" w:cs="宋体" w:hint="eastAsia"/>
          <w:color w:val="666666"/>
          <w:kern w:val="0"/>
          <w:sz w:val="18"/>
          <w:szCs w:val="18"/>
        </w:rPr>
        <w:br/>
      </w:r>
      <w:r w:rsidRPr="007D3265">
        <w:rPr>
          <w:rFonts w:ascii="宋体" w:eastAsia="宋体" w:hAnsi="宋体" w:cs="宋体" w:hint="eastAsia"/>
          <w:color w:val="666666"/>
          <w:kern w:val="0"/>
          <w:sz w:val="18"/>
          <w:szCs w:val="18"/>
        </w:rPr>
        <w:lastRenderedPageBreak/>
        <w:t>（4）实施改善计划；</w:t>
      </w:r>
      <w:r w:rsidRPr="007D3265">
        <w:rPr>
          <w:rFonts w:ascii="宋体" w:eastAsia="宋体" w:hAnsi="宋体" w:cs="宋体" w:hint="eastAsia"/>
          <w:color w:val="666666"/>
          <w:kern w:val="0"/>
          <w:sz w:val="18"/>
          <w:szCs w:val="18"/>
        </w:rPr>
        <w:br/>
        <w:t>（5）定期回顾并改善。</w:t>
      </w:r>
      <w:r w:rsidRPr="007D3265">
        <w:rPr>
          <w:rFonts w:ascii="宋体" w:eastAsia="宋体" w:hAnsi="宋体" w:cs="宋体" w:hint="eastAsia"/>
          <w:color w:val="666666"/>
          <w:kern w:val="0"/>
          <w:sz w:val="18"/>
          <w:szCs w:val="18"/>
        </w:rPr>
        <w:br/>
        <w:t>部分企业在实践中参考上述策略完成公司IT治理规划与实施模型、确定IT治理的决策范围和实施优先级，而具体的日常工作内容则通过CISR模型、COBIT、Prince2、CMM、ITIL和ISO27001等行业标准的融合运用来实施。</w:t>
      </w:r>
      <w:r w:rsidRPr="007D3265">
        <w:rPr>
          <w:rFonts w:ascii="宋体" w:eastAsia="宋体" w:hAnsi="宋体" w:cs="宋体" w:hint="eastAsia"/>
          <w:color w:val="666666"/>
          <w:kern w:val="0"/>
          <w:sz w:val="18"/>
          <w:szCs w:val="18"/>
        </w:rPr>
        <w:br/>
        <w:t>实施过程中发现，按照此种路线图来实施IT治理可以按部就班，结合公司发展状况，清楚地确定IT治理的实施范围，并且实施也会符合公司的业务、IT发展需求和整个行业的发展要求。</w:t>
      </w:r>
      <w:r w:rsidRPr="007D3265">
        <w:rPr>
          <w:rFonts w:ascii="宋体" w:eastAsia="宋体" w:hAnsi="宋体" w:cs="宋体" w:hint="eastAsia"/>
          <w:color w:val="666666"/>
          <w:kern w:val="0"/>
          <w:sz w:val="18"/>
          <w:szCs w:val="18"/>
        </w:rPr>
        <w:br/>
        <w:t>对于国有大型商业银行，以工商银行、中国银行等为代表的居于领导地位的银行经过股份制改造或境内外上市建立起了较好的IT治理结构。</w:t>
      </w:r>
      <w:r w:rsidRPr="007D3265">
        <w:rPr>
          <w:rFonts w:ascii="宋体" w:eastAsia="宋体" w:hAnsi="宋体" w:cs="宋体" w:hint="eastAsia"/>
          <w:color w:val="666666"/>
          <w:kern w:val="0"/>
          <w:sz w:val="18"/>
          <w:szCs w:val="18"/>
        </w:rPr>
        <w:br/>
        <w:t xml:space="preserve">但对于年轻的中资背景中小商业银行来说大多数IT治理仍处于起步阶段。由于行业的趋同性和国际化程度的提高，绝大多数的新兴中资银行开始采用ITIL和COBIT作为实施策略，但目前只是简单的导入，而非真正建立IT治理架构，同时对于除ITIL和COBIT之外的其他标准的导入还很少。本文将探讨借鉴国外和国内外资银行的先进经验进行我国商业银行的IT治理规划与实施模型，以提出一种适用于我国商业银行建立IT治理实施模式并清楚定义IT治理范围的新模式。 </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 商业银行IT治理实施模型与最佳实践</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在此，以某中型商业银行为例分析我国商业银行进行公司IT治理规划与其实施模型的建立方法，根据分析该行处于一个变化不快并以产品服务的差异化为竞争基础的商业环境，这就决定了消费者的需求、竞争格局、政府监管、技术及供应商等方面的变化都不是快速的，另一方面因为对产品服务差异化的要求又力求先于竞争对手提供新的业务和服务能力以此获得竞争优势</w:t>
      </w:r>
      <w:r w:rsidRPr="007D3265">
        <w:rPr>
          <w:rFonts w:ascii="宋体" w:eastAsia="宋体" w:hAnsi="宋体" w:cs="宋体" w:hint="eastAsia"/>
          <w:color w:val="666666"/>
          <w:kern w:val="0"/>
          <w:sz w:val="18"/>
          <w:szCs w:val="18"/>
          <w:vertAlign w:val="superscript"/>
        </w:rPr>
        <w:t>[3]</w:t>
      </w:r>
      <w:r w:rsidRPr="007D3265">
        <w:rPr>
          <w:rFonts w:ascii="宋体" w:eastAsia="宋体" w:hAnsi="宋体" w:cs="宋体" w:hint="eastAsia"/>
          <w:color w:val="666666"/>
          <w:kern w:val="0"/>
          <w:sz w:val="18"/>
          <w:szCs w:val="18"/>
        </w:rPr>
        <w:t>。期望利用信息技术来提高运营水平和决策能力，并开发新的产品和服务，以高投资回报率来抵消不断增长的IT支出</w:t>
      </w:r>
      <w:r w:rsidRPr="007D3265">
        <w:rPr>
          <w:rFonts w:ascii="宋体" w:eastAsia="宋体" w:hAnsi="宋体" w:cs="宋体" w:hint="eastAsia"/>
          <w:color w:val="666666"/>
          <w:kern w:val="0"/>
          <w:sz w:val="18"/>
          <w:szCs w:val="18"/>
          <w:vertAlign w:val="superscript"/>
        </w:rPr>
        <w:t>[4]</w:t>
      </w:r>
      <w:r w:rsidRPr="007D3265">
        <w:rPr>
          <w:rFonts w:ascii="宋体" w:eastAsia="宋体" w:hAnsi="宋体" w:cs="宋体" w:hint="eastAsia"/>
          <w:color w:val="666666"/>
          <w:kern w:val="0"/>
          <w:sz w:val="18"/>
          <w:szCs w:val="18"/>
        </w:rPr>
        <w:t>。</w:t>
      </w:r>
      <w:r w:rsidRPr="007D3265">
        <w:rPr>
          <w:rFonts w:ascii="宋体" w:eastAsia="宋体" w:hAnsi="宋体" w:cs="宋体" w:hint="eastAsia"/>
          <w:color w:val="666666"/>
          <w:kern w:val="0"/>
          <w:sz w:val="18"/>
          <w:szCs w:val="18"/>
        </w:rPr>
        <w:br/>
        <w:t>在此基础上该银行对公司IT治理做出了一个比较清晰的定位：IT治理作为公司治理的一部分，需要充分保证IT战略与公司战略的匹配及其执行，体现现有及未来信息技术与企业组织的战略集成；指导公司通过对业界标准和股东方最佳实践的实施合理配置并有效利用IT资源、加强信息风险控制和满足公司内控需求。</w:t>
      </w:r>
      <w:r w:rsidRPr="007D3265">
        <w:rPr>
          <w:rFonts w:ascii="宋体" w:eastAsia="宋体" w:hAnsi="宋体" w:cs="宋体" w:hint="eastAsia"/>
          <w:color w:val="666666"/>
          <w:kern w:val="0"/>
          <w:sz w:val="18"/>
          <w:szCs w:val="18"/>
        </w:rPr>
        <w:br/>
        <w:t>根据上述分析和定位并结合IT治理最佳实践，笔者提出适合我国商业银行的IT治理规划与实施模型如图1所示，通过IT战略制定、CISR模型、COBIT、IT项目管理流程、CMM、ITIL和ISO27000等标准的融合运用来指导公司IT治理和IT管理的工作。</w:t>
      </w:r>
    </w:p>
    <w:p w:rsidR="007D3265" w:rsidRPr="007D3265" w:rsidRDefault="007D3265" w:rsidP="007D3265">
      <w:pPr>
        <w:widowControl/>
        <w:spacing w:before="100" w:beforeAutospacing="1" w:after="100" w:afterAutospacing="1" w:line="330" w:lineRule="atLeast"/>
        <w:jc w:val="center"/>
        <w:rPr>
          <w:rFonts w:ascii="宋体" w:eastAsia="宋体" w:hAnsi="宋体" w:cs="宋体" w:hint="eastAsia"/>
          <w:color w:val="666666"/>
          <w:kern w:val="0"/>
          <w:sz w:val="18"/>
          <w:szCs w:val="18"/>
        </w:rPr>
      </w:pPr>
      <w:r>
        <w:rPr>
          <w:rFonts w:ascii="宋体" w:eastAsia="宋体" w:hAnsi="宋体" w:cs="宋体"/>
          <w:noProof/>
          <w:color w:val="666666"/>
          <w:kern w:val="0"/>
          <w:sz w:val="18"/>
          <w:szCs w:val="18"/>
        </w:rPr>
        <w:drawing>
          <wp:inline distT="0" distB="0" distL="0" distR="0">
            <wp:extent cx="3219450" cy="2562225"/>
            <wp:effectExtent l="19050" t="0" r="0" b="0"/>
            <wp:docPr id="1" name="图片 1" descr="http://files.chinaaet.com/old/uploadfiles/jishu/jslw/200908120248528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chinaaet.com/old/uploadfiles/jishu/jslw/20090812024852859.gif"/>
                    <pic:cNvPicPr>
                      <a:picLocks noChangeAspect="1" noChangeArrowheads="1"/>
                    </pic:cNvPicPr>
                  </pic:nvPicPr>
                  <pic:blipFill>
                    <a:blip r:embed="rId17" cstate="print"/>
                    <a:srcRect/>
                    <a:stretch>
                      <a:fillRect/>
                    </a:stretch>
                  </pic:blipFill>
                  <pic:spPr bwMode="auto">
                    <a:xfrm>
                      <a:off x="0" y="0"/>
                      <a:ext cx="3219450" cy="2562225"/>
                    </a:xfrm>
                    <a:prstGeom prst="rect">
                      <a:avLst/>
                    </a:prstGeom>
                    <a:noFill/>
                    <a:ln w="9525">
                      <a:noFill/>
                      <a:miter lim="800000"/>
                      <a:headEnd/>
                      <a:tailEnd/>
                    </a:ln>
                  </pic:spPr>
                </pic:pic>
              </a:graphicData>
            </a:graphic>
          </wp:inline>
        </w:drawing>
      </w:r>
    </w:p>
    <w:p w:rsidR="007D3265" w:rsidRPr="007D3265" w:rsidRDefault="007D3265" w:rsidP="007D3265">
      <w:pPr>
        <w:widowControl/>
        <w:spacing w:before="100" w:beforeAutospacing="1" w:after="100" w:afterAutospacing="1" w:line="330" w:lineRule="atLeast"/>
        <w:jc w:val="left"/>
        <w:rPr>
          <w:rFonts w:ascii="宋体" w:eastAsia="宋体" w:hAnsi="宋体" w:cs="宋体" w:hint="eastAsia"/>
          <w:color w:val="666666"/>
          <w:kern w:val="0"/>
          <w:sz w:val="18"/>
          <w:szCs w:val="18"/>
        </w:rPr>
      </w:pPr>
      <w:r w:rsidRPr="007D3265">
        <w:rPr>
          <w:rFonts w:ascii="宋体" w:eastAsia="宋体" w:hAnsi="宋体" w:cs="宋体" w:hint="eastAsia"/>
          <w:color w:val="666666"/>
          <w:kern w:val="0"/>
          <w:sz w:val="18"/>
          <w:szCs w:val="18"/>
        </w:rPr>
        <w:t>目前，业界通常认为CISR模型和COBIT为2大主要的IT治理模型，笔者研究认为这2种模型均不能涵盖决策权和合规遵从两大问题，CISR模型更多的是侧重决策权及决策制定过程，COBIT则停留在IT管理的一</w:t>
      </w:r>
      <w:r w:rsidRPr="007D3265">
        <w:rPr>
          <w:rFonts w:ascii="宋体" w:eastAsia="宋体" w:hAnsi="宋体" w:cs="宋体" w:hint="eastAsia"/>
          <w:color w:val="666666"/>
          <w:kern w:val="0"/>
          <w:sz w:val="18"/>
          <w:szCs w:val="18"/>
        </w:rPr>
        <w:lastRenderedPageBreak/>
        <w:t>些具体过程，根据经验和研究，建议将IT战略制定、CISR模型、COBIT、IT项目管理流程、CMM、ITIL和BS7799等标准的融合运用，力图通过标准化的方法论和实践将商业银行的IT治理和管理水平提升到一个新的高度。IT治理框架可能在各银行各不相同，但是他们基本的目标是一致的，即提高银行IT的效能，寻求IT资源的最大化。下面从实践的角度对上述模型进行阐述。</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3.1 商业银行CISR模型及IT治理的决策范围</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 xml:space="preserve">参照业界实践，银行IT治理的决策范围可由以下5个方面组成，分别为组织模式、投资、架构、标准、资源。 </w:t>
      </w:r>
      <w:r w:rsidRPr="007D3265">
        <w:rPr>
          <w:rFonts w:ascii="宋体" w:eastAsia="宋体" w:hAnsi="宋体" w:cs="宋体" w:hint="eastAsia"/>
          <w:color w:val="666666"/>
          <w:kern w:val="0"/>
          <w:sz w:val="18"/>
          <w:szCs w:val="18"/>
        </w:rPr>
        <w:br/>
        <w:t>（1）组织模式</w:t>
      </w:r>
      <w:r w:rsidRPr="007D3265">
        <w:rPr>
          <w:rFonts w:ascii="宋体" w:eastAsia="宋体" w:hAnsi="宋体" w:cs="宋体" w:hint="eastAsia"/>
          <w:color w:val="666666"/>
          <w:kern w:val="0"/>
          <w:sz w:val="18"/>
          <w:szCs w:val="18"/>
        </w:rPr>
        <w:br/>
        <w:t xml:space="preserve">根据对公司业务模式的分析，IT治理的组织模式通常可采取集权模式、分权模式或集权与分权混合的模式，不同模式下IT对于预算和IT决策负有相应的责任，对于采用分权模式或混合模式的公司通常设有一个虚拟的集权部门IT指导委员会来对公司IT行为进行重要决策。 </w:t>
      </w:r>
      <w:r w:rsidRPr="007D3265">
        <w:rPr>
          <w:rFonts w:ascii="宋体" w:eastAsia="宋体" w:hAnsi="宋体" w:cs="宋体" w:hint="eastAsia"/>
          <w:color w:val="666666"/>
          <w:kern w:val="0"/>
          <w:sz w:val="18"/>
          <w:szCs w:val="18"/>
        </w:rPr>
        <w:br/>
        <w:t>（2）投资</w:t>
      </w:r>
      <w:r w:rsidRPr="007D3265">
        <w:rPr>
          <w:rFonts w:ascii="宋体" w:eastAsia="宋体" w:hAnsi="宋体" w:cs="宋体" w:hint="eastAsia"/>
          <w:color w:val="666666"/>
          <w:kern w:val="0"/>
          <w:sz w:val="18"/>
          <w:szCs w:val="18"/>
        </w:rPr>
        <w:br/>
        <w:t xml:space="preserve">针对IT战略和使命，IT投资应主要集中在支持现有业务运行、优先发展新业务以及进行IT安全和风险管控活动；按照公司要求和业界最佳实践，整体IT运营费用占公司全部运行费用的比例一般会设定一个经验值，以衡量公司IT投资是否在一个正常状态。 </w:t>
      </w:r>
      <w:r w:rsidRPr="007D3265">
        <w:rPr>
          <w:rFonts w:ascii="宋体" w:eastAsia="宋体" w:hAnsi="宋体" w:cs="宋体" w:hint="eastAsia"/>
          <w:color w:val="666666"/>
          <w:kern w:val="0"/>
          <w:sz w:val="18"/>
          <w:szCs w:val="18"/>
        </w:rPr>
        <w:br/>
        <w:t>（3）架构</w:t>
      </w:r>
      <w:r w:rsidRPr="007D3265">
        <w:rPr>
          <w:rFonts w:ascii="宋体" w:eastAsia="宋体" w:hAnsi="宋体" w:cs="宋体" w:hint="eastAsia"/>
          <w:color w:val="666666"/>
          <w:kern w:val="0"/>
          <w:sz w:val="18"/>
          <w:szCs w:val="18"/>
        </w:rPr>
        <w:br/>
        <w:t>根据商业银行现实情况及其行业特点，一般认为稳定性与灵活性都很重要。结合各公司情况实践，建议选择一种可适应的IT架构作为公司的参考架构模型，根据此模型及其规则，制定出商业银行相应的解决方案架构、业务架构、系统架构和技术架构，通过这些架构指导银行的IT行为。</w:t>
      </w:r>
      <w:r w:rsidRPr="007D3265">
        <w:rPr>
          <w:rFonts w:ascii="宋体" w:eastAsia="宋体" w:hAnsi="宋体" w:cs="宋体" w:hint="eastAsia"/>
          <w:color w:val="666666"/>
          <w:kern w:val="0"/>
          <w:sz w:val="18"/>
          <w:szCs w:val="18"/>
        </w:rPr>
        <w:br/>
        <w:t>（4）标准</w:t>
      </w:r>
      <w:r w:rsidRPr="007D3265">
        <w:rPr>
          <w:rFonts w:ascii="宋体" w:eastAsia="宋体" w:hAnsi="宋体" w:cs="宋体" w:hint="eastAsia"/>
          <w:color w:val="666666"/>
          <w:kern w:val="0"/>
          <w:sz w:val="18"/>
          <w:szCs w:val="18"/>
        </w:rPr>
        <w:br/>
        <w:t>商业银行希望在整体上加强其IT架构，遵从行业技术和运营的标准化，但是在有正常的业务需求下可以有所背离。目前商业银行一般开始实施的标准包括ITIL、COBIT、ISO27000、Prince2/PMP、CMM、银行业业务模型等。</w:t>
      </w:r>
      <w:r w:rsidRPr="007D3265">
        <w:rPr>
          <w:rFonts w:ascii="宋体" w:eastAsia="宋体" w:hAnsi="宋体" w:cs="宋体" w:hint="eastAsia"/>
          <w:color w:val="666666"/>
          <w:kern w:val="0"/>
          <w:sz w:val="18"/>
          <w:szCs w:val="18"/>
        </w:rPr>
        <w:br/>
        <w:t>（5）资源</w:t>
      </w:r>
      <w:r w:rsidRPr="007D3265">
        <w:rPr>
          <w:rFonts w:ascii="宋体" w:eastAsia="宋体" w:hAnsi="宋体" w:cs="宋体" w:hint="eastAsia"/>
          <w:color w:val="666666"/>
          <w:kern w:val="0"/>
          <w:sz w:val="18"/>
          <w:szCs w:val="18"/>
        </w:rPr>
        <w:br/>
        <w:t>在资源方面，商业银行可综合利用银行内外部资源的组合，结合相应的专业外部顾问服务，同时公司需要注重IT治理方面人力资源的培养。</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3.2 商业银行COBIT实践</w:t>
      </w:r>
      <w:r w:rsidRPr="007D3265">
        <w:rPr>
          <w:rFonts w:ascii="宋体" w:eastAsia="宋体" w:hAnsi="宋体" w:cs="宋体" w:hint="eastAsia"/>
          <w:color w:val="666666"/>
          <w:kern w:val="0"/>
          <w:sz w:val="18"/>
          <w:szCs w:val="18"/>
        </w:rPr>
        <w:br/>
        <w:t>我国商业银行COBIT的实施相对较晚，现阶段商业银行主要集中在COBIT上层中对IT运行内部控制和内、外部审计，确保IT资源管理的安全性、可靠性和有效性，以期实现对IT持续不断的应用和改进</w:t>
      </w:r>
      <w:r w:rsidRPr="007D3265">
        <w:rPr>
          <w:rFonts w:ascii="宋体" w:eastAsia="宋体" w:hAnsi="宋体" w:cs="宋体" w:hint="eastAsia"/>
          <w:color w:val="666666"/>
          <w:kern w:val="0"/>
          <w:sz w:val="18"/>
          <w:szCs w:val="18"/>
          <w:vertAlign w:val="superscript"/>
        </w:rPr>
        <w:t>[5]</w:t>
      </w:r>
      <w:r w:rsidRPr="007D3265">
        <w:rPr>
          <w:rFonts w:ascii="宋体" w:eastAsia="宋体" w:hAnsi="宋体" w:cs="宋体" w:hint="eastAsia"/>
          <w:color w:val="666666"/>
          <w:kern w:val="0"/>
          <w:sz w:val="18"/>
          <w:szCs w:val="18"/>
        </w:rPr>
        <w:t>。</w:t>
      </w:r>
      <w:r w:rsidRPr="007D3265">
        <w:rPr>
          <w:rFonts w:ascii="宋体" w:eastAsia="宋体" w:hAnsi="宋体" w:cs="宋体" w:hint="eastAsia"/>
          <w:color w:val="666666"/>
          <w:kern w:val="0"/>
          <w:sz w:val="18"/>
          <w:szCs w:val="18"/>
        </w:rPr>
        <w:br/>
        <w:t>商业银行大多在实际工作中利用COBIT的一些常用工具如平衡记分卡等来帮助提高管理的水平。</w:t>
      </w:r>
      <w:r w:rsidRPr="007D3265">
        <w:rPr>
          <w:rFonts w:ascii="宋体" w:eastAsia="宋体" w:hAnsi="宋体" w:cs="宋体" w:hint="eastAsia"/>
          <w:color w:val="666666"/>
          <w:kern w:val="0"/>
          <w:sz w:val="18"/>
          <w:szCs w:val="18"/>
        </w:rPr>
        <w:br/>
        <w:t>部分外资银行开始结合COBIT模型制定多道风险如图2所示防线的治理模型</w:t>
      </w:r>
      <w:r w:rsidRPr="007D3265">
        <w:rPr>
          <w:rFonts w:ascii="宋体" w:eastAsia="宋体" w:hAnsi="宋体" w:cs="宋体" w:hint="eastAsia"/>
          <w:color w:val="666666"/>
          <w:kern w:val="0"/>
          <w:sz w:val="18"/>
          <w:szCs w:val="18"/>
          <w:vertAlign w:val="superscript"/>
        </w:rPr>
        <w:t>[6]</w:t>
      </w:r>
      <w:r w:rsidRPr="007D3265">
        <w:rPr>
          <w:rFonts w:ascii="宋体" w:eastAsia="宋体" w:hAnsi="宋体" w:cs="宋体" w:hint="eastAsia"/>
          <w:color w:val="666666"/>
          <w:kern w:val="0"/>
          <w:sz w:val="18"/>
          <w:szCs w:val="18"/>
        </w:rPr>
        <w:t>，综合利用一线用户/经理人员、信息风险管理/危机管理、内部审计和外部审计来对公司IT风险进行管理和防范。三道防线模型如图2所示。</w:t>
      </w:r>
    </w:p>
    <w:p w:rsidR="007D3265" w:rsidRPr="007D3265" w:rsidRDefault="007D3265" w:rsidP="007D3265">
      <w:pPr>
        <w:widowControl/>
        <w:spacing w:before="100" w:beforeAutospacing="1" w:after="100" w:afterAutospacing="1" w:line="330" w:lineRule="atLeast"/>
        <w:jc w:val="center"/>
        <w:rPr>
          <w:rFonts w:ascii="宋体" w:eastAsia="宋体" w:hAnsi="宋体" w:cs="宋体" w:hint="eastAsia"/>
          <w:color w:val="666666"/>
          <w:kern w:val="0"/>
          <w:sz w:val="18"/>
          <w:szCs w:val="18"/>
        </w:rPr>
      </w:pPr>
      <w:r>
        <w:rPr>
          <w:rFonts w:ascii="宋体" w:eastAsia="宋体" w:hAnsi="宋体" w:cs="宋体"/>
          <w:noProof/>
          <w:color w:val="666666"/>
          <w:kern w:val="0"/>
          <w:sz w:val="18"/>
          <w:szCs w:val="18"/>
        </w:rPr>
        <w:lastRenderedPageBreak/>
        <w:drawing>
          <wp:inline distT="0" distB="0" distL="0" distR="0">
            <wp:extent cx="3962400" cy="2819400"/>
            <wp:effectExtent l="19050" t="0" r="0" b="0"/>
            <wp:docPr id="2" name="图片 2" descr="http://files.chinaaet.com/old/uploadfiles/jishu/jslw/200908120250119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chinaaet.com/old/uploadfiles/jishu/jslw/20090812025011937.gif"/>
                    <pic:cNvPicPr>
                      <a:picLocks noChangeAspect="1" noChangeArrowheads="1"/>
                    </pic:cNvPicPr>
                  </pic:nvPicPr>
                  <pic:blipFill>
                    <a:blip r:embed="rId18" cstate="print"/>
                    <a:srcRect/>
                    <a:stretch>
                      <a:fillRect/>
                    </a:stretch>
                  </pic:blipFill>
                  <pic:spPr bwMode="auto">
                    <a:xfrm>
                      <a:off x="0" y="0"/>
                      <a:ext cx="3962400" cy="2819400"/>
                    </a:xfrm>
                    <a:prstGeom prst="rect">
                      <a:avLst/>
                    </a:prstGeom>
                    <a:noFill/>
                    <a:ln w="9525">
                      <a:noFill/>
                      <a:miter lim="800000"/>
                      <a:headEnd/>
                      <a:tailEnd/>
                    </a:ln>
                  </pic:spPr>
                </pic:pic>
              </a:graphicData>
            </a:graphic>
          </wp:inline>
        </w:drawing>
      </w:r>
    </w:p>
    <w:p w:rsidR="007D3265" w:rsidRPr="007D3265" w:rsidRDefault="007D3265" w:rsidP="007D3265">
      <w:pPr>
        <w:widowControl/>
        <w:spacing w:before="100" w:beforeAutospacing="1" w:after="100" w:afterAutospacing="1" w:line="330" w:lineRule="atLeast"/>
        <w:jc w:val="left"/>
        <w:rPr>
          <w:rFonts w:ascii="宋体" w:eastAsia="宋体" w:hAnsi="宋体" w:cs="宋体" w:hint="eastAsia"/>
          <w:color w:val="666666"/>
          <w:kern w:val="0"/>
          <w:sz w:val="18"/>
          <w:szCs w:val="18"/>
        </w:rPr>
      </w:pPr>
      <w:r w:rsidRPr="007D3265">
        <w:rPr>
          <w:rFonts w:ascii="宋体" w:eastAsia="宋体" w:hAnsi="宋体" w:cs="宋体" w:hint="eastAsia"/>
          <w:color w:val="666666"/>
          <w:kern w:val="0"/>
          <w:sz w:val="18"/>
          <w:szCs w:val="18"/>
        </w:rPr>
        <w:br/>
        <w:t>COBIT通常能成为商业银行业企业战略目标和信息技术战略目标的桥梁，使得信息技术目标和企业战略目标之间实现互动，之后通过采用COBIT成熟度模型，可以定位自己企业的IT管理目前在业界所处的位置，以及未来努力的方向</w:t>
      </w:r>
      <w:r w:rsidRPr="007D3265">
        <w:rPr>
          <w:rFonts w:ascii="宋体" w:eastAsia="宋体" w:hAnsi="宋体" w:cs="宋体" w:hint="eastAsia"/>
          <w:color w:val="666666"/>
          <w:kern w:val="0"/>
          <w:sz w:val="18"/>
          <w:szCs w:val="18"/>
          <w:vertAlign w:val="superscript"/>
        </w:rPr>
        <w:t>[7]</w:t>
      </w:r>
      <w:r w:rsidRPr="007D3265">
        <w:rPr>
          <w:rFonts w:ascii="宋体" w:eastAsia="宋体" w:hAnsi="宋体" w:cs="宋体" w:hint="eastAsia"/>
          <w:color w:val="666666"/>
          <w:kern w:val="0"/>
          <w:sz w:val="18"/>
          <w:szCs w:val="18"/>
        </w:rPr>
        <w:t>。</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3.3 商业银行项目管理实践</w:t>
      </w:r>
      <w:r w:rsidRPr="007D3265">
        <w:rPr>
          <w:rFonts w:ascii="宋体" w:eastAsia="宋体" w:hAnsi="宋体" w:cs="宋体" w:hint="eastAsia"/>
          <w:color w:val="666666"/>
          <w:kern w:val="0"/>
          <w:sz w:val="18"/>
          <w:szCs w:val="18"/>
        </w:rPr>
        <w:br/>
        <w:t>商业银行可根据公司实际情况及项目管理经验推出自己公司的基于Prince2的精简版本作为项目管理的方法论来标准化公司的项目管理工作，将Prince2中的项目周期具体化，并结合不同阶段提供相应的标准的交付物。通过实践可以证明Prince2在界定琐碎的业务需求及选择最适合最节约成本的解决方案方面具有有效的方法.</w:t>
      </w:r>
      <w:r w:rsidRPr="007D3265">
        <w:rPr>
          <w:rFonts w:ascii="宋体" w:eastAsia="宋体" w:hAnsi="宋体" w:cs="宋体" w:hint="eastAsia"/>
          <w:color w:val="666666"/>
          <w:kern w:val="0"/>
          <w:sz w:val="18"/>
          <w:szCs w:val="18"/>
        </w:rPr>
        <w:br/>
        <w:t>Prince2和PMP是当今最流行的2种项目管理方法论，推荐Prince2而不是PMP，主要是因为Prince2更加关注提高组织的项目管理能力，而PMP则更侧重于提高个人的项目管理能力。</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3.4 商业银行IT服务管理实践</w:t>
      </w:r>
      <w:r w:rsidRPr="007D3265">
        <w:rPr>
          <w:rFonts w:ascii="宋体" w:eastAsia="宋体" w:hAnsi="宋体" w:cs="宋体" w:hint="eastAsia"/>
          <w:color w:val="666666"/>
          <w:kern w:val="0"/>
          <w:sz w:val="18"/>
          <w:szCs w:val="18"/>
        </w:rPr>
        <w:br/>
        <w:t>不同规模的外资银行可以根据公司规模进行不同的ITIL流程实施。现在大多数实施是参照ITIL v2的，ITIL v2包括服务支持和服务提供2个方面，ITIL v3 是由英国商务部于2007年5月份出版发布，其中规定了管理IT组织以及整合IT 和业务的方法论。ITIL v3官方评论家KEN T指出“ITIL v3以v2为基础，旨在推动IT专业人员实现IT和业务的整合，而不仅是关注于IT与业务的一致性。ITIL v3与以往单一从技术角度或企业经营角度出发的思考模式不同，它不仅帮助企业建立业务服务管理的合理目标，还帮助企业由关注IT基础架构转变为关注IT资产和服务的关系，最终将IT基础架构的事件和业务成果联系起来。IT管理人员需要完成从一种静态、垂直的思维模式，转换成一种生命周期的模式”。</w:t>
      </w:r>
      <w:r w:rsidRPr="007D3265">
        <w:rPr>
          <w:rFonts w:ascii="宋体" w:eastAsia="宋体" w:hAnsi="宋体" w:cs="宋体" w:hint="eastAsia"/>
          <w:color w:val="666666"/>
          <w:kern w:val="0"/>
          <w:sz w:val="18"/>
          <w:szCs w:val="18"/>
        </w:rPr>
        <w:br/>
        <w:t>建议对于各个正在进行ITIL v2实施的商业银行集中精力继续进行未尽流程的实施，对于已经完成实施并熟练掌握此工具和方法论的商业银行可以逐步考虑参照ITIL v3进行优化和持续改进管理。</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3.5 商业银行</w:t>
      </w:r>
      <w:hyperlink r:id="rId19" w:tooltip="信息安全" w:history="1">
        <w:r w:rsidRPr="007D3265">
          <w:rPr>
            <w:rFonts w:ascii="宋体" w:eastAsia="宋体" w:hAnsi="宋体" w:cs="宋体" w:hint="eastAsia"/>
            <w:b/>
            <w:bCs/>
            <w:color w:val="336699"/>
            <w:kern w:val="0"/>
            <w:sz w:val="18"/>
          </w:rPr>
          <w:t>信息安全</w:t>
        </w:r>
      </w:hyperlink>
      <w:r w:rsidRPr="007D3265">
        <w:rPr>
          <w:rFonts w:ascii="宋体" w:eastAsia="宋体" w:hAnsi="宋体" w:cs="宋体" w:hint="eastAsia"/>
          <w:b/>
          <w:bCs/>
          <w:color w:val="666666"/>
          <w:kern w:val="0"/>
          <w:sz w:val="18"/>
        </w:rPr>
        <w:t>管理</w:t>
      </w:r>
      <w:r w:rsidRPr="007D3265">
        <w:rPr>
          <w:rFonts w:ascii="宋体" w:eastAsia="宋体" w:hAnsi="宋体" w:cs="宋体" w:hint="eastAsia"/>
          <w:color w:val="666666"/>
          <w:kern w:val="0"/>
          <w:sz w:val="18"/>
          <w:szCs w:val="18"/>
        </w:rPr>
        <w:br/>
        <w:t>ISO27000即国际</w:t>
      </w:r>
      <w:hyperlink r:id="rId20" w:tooltip="信息安全管理" w:history="1">
        <w:r w:rsidRPr="007D3265">
          <w:rPr>
            <w:rFonts w:ascii="宋体" w:eastAsia="宋体" w:hAnsi="宋体" w:cs="宋体" w:hint="eastAsia"/>
            <w:color w:val="336699"/>
            <w:kern w:val="0"/>
            <w:sz w:val="18"/>
          </w:rPr>
          <w:t>信息安全管理</w:t>
        </w:r>
      </w:hyperlink>
      <w:r w:rsidRPr="007D3265">
        <w:rPr>
          <w:rFonts w:ascii="宋体" w:eastAsia="宋体" w:hAnsi="宋体" w:cs="宋体" w:hint="eastAsia"/>
          <w:color w:val="666666"/>
          <w:kern w:val="0"/>
          <w:sz w:val="18"/>
          <w:szCs w:val="18"/>
        </w:rPr>
        <w:t>标准体系的实施在我国商业银行相对来说是比较早的，商业银行大多在实际工作中利用ISO27000的一些常用工具等来帮助提高信息风险管理的水平。</w:t>
      </w:r>
      <w:r w:rsidRPr="007D3265">
        <w:rPr>
          <w:rFonts w:ascii="宋体" w:eastAsia="宋体" w:hAnsi="宋体" w:cs="宋体" w:hint="eastAsia"/>
          <w:color w:val="666666"/>
          <w:kern w:val="0"/>
          <w:sz w:val="18"/>
          <w:szCs w:val="18"/>
        </w:rPr>
        <w:br/>
        <w:t>建议商业银行对ISO27000的实施从ISO27002的实施和内部认证开始，期望通过这一标准的引入建立一个完整的信息安全管理体系，对信息安全进行动态的、以分析机构及企业面临的安全风险为起点，对企业的信息安全风险进行动态的、全面的、有效的、不断改进的管理，并强调信息安全管理的目的是保持机构及</w:t>
      </w:r>
      <w:r w:rsidRPr="007D3265">
        <w:rPr>
          <w:rFonts w:ascii="宋体" w:eastAsia="宋体" w:hAnsi="宋体" w:cs="宋体" w:hint="eastAsia"/>
          <w:color w:val="666666"/>
          <w:kern w:val="0"/>
          <w:sz w:val="18"/>
          <w:szCs w:val="18"/>
        </w:rPr>
        <w:lastRenderedPageBreak/>
        <w:t>企业业务的连续性不受信息安全事件的破坏，要从机构或企业现有的资源和管理基础为出发点，建立信息安全管理体系，不断改进信息安全管理的水平，使机构或企业的信息安全以最小代价达到需要的水准。根据公司的发展情况判断是否进行外部的认证。</w:t>
      </w:r>
      <w:r w:rsidRPr="007D3265">
        <w:rPr>
          <w:rFonts w:ascii="宋体" w:eastAsia="宋体" w:hAnsi="宋体" w:cs="宋体" w:hint="eastAsia"/>
          <w:color w:val="666666"/>
          <w:kern w:val="0"/>
          <w:sz w:val="18"/>
          <w:szCs w:val="18"/>
        </w:rPr>
        <w:br/>
        <w:t>对于ISO27001，建议结合PDCA循环模式=“计划（Plan）、实施（Do）、检查（Check）、行动（Action）”模式进一步规范公司IT管理，以达到“持续改进”的目的。虽然实施 ISO27000体系并不能使商业银行彻底远离信息安全破坏，但实施该标准可以降低信息安全被破坏的可能性，因此降低IT投资损失和信息安全事件的影响程度。</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4 发展方向及进一步研究</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在确定上述IT治理规划及实施模型后，将模型中涉及的相应子模型和标准融合运用进行对商业银行的IT治理建设，它可以帮助银行更好达成IT治理目标。这些标准需要逐步地贯彻到工作实际中，这主要是通过有选择性地阶段性实施来进行，实践表明，针对这些活动的实施可以很好地帮助达成分阶段IT治理的目标。未来对IT治理的实施可以利用IT治理成熟度模型来进行评估。</w:t>
      </w:r>
      <w:r w:rsidRPr="007D3265">
        <w:rPr>
          <w:rFonts w:ascii="宋体" w:eastAsia="宋体" w:hAnsi="宋体" w:cs="宋体" w:hint="eastAsia"/>
          <w:color w:val="666666"/>
          <w:kern w:val="0"/>
          <w:sz w:val="18"/>
          <w:szCs w:val="18"/>
        </w:rPr>
        <w:br/>
        <w:t>关于此模式仍需进一步研究，重点应该放在如下几点：</w:t>
      </w:r>
      <w:r w:rsidRPr="007D3265">
        <w:rPr>
          <w:rFonts w:ascii="宋体" w:eastAsia="宋体" w:hAnsi="宋体" w:cs="宋体" w:hint="eastAsia"/>
          <w:color w:val="666666"/>
          <w:kern w:val="0"/>
          <w:sz w:val="18"/>
          <w:szCs w:val="18"/>
        </w:rPr>
        <w:br/>
        <w:t>（1）对于模型中涉及的几个复杂标准如何能有效地融合运用；</w:t>
      </w:r>
      <w:r w:rsidRPr="007D3265">
        <w:rPr>
          <w:rFonts w:ascii="宋体" w:eastAsia="宋体" w:hAnsi="宋体" w:cs="宋体" w:hint="eastAsia"/>
          <w:color w:val="666666"/>
          <w:kern w:val="0"/>
          <w:sz w:val="18"/>
          <w:szCs w:val="18"/>
        </w:rPr>
        <w:br/>
        <w:t>（2）考虑开发通过此模型进行IT治理实施的标准化工具；</w:t>
      </w:r>
      <w:r w:rsidRPr="007D3265">
        <w:rPr>
          <w:rFonts w:ascii="宋体" w:eastAsia="宋体" w:hAnsi="宋体" w:cs="宋体" w:hint="eastAsia"/>
          <w:color w:val="666666"/>
          <w:kern w:val="0"/>
          <w:sz w:val="18"/>
          <w:szCs w:val="18"/>
        </w:rPr>
        <w:br/>
        <w:t>（3）模型实施步骤如何，如何结合公司实际进行相应的选择；</w:t>
      </w:r>
      <w:r w:rsidRPr="007D3265">
        <w:rPr>
          <w:rFonts w:ascii="宋体" w:eastAsia="宋体" w:hAnsi="宋体" w:cs="宋体" w:hint="eastAsia"/>
          <w:color w:val="666666"/>
          <w:kern w:val="0"/>
          <w:sz w:val="18"/>
          <w:szCs w:val="18"/>
        </w:rPr>
        <w:br/>
        <w:t>（4）IT治理实施的效果及其成熟度评估；</w:t>
      </w:r>
      <w:r w:rsidRPr="007D3265">
        <w:rPr>
          <w:rFonts w:ascii="宋体" w:eastAsia="宋体" w:hAnsi="宋体" w:cs="宋体" w:hint="eastAsia"/>
          <w:color w:val="666666"/>
          <w:kern w:val="0"/>
          <w:sz w:val="18"/>
          <w:szCs w:val="18"/>
        </w:rPr>
        <w:br/>
        <w:t>（5）如何在实施过程中平衡并最大化利用现有IT资源，保证最大的投资回报。</w:t>
      </w:r>
      <w:r w:rsidRPr="007D3265">
        <w:rPr>
          <w:rFonts w:ascii="宋体" w:eastAsia="宋体" w:hAnsi="宋体" w:cs="宋体" w:hint="eastAsia"/>
          <w:color w:val="666666"/>
          <w:kern w:val="0"/>
          <w:sz w:val="18"/>
          <w:szCs w:val="18"/>
        </w:rPr>
        <w:br/>
        <w:t>本文通过国内商业银行IT治理存在的问题和最佳实践进行分析，提出通过融合运行IT战略、CISR模型、COBIT实施、Prince2、CMM、ITIL和ISO20000等国际标准建立IT规划与实施模型的创新模式，在协助商业银行企业改善运营提高公司甚至整个行业的竞争力方面发挥重要作用,通过加强和完善商业银行IT治理可以提高银行业的信息管理水平,提高信息披露和内部控制质量，为中国银行业顺利渡过金融危机并全面建设有中国特色的银行业保障体系和现代银行业监管体系服务。</w:t>
      </w:r>
      <w:r w:rsidRPr="007D3265">
        <w:rPr>
          <w:rFonts w:ascii="宋体" w:eastAsia="宋体" w:hAnsi="宋体" w:cs="宋体" w:hint="eastAsia"/>
          <w:color w:val="666666"/>
          <w:kern w:val="0"/>
          <w:sz w:val="18"/>
          <w:szCs w:val="18"/>
        </w:rPr>
        <w:br/>
      </w:r>
      <w:r w:rsidRPr="007D3265">
        <w:rPr>
          <w:rFonts w:ascii="宋体" w:eastAsia="宋体" w:hAnsi="宋体" w:cs="宋体" w:hint="eastAsia"/>
          <w:b/>
          <w:bCs/>
          <w:color w:val="666666"/>
          <w:kern w:val="0"/>
          <w:sz w:val="18"/>
        </w:rPr>
        <w:t>参考文献</w:t>
      </w:r>
      <w:r w:rsidRPr="007D3265">
        <w:rPr>
          <w:rFonts w:ascii="宋体" w:eastAsia="宋体" w:hAnsi="宋体" w:cs="宋体" w:hint="eastAsia"/>
          <w:b/>
          <w:bCs/>
          <w:color w:val="666666"/>
          <w:kern w:val="0"/>
          <w:sz w:val="18"/>
          <w:szCs w:val="18"/>
        </w:rPr>
        <w:br/>
      </w:r>
      <w:r w:rsidRPr="007D3265">
        <w:rPr>
          <w:rFonts w:ascii="宋体" w:eastAsia="宋体" w:hAnsi="宋体" w:cs="宋体" w:hint="eastAsia"/>
          <w:color w:val="666666"/>
          <w:kern w:val="0"/>
          <w:sz w:val="18"/>
          <w:szCs w:val="18"/>
        </w:rPr>
        <w:t xml:space="preserve">[1] WESSELS E, VAN L J. IT governance: theory and practice[C] .Pretoria, South Africa: 2006. </w:t>
      </w:r>
      <w:r w:rsidRPr="007D3265">
        <w:rPr>
          <w:rFonts w:ascii="宋体" w:eastAsia="宋体" w:hAnsi="宋体" w:cs="宋体" w:hint="eastAsia"/>
          <w:color w:val="666666"/>
          <w:kern w:val="0"/>
          <w:sz w:val="18"/>
          <w:szCs w:val="18"/>
        </w:rPr>
        <w:br/>
        <w:t>[2] Marianne B, PETER W, Gartner EXP premier report,Effective IT Governance. January 2003.</w:t>
      </w:r>
      <w:r w:rsidRPr="007D3265">
        <w:rPr>
          <w:rFonts w:ascii="宋体" w:eastAsia="宋体" w:hAnsi="宋体" w:cs="宋体" w:hint="eastAsia"/>
          <w:color w:val="666666"/>
          <w:kern w:val="0"/>
          <w:sz w:val="18"/>
          <w:szCs w:val="18"/>
        </w:rPr>
        <w:br/>
        <w:t>[3] PETERSON R. Crafting information technology governance [J].Information Systems Management. 2004, 21(4): 7- 22.</w:t>
      </w:r>
      <w:r w:rsidRPr="007D3265">
        <w:rPr>
          <w:rFonts w:ascii="宋体" w:eastAsia="宋体" w:hAnsi="宋体" w:cs="宋体" w:hint="eastAsia"/>
          <w:color w:val="666666"/>
          <w:kern w:val="0"/>
          <w:sz w:val="18"/>
          <w:szCs w:val="18"/>
        </w:rPr>
        <w:br/>
        <w:t xml:space="preserve">[4] 李维安,曹廷求. 保险治理:理论模式与我国的改革[J] . 保险研究 , 2005(4):4-8. </w:t>
      </w:r>
      <w:r w:rsidRPr="007D3265">
        <w:rPr>
          <w:rFonts w:ascii="宋体" w:eastAsia="宋体" w:hAnsi="宋体" w:cs="宋体" w:hint="eastAsia"/>
          <w:color w:val="666666"/>
          <w:kern w:val="0"/>
          <w:sz w:val="18"/>
          <w:szCs w:val="18"/>
        </w:rPr>
        <w:br/>
        <w:t>[5] 相关商业银行网站:http://www.icbc.com.cn 中国工商银行http://www.boc.cn 中国银行http://www.cmbchina.com 招商银行http://www.socgen.com.cn 法国兴业银行（中国）有限公司http://www.citibank.com.cn 花旗银行（中国）有限公司http://www.hsbc.com.cn 汇丰银行（中国）有限公司.</w:t>
      </w:r>
      <w:r w:rsidRPr="007D3265">
        <w:rPr>
          <w:rFonts w:ascii="宋体" w:eastAsia="宋体" w:hAnsi="宋体" w:cs="宋体" w:hint="eastAsia"/>
          <w:color w:val="666666"/>
          <w:kern w:val="0"/>
          <w:sz w:val="18"/>
          <w:szCs w:val="18"/>
        </w:rPr>
        <w:br/>
        <w:t>[6] 孙晓琳，王刊良. IT 治理相关工具的对比分析[J] . 情报科学,2008,26(9):1402-1407.</w:t>
      </w:r>
      <w:r w:rsidRPr="007D3265">
        <w:rPr>
          <w:rFonts w:ascii="宋体" w:eastAsia="宋体" w:hAnsi="宋体" w:cs="宋体" w:hint="eastAsia"/>
          <w:color w:val="666666"/>
          <w:kern w:val="0"/>
          <w:sz w:val="18"/>
          <w:szCs w:val="18"/>
        </w:rPr>
        <w:br/>
        <w:t>[7] 中国人民银行武夷山支行课题组. 我国央行IT审计和IT治理的现状与思考[J]. 上海金融, 2007(12): 88-89.</w:t>
      </w:r>
    </w:p>
    <w:p w:rsidR="00FF6F86" w:rsidRDefault="00FF6F86"/>
    <w:sectPr w:rsidR="00FF6F86" w:rsidSect="009D7674">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5C4" w:rsidRDefault="00F165C4" w:rsidP="007D3265">
      <w:r>
        <w:separator/>
      </w:r>
    </w:p>
  </w:endnote>
  <w:endnote w:type="continuationSeparator" w:id="0">
    <w:p w:rsidR="00F165C4" w:rsidRDefault="00F165C4" w:rsidP="007D32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5C4" w:rsidRDefault="00F165C4" w:rsidP="007D3265">
      <w:r>
        <w:separator/>
      </w:r>
    </w:p>
  </w:footnote>
  <w:footnote w:type="continuationSeparator" w:id="0">
    <w:p w:rsidR="00F165C4" w:rsidRDefault="00F165C4" w:rsidP="007D32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3265"/>
    <w:rsid w:val="00685C7F"/>
    <w:rsid w:val="006E670E"/>
    <w:rsid w:val="007D3265"/>
    <w:rsid w:val="009D7674"/>
    <w:rsid w:val="00EB4834"/>
    <w:rsid w:val="00F165C4"/>
    <w:rsid w:val="00FF6F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32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3265"/>
    <w:rPr>
      <w:sz w:val="18"/>
      <w:szCs w:val="18"/>
    </w:rPr>
  </w:style>
  <w:style w:type="paragraph" w:styleId="a4">
    <w:name w:val="footer"/>
    <w:basedOn w:val="a"/>
    <w:link w:val="Char0"/>
    <w:uiPriority w:val="99"/>
    <w:semiHidden/>
    <w:unhideWhenUsed/>
    <w:rsid w:val="007D32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3265"/>
    <w:rPr>
      <w:sz w:val="18"/>
      <w:szCs w:val="18"/>
    </w:rPr>
  </w:style>
  <w:style w:type="character" w:styleId="a5">
    <w:name w:val="Hyperlink"/>
    <w:basedOn w:val="a0"/>
    <w:uiPriority w:val="99"/>
    <w:semiHidden/>
    <w:unhideWhenUsed/>
    <w:rsid w:val="007D3265"/>
    <w:rPr>
      <w:strike w:val="0"/>
      <w:dstrike w:val="0"/>
      <w:color w:val="4D4B4B"/>
      <w:u w:val="none"/>
      <w:effect w:val="none"/>
    </w:rPr>
  </w:style>
  <w:style w:type="character" w:styleId="a6">
    <w:name w:val="Strong"/>
    <w:basedOn w:val="a0"/>
    <w:uiPriority w:val="22"/>
    <w:qFormat/>
    <w:rsid w:val="007D3265"/>
    <w:rPr>
      <w:b/>
      <w:bCs/>
    </w:rPr>
  </w:style>
  <w:style w:type="paragraph" w:styleId="a7">
    <w:name w:val="Normal (Web)"/>
    <w:basedOn w:val="a"/>
    <w:uiPriority w:val="99"/>
    <w:semiHidden/>
    <w:unhideWhenUsed/>
    <w:rsid w:val="007D3265"/>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1"/>
    <w:uiPriority w:val="99"/>
    <w:semiHidden/>
    <w:unhideWhenUsed/>
    <w:rsid w:val="007D3265"/>
    <w:rPr>
      <w:sz w:val="18"/>
      <w:szCs w:val="18"/>
    </w:rPr>
  </w:style>
  <w:style w:type="character" w:customStyle="1" w:styleId="Char1">
    <w:name w:val="批注框文本 Char"/>
    <w:basedOn w:val="a0"/>
    <w:link w:val="a8"/>
    <w:uiPriority w:val="99"/>
    <w:semiHidden/>
    <w:rsid w:val="007D3265"/>
    <w:rPr>
      <w:sz w:val="18"/>
      <w:szCs w:val="18"/>
    </w:rPr>
  </w:style>
</w:styles>
</file>

<file path=word/webSettings.xml><?xml version="1.0" encoding="utf-8"?>
<w:webSettings xmlns:r="http://schemas.openxmlformats.org/officeDocument/2006/relationships" xmlns:w="http://schemas.openxmlformats.org/wordprocessingml/2006/main">
  <w:divs>
    <w:div w:id="674645971">
      <w:bodyDiv w:val="1"/>
      <w:marLeft w:val="0"/>
      <w:marRight w:val="0"/>
      <w:marTop w:val="0"/>
      <w:marBottom w:val="0"/>
      <w:divBdr>
        <w:top w:val="none" w:sz="0" w:space="0" w:color="auto"/>
        <w:left w:val="none" w:sz="0" w:space="0" w:color="auto"/>
        <w:bottom w:val="none" w:sz="0" w:space="0" w:color="auto"/>
        <w:right w:val="none" w:sz="0" w:space="0" w:color="auto"/>
      </w:divBdr>
      <w:divsChild>
        <w:div w:id="1327440479">
          <w:marLeft w:val="0"/>
          <w:marRight w:val="0"/>
          <w:marTop w:val="0"/>
          <w:marBottom w:val="0"/>
          <w:divBdr>
            <w:top w:val="none" w:sz="0" w:space="0" w:color="auto"/>
            <w:left w:val="none" w:sz="0" w:space="0" w:color="auto"/>
            <w:bottom w:val="none" w:sz="0" w:space="0" w:color="auto"/>
            <w:right w:val="none" w:sz="0" w:space="0" w:color="auto"/>
          </w:divBdr>
          <w:divsChild>
            <w:div w:id="526138077">
              <w:marLeft w:val="0"/>
              <w:marRight w:val="0"/>
              <w:marTop w:val="0"/>
              <w:marBottom w:val="0"/>
              <w:divBdr>
                <w:top w:val="none" w:sz="0" w:space="0" w:color="auto"/>
                <w:left w:val="none" w:sz="0" w:space="0" w:color="auto"/>
                <w:bottom w:val="none" w:sz="0" w:space="0" w:color="auto"/>
                <w:right w:val="none" w:sz="0" w:space="0" w:color="auto"/>
              </w:divBdr>
              <w:divsChild>
                <w:div w:id="644091639">
                  <w:marLeft w:val="0"/>
                  <w:marRight w:val="0"/>
                  <w:marTop w:val="0"/>
                  <w:marBottom w:val="0"/>
                  <w:divBdr>
                    <w:top w:val="single" w:sz="6" w:space="8" w:color="E2E2E2"/>
                    <w:left w:val="none" w:sz="0" w:space="0" w:color="auto"/>
                    <w:bottom w:val="none" w:sz="0" w:space="0" w:color="auto"/>
                    <w:right w:val="none" w:sz="0" w:space="0" w:color="auto"/>
                  </w:divBdr>
                  <w:divsChild>
                    <w:div w:id="895748162">
                      <w:marLeft w:val="0"/>
                      <w:marRight w:val="0"/>
                      <w:marTop w:val="0"/>
                      <w:marBottom w:val="0"/>
                      <w:divBdr>
                        <w:top w:val="dashed" w:sz="6" w:space="0" w:color="E2E2E2"/>
                        <w:left w:val="none" w:sz="0" w:space="0" w:color="auto"/>
                        <w:bottom w:val="none" w:sz="0" w:space="0" w:color="auto"/>
                        <w:right w:val="none" w:sz="0" w:space="0" w:color="auto"/>
                      </w:divBdr>
                    </w:div>
                    <w:div w:id="125397050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setFont(12);" TargetMode="External"/><Relationship Id="rId13" Type="http://schemas.openxmlformats.org/officeDocument/2006/relationships/hyperlink" Target="http://www.chinaaet.com/search/?q=&#38754;&#30340;" TargetMode="External"/><Relationship Id="rId18" Type="http://schemas.openxmlformats.org/officeDocument/2006/relationships/image" Target="media/image2.gif"/><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javascript:setFont(14);" TargetMode="External"/><Relationship Id="rId12" Type="http://schemas.openxmlformats.org/officeDocument/2006/relationships/hyperlink" Target="http://www.chinaaet.com/search/?q=&#20449;&#24687;&#25216;&#26415;" TargetMode="External"/><Relationship Id="rId17" Type="http://schemas.openxmlformats.org/officeDocument/2006/relationships/image" Target="media/image1.gif"/><Relationship Id="rId2" Type="http://schemas.openxmlformats.org/officeDocument/2006/relationships/settings" Target="settings.xml"/><Relationship Id="rId16" Type="http://schemas.openxmlformats.org/officeDocument/2006/relationships/hyperlink" Target="http://www.chinaaet.com/search/?q=&#25105;&#22269;" TargetMode="External"/><Relationship Id="rId20" Type="http://schemas.openxmlformats.org/officeDocument/2006/relationships/hyperlink" Target="http://www.chinaaet.com/search/?q=&#20449;&#24687;&#23433;&#20840;&#31649;&#29702;" TargetMode="External"/><Relationship Id="rId1" Type="http://schemas.openxmlformats.org/officeDocument/2006/relationships/styles" Target="styles.xml"/><Relationship Id="rId6" Type="http://schemas.openxmlformats.org/officeDocument/2006/relationships/hyperlink" Target="javascript:setFont(16);" TargetMode="External"/><Relationship Id="rId11" Type="http://schemas.openxmlformats.org/officeDocument/2006/relationships/hyperlink" Target="http://www.chinaaet.com/search/?q=&#20449;&#24687;&#23433;&#20840;" TargetMode="External"/><Relationship Id="rId5" Type="http://schemas.openxmlformats.org/officeDocument/2006/relationships/endnotes" Target="endnotes.xml"/><Relationship Id="rId15" Type="http://schemas.openxmlformats.org/officeDocument/2006/relationships/hyperlink" Target="http://www.chinaaet.com/search/?q=&#38754;&#30340;" TargetMode="External"/><Relationship Id="rId10" Type="http://schemas.openxmlformats.org/officeDocument/2006/relationships/hyperlink" Target="http://www.chinaaet.com/search/?q=&#20449;&#24687;&#23433;&#20840;&#31649;&#29702;" TargetMode="External"/><Relationship Id="rId19" Type="http://schemas.openxmlformats.org/officeDocument/2006/relationships/hyperlink" Target="http://www.chinaaet.com/search/?q=&#20449;&#24687;&#23433;&#20840;" TargetMode="External"/><Relationship Id="rId4" Type="http://schemas.openxmlformats.org/officeDocument/2006/relationships/footnotes" Target="footnotes.xml"/><Relationship Id="rId9" Type="http://schemas.openxmlformats.org/officeDocument/2006/relationships/hyperlink" Target="http://www.chinaaet.com/search/?q=&#25105;&#22269;" TargetMode="External"/><Relationship Id="rId14" Type="http://schemas.openxmlformats.org/officeDocument/2006/relationships/hyperlink" Target="http://www.chinaaet.com/search/?q=&#20449;&#24687;&#25216;&#26415;"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1062</Words>
  <Characters>6060</Characters>
  <Application>Microsoft Office Word</Application>
  <DocSecurity>0</DocSecurity>
  <Lines>50</Lines>
  <Paragraphs>14</Paragraphs>
  <ScaleCrop>false</ScaleCrop>
  <Company>hnnx</Company>
  <LinksUpToDate>false</LinksUpToDate>
  <CharactersWithSpaces>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dc:creator>
  <cp:keywords/>
  <dc:description/>
  <cp:lastModifiedBy>llj</cp:lastModifiedBy>
  <cp:revision>2</cp:revision>
  <dcterms:created xsi:type="dcterms:W3CDTF">2012-02-01T00:30:00Z</dcterms:created>
  <dcterms:modified xsi:type="dcterms:W3CDTF">2012-02-01T00:30:00Z</dcterms:modified>
</cp:coreProperties>
</file>