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C98AC3">
      <w:pPr>
        <w:pStyle w:val="2"/>
        <w:jc w:val="center"/>
        <w:rPr>
          <w:rFonts w:hint="eastAsia" w:eastAsiaTheme="minorEastAsia"/>
          <w:lang w:eastAsia="zh-CN"/>
        </w:rPr>
      </w:pPr>
      <w:bookmarkStart w:id="0" w:name="_GoBack"/>
      <w:r>
        <w:rPr>
          <w:rFonts w:hint="eastAsia" w:eastAsiaTheme="minorEastAsia"/>
          <w:lang w:eastAsia="zh-CN"/>
        </w:rPr>
        <w:drawing>
          <wp:inline distT="0" distB="0" distL="114300" distR="114300">
            <wp:extent cx="5273675" cy="2616835"/>
            <wp:effectExtent l="0" t="0" r="14605" b="4445"/>
            <wp:docPr id="7" name="图片 7" descr="广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广告"/>
                    <pic:cNvPicPr>
                      <a:picLocks noChangeAspect="1"/>
                    </pic:cNvPicPr>
                  </pic:nvPicPr>
                  <pic:blipFill>
                    <a:blip r:embed="rId4"/>
                    <a:stretch>
                      <a:fillRect/>
                    </a:stretch>
                  </pic:blipFill>
                  <pic:spPr>
                    <a:xfrm>
                      <a:off x="0" y="0"/>
                      <a:ext cx="5273675" cy="2616835"/>
                    </a:xfrm>
                    <a:prstGeom prst="rect">
                      <a:avLst/>
                    </a:prstGeom>
                  </pic:spPr>
                </pic:pic>
              </a:graphicData>
            </a:graphic>
          </wp:inline>
        </w:drawing>
      </w:r>
      <w:bookmarkEnd w:id="0"/>
    </w:p>
    <w:p w14:paraId="41E2786C">
      <w:pPr>
        <w:pStyle w:val="2"/>
        <w:jc w:val="center"/>
        <w:rPr>
          <w:rFonts w:hint="eastAsia"/>
        </w:rPr>
      </w:pPr>
    </w:p>
    <w:p w14:paraId="24DFCF17">
      <w:pPr>
        <w:pStyle w:val="2"/>
        <w:jc w:val="center"/>
      </w:pPr>
      <w:r>
        <w:rPr>
          <w:rFonts w:hint="eastAsia"/>
        </w:rPr>
        <w:t>IT服务管理标准化解决框架</w:t>
      </w:r>
    </w:p>
    <w:p w14:paraId="521C7674">
      <w:pPr>
        <w:pStyle w:val="22"/>
        <w:rPr>
          <w:rStyle w:val="13"/>
        </w:rPr>
      </w:pPr>
      <w:r>
        <w:rPr>
          <w:rStyle w:val="13"/>
          <w:rFonts w:hint="eastAsia"/>
        </w:rPr>
        <w:t>前言</w:t>
      </w:r>
    </w:p>
    <w:p w14:paraId="2C6D6D41">
      <w:pPr>
        <w:pStyle w:val="16"/>
        <w:spacing w:line="60" w:lineRule="auto"/>
        <w:ind w:left="142" w:firstLine="242" w:firstLineChars="101"/>
        <w:jc w:val="left"/>
        <w:rPr>
          <w:sz w:val="24"/>
        </w:rPr>
      </w:pPr>
      <w:r>
        <w:rPr>
          <w:rFonts w:hint="eastAsia"/>
          <w:sz w:val="24"/>
        </w:rPr>
        <w:t>近年来，企业信息化已经成为一股热潮，为企业所重视，但整体环境却限制了企业信息化的发展，缺乏统一的标准和配套设施，体系和制度更不完善，对于什么是企业信息化，如何进行信息化更是缺乏思考，简而言之，实施信息化建设，就是有效而系统的对生产、销售、人力资源、商务协调和财务等经营各环节的数据信息进行采集、传输、处理和管理，进而能够实现内部信息流通的实时化和高效化，同时，信息的有效和充分共享有利于企业快速、准确的获取和分析信息，给高层提供科学准确的数据依据，再配以科学合理的决策和恰当的管理，就能够实现所有部门及员工之间有效协调和配合，进而提升企业的核心竞争力。</w:t>
      </w:r>
    </w:p>
    <w:p w14:paraId="544DFB8F">
      <w:pPr>
        <w:pStyle w:val="16"/>
        <w:spacing w:line="120" w:lineRule="atLeast"/>
        <w:ind w:firstLine="364" w:firstLineChars="152"/>
        <w:jc w:val="left"/>
        <w:rPr>
          <w:sz w:val="24"/>
        </w:rPr>
      </w:pPr>
      <w:r>
        <w:rPr>
          <w:rFonts w:hint="eastAsia"/>
          <w:sz w:val="24"/>
        </w:rPr>
        <w:t>目前，公司正处于从人治到法治变革的十字路口，去年并购红狮，今年又喜迁新居，公司面貌更是日新月异，地覆天翻。</w:t>
      </w:r>
    </w:p>
    <w:p w14:paraId="7670CAD7">
      <w:pPr>
        <w:pStyle w:val="16"/>
        <w:spacing w:line="120" w:lineRule="atLeast"/>
        <w:ind w:firstLine="364" w:firstLineChars="152"/>
        <w:jc w:val="left"/>
        <w:rPr>
          <w:sz w:val="28"/>
        </w:rPr>
      </w:pPr>
      <w:r>
        <w:rPr>
          <w:rFonts w:hint="eastAsia"/>
          <w:sz w:val="24"/>
        </w:rPr>
        <w:t>2009年7月份公司开始全面铺开CRM项目的实施选型，这应该是公司成立以来的第一个较为完整的信息化项目，今年年初公司在新办公地点的信息系统集成项目的建设上更是不遗余力，使信息化基础设施更加完善，但是由于客观环境的制约，公司对于信息化的理解不深，认识不够，信息化建设工作并未提到公司运营体系的日程上来。同时作为以IT服务为职业的我们也在反思：如何把IT信息技术转化为生产力，如何帮助企业提升核心竞争力，因此，在借鉴ITIL、COBIT规范及IT治理的相关方法的基础上，根据公司的特点，以业务需求为驱动，以规范流程为主线，对IT服务管理这一命题进行分析、讨论，希望能对公司的管理运营提供必要的参考。</w:t>
      </w:r>
      <w:r>
        <w:rPr>
          <w:rFonts w:hint="eastAsia"/>
          <w:sz w:val="28"/>
        </w:rPr>
        <w:t xml:space="preserve"> </w:t>
      </w:r>
    </w:p>
    <w:p w14:paraId="40801A3A">
      <w:pPr>
        <w:pStyle w:val="22"/>
        <w:rPr>
          <w:rStyle w:val="13"/>
        </w:rPr>
      </w:pPr>
      <w:r>
        <w:rPr>
          <w:rStyle w:val="13"/>
          <w:rFonts w:hint="eastAsia"/>
        </w:rPr>
        <w:t>基本定义</w:t>
      </w:r>
    </w:p>
    <w:p w14:paraId="22B83371">
      <w:pPr>
        <w:pStyle w:val="16"/>
        <w:spacing w:line="60" w:lineRule="auto"/>
        <w:ind w:firstLine="482"/>
        <w:rPr>
          <w:sz w:val="24"/>
        </w:rPr>
      </w:pPr>
      <w:r>
        <w:rPr>
          <w:rFonts w:hint="eastAsia"/>
          <w:b/>
          <w:sz w:val="24"/>
        </w:rPr>
        <w:t>信息技术（Information Technology，IT），</w:t>
      </w:r>
      <w:r>
        <w:rPr>
          <w:rFonts w:hint="eastAsia"/>
          <w:sz w:val="24"/>
        </w:rPr>
        <w:t>是关于信息数据的产生、传输、获取、存储、处理和利用的各种技术的总称，狭义的也多被认为是网络通讯与计算机技术的总称。</w:t>
      </w:r>
    </w:p>
    <w:p w14:paraId="11EE47E2">
      <w:pPr>
        <w:pStyle w:val="16"/>
        <w:spacing w:line="60" w:lineRule="auto"/>
        <w:ind w:firstLine="480"/>
        <w:rPr>
          <w:sz w:val="24"/>
        </w:rPr>
      </w:pPr>
      <w:r>
        <w:rPr>
          <w:rFonts w:hint="eastAsia"/>
          <w:sz w:val="24"/>
        </w:rPr>
        <w:t>I</w:t>
      </w:r>
      <w:r>
        <w:rPr>
          <w:rFonts w:hint="eastAsia"/>
          <w:b/>
          <w:sz w:val="24"/>
        </w:rPr>
        <w:t>T服务（IT Server），</w:t>
      </w:r>
      <w:r>
        <w:rPr>
          <w:rFonts w:hint="eastAsia"/>
          <w:sz w:val="24"/>
        </w:rPr>
        <w:t>是指为满足企业的IT应用需求所提供的硬件安装与维护、咨询、培训和软件开发与升级等信息技术领域的全方位的服务的总称。</w:t>
      </w:r>
    </w:p>
    <w:p w14:paraId="3AD9F09A">
      <w:pPr>
        <w:pStyle w:val="16"/>
        <w:spacing w:line="60" w:lineRule="auto"/>
        <w:ind w:firstLine="482"/>
        <w:rPr>
          <w:sz w:val="24"/>
        </w:rPr>
      </w:pPr>
      <w:r>
        <w:rPr>
          <w:rFonts w:hint="eastAsia"/>
          <w:b/>
          <w:sz w:val="24"/>
        </w:rPr>
        <w:t>IT资源（IT Resource）</w:t>
      </w:r>
      <w:r>
        <w:rPr>
          <w:rFonts w:hint="eastAsia"/>
          <w:sz w:val="24"/>
        </w:rPr>
        <w:t>，是指基础设施、应用程序、数据信息和IT人员等信息技术的相关资源。</w:t>
      </w:r>
    </w:p>
    <w:p w14:paraId="6B5DD726">
      <w:pPr>
        <w:pStyle w:val="16"/>
        <w:spacing w:line="60" w:lineRule="auto"/>
        <w:ind w:firstLine="482"/>
        <w:rPr>
          <w:sz w:val="28"/>
        </w:rPr>
      </w:pPr>
      <w:r>
        <w:rPr>
          <w:rFonts w:hint="eastAsia"/>
          <w:b/>
          <w:sz w:val="24"/>
        </w:rPr>
        <w:t>IT管理（IT Management），</w:t>
      </w:r>
      <w:r>
        <w:rPr>
          <w:rFonts w:hint="eastAsia"/>
          <w:sz w:val="24"/>
        </w:rPr>
        <w:t>是通过对IT资源的规划、组织、领导和控制，以提供高效的IT服务来实现组织目标的过程。</w:t>
      </w:r>
    </w:p>
    <w:p w14:paraId="155C0C5F">
      <w:pPr>
        <w:pStyle w:val="22"/>
        <w:rPr>
          <w:rStyle w:val="13"/>
        </w:rPr>
      </w:pPr>
      <w:r>
        <w:rPr>
          <w:rStyle w:val="13"/>
          <w:rFonts w:hint="eastAsia"/>
        </w:rPr>
        <w:t>IT服务管理标准化的实施</w:t>
      </w:r>
    </w:p>
    <w:p w14:paraId="56658899">
      <w:pPr>
        <w:pStyle w:val="21"/>
        <w:rPr>
          <w:rStyle w:val="26"/>
          <w:b w:val="0"/>
        </w:rPr>
      </w:pPr>
      <w:r>
        <w:rPr>
          <w:rStyle w:val="26"/>
          <w:rFonts w:hint="eastAsia"/>
          <w:b w:val="0"/>
        </w:rPr>
        <w:t>文档管理</w:t>
      </w:r>
    </w:p>
    <w:p w14:paraId="657F1EC1">
      <w:pPr>
        <w:pStyle w:val="16"/>
        <w:numPr>
          <w:ilvl w:val="0"/>
          <w:numId w:val="3"/>
        </w:numPr>
        <w:spacing w:line="60" w:lineRule="auto"/>
        <w:ind w:firstLineChars="0"/>
        <w:rPr>
          <w:sz w:val="24"/>
        </w:rPr>
      </w:pPr>
      <w:r>
        <w:rPr>
          <w:rFonts w:hint="eastAsia"/>
          <w:b/>
          <w:sz w:val="24"/>
        </w:rPr>
        <w:t>基本概念</w:t>
      </w:r>
      <w:r>
        <w:rPr>
          <w:rFonts w:hint="eastAsia"/>
          <w:sz w:val="24"/>
        </w:rPr>
        <w:t>：在日常运维管理活动中需要及形成的文档、文档模板等，包括相关合同、协议、软件授权许可证、固定资产管理卡片、电脑领用单、物品申购单、设备报废申请单等文档或文档模板。</w:t>
      </w:r>
    </w:p>
    <w:p w14:paraId="62183C7A">
      <w:pPr>
        <w:pStyle w:val="16"/>
        <w:numPr>
          <w:ilvl w:val="0"/>
          <w:numId w:val="3"/>
        </w:numPr>
        <w:spacing w:line="60" w:lineRule="auto"/>
        <w:ind w:firstLineChars="0"/>
        <w:rPr>
          <w:sz w:val="24"/>
        </w:rPr>
      </w:pPr>
      <w:r>
        <w:rPr>
          <w:rFonts w:hint="eastAsia"/>
          <w:b/>
          <w:sz w:val="24"/>
        </w:rPr>
        <w:t>文档分类</w:t>
      </w:r>
      <w:r>
        <w:rPr>
          <w:rFonts w:hint="eastAsia"/>
          <w:sz w:val="24"/>
        </w:rPr>
        <w:t>：根据文档性质，所有IT文档分为文档模板类、运维文档类、合同协议类、</w:t>
      </w:r>
    </w:p>
    <w:p w14:paraId="65596211">
      <w:pPr>
        <w:pStyle w:val="16"/>
        <w:spacing w:line="60" w:lineRule="auto"/>
        <w:ind w:left="1480" w:firstLine="0" w:firstLineChars="0"/>
        <w:rPr>
          <w:sz w:val="24"/>
        </w:rPr>
      </w:pPr>
      <w:r>
        <w:rPr>
          <w:b/>
          <w:sz w:val="24"/>
        </w:rPr>
        <w:pict>
          <v:roundrect id="_x0000_s2058" o:spid="_x0000_s2058" o:spt="2" style="position:absolute;left:0pt;margin-left:246.2pt;margin-top:4.6pt;height:48.25pt;width:167.25pt;z-index:251667456;mso-width-relative:page;mso-height-relative:page;" fillcolor="#92CDDC" filled="t" stroked="t" coordsize="21600,21600" arcsize="0.166666666666667">
            <v:path/>
            <v:fill type="gradient" on="t" color2="#DAEEF3" angle="-45" focus="-50%" focussize="0f,0f"/>
            <v:stroke weight="1pt" color="#92CDDC"/>
            <v:imagedata o:title=""/>
            <o:lock v:ext="edit"/>
            <v:shadow on="t" type="perspective" color="#205867" opacity="32768f" offset="1pt,2pt" offset2="-3pt,-2pt"/>
            <v:textbox>
              <w:txbxContent>
                <w:p w14:paraId="1BBCA76C">
                  <w:r>
                    <w:rPr>
                      <w:rFonts w:hint="eastAsia"/>
                    </w:rPr>
                    <w:t>电脑领用单，物品申购单，设备报废申请单等</w:t>
                  </w:r>
                </w:p>
              </w:txbxContent>
            </v:textbox>
          </v:roundrect>
        </w:pict>
      </w:r>
    </w:p>
    <w:p w14:paraId="4870B3DB">
      <w:pPr>
        <w:pStyle w:val="16"/>
        <w:spacing w:line="60" w:lineRule="auto"/>
        <w:ind w:left="1480" w:firstLine="0" w:firstLineChars="0"/>
        <w:rPr>
          <w:sz w:val="24"/>
        </w:rPr>
      </w:pPr>
      <w:r>
        <w:rPr>
          <w:b/>
          <w:sz w:val="24"/>
        </w:rPr>
        <w:pict>
          <v:rect id="_x0000_s2052" o:spid="_x0000_s2052" o:spt="1" style="position:absolute;left:0pt;margin-left:123.5pt;margin-top:1.25pt;height:30.65pt;width:73.25pt;z-index:251661312;mso-width-relative:page;mso-height-relative:page;" fillcolor="#FFFFFF" filled="t" stroked="t" coordsize="21600,21600">
            <v:path/>
            <v:fill type="gradient" on="t" color2="#CCC0D9" focus="100%" focussize="0f,0f" focusposition="65536f"/>
            <v:stroke weight="1pt" color="#B2A1C7"/>
            <v:imagedata o:title=""/>
            <o:lock v:ext="edit"/>
            <v:shadow on="t" type="perspective" color="#3F3151" opacity="32768f" offset="1pt,2pt" offset2="-3pt,-2pt"/>
            <v:textbox>
              <w:txbxContent>
                <w:p w14:paraId="34EE2AAE">
                  <w:r>
                    <w:rPr>
                      <w:rFonts w:hint="eastAsia"/>
                    </w:rPr>
                    <w:t>文档模板类</w:t>
                  </w:r>
                </w:p>
              </w:txbxContent>
            </v:textbox>
          </v:rect>
        </w:pict>
      </w:r>
      <w:r>
        <w:rPr>
          <w:sz w:val="24"/>
        </w:rPr>
        <w:pict>
          <v:shape id="_x0000_s2055" o:spid="_x0000_s2055" o:spt="32" type="#_x0000_t32" style="position:absolute;left:0pt;flip:x;margin-left:196.75pt;margin-top:12.85pt;height:0.05pt;width:49.45pt;z-index:251664384;mso-width-relative:page;mso-height-relative:page;" o:connectortype="straight" filled="f" coordsize="21600,21600">
            <v:path arrowok="t"/>
            <v:fill on="f" focussize="0,0"/>
            <v:stroke endarrow="block"/>
            <v:imagedata o:title=""/>
            <o:lock v:ext="edit"/>
          </v:shape>
        </w:pict>
      </w:r>
      <w:r>
        <w:rPr>
          <w:sz w:val="24"/>
        </w:rPr>
        <w:pict>
          <v:shape id="_x0000_s2051" o:spid="_x0000_s2051" o:spt="87" type="#_x0000_t87" style="position:absolute;left:0pt;margin-left:109.7pt;margin-top:12.65pt;height:125.8pt;width:7.5pt;z-index:251660288;mso-width-relative:page;mso-height-relative:page;" filled="f" coordsize="21600,21600">
            <v:path arrowok="t"/>
            <v:fill on="f" focussize="0,0"/>
            <v:stroke/>
            <v:imagedata o:title=""/>
            <o:lock v:ext="edit"/>
          </v:shape>
        </w:pict>
      </w:r>
    </w:p>
    <w:p w14:paraId="7252D170">
      <w:pPr>
        <w:pStyle w:val="16"/>
        <w:spacing w:line="60" w:lineRule="auto"/>
        <w:ind w:left="1060" w:firstLine="0" w:firstLineChars="0"/>
        <w:rPr>
          <w:sz w:val="24"/>
        </w:rPr>
      </w:pPr>
    </w:p>
    <w:p w14:paraId="2306423A">
      <w:pPr>
        <w:pStyle w:val="16"/>
        <w:spacing w:line="60" w:lineRule="auto"/>
        <w:ind w:left="1060" w:firstLine="0" w:firstLineChars="0"/>
        <w:rPr>
          <w:sz w:val="24"/>
        </w:rPr>
      </w:pPr>
      <w:r>
        <w:rPr>
          <w:sz w:val="24"/>
        </w:rPr>
        <w:pict>
          <v:rect id="_x0000_s2050" o:spid="_x0000_s2050" o:spt="1" style="position:absolute;left:0pt;margin-left:54.05pt;margin-top:0.7pt;height:81.4pt;width:35.65pt;z-index:251659264;mso-width-relative:page;mso-height-relative:page;" fillcolor="#4BACC6" filled="t" stroked="t" coordsize="21600,21600">
            <v:path/>
            <v:fill on="t" focussize="0,0"/>
            <v:stroke weight="3pt" color="#F2F2F2"/>
            <v:imagedata o:title=""/>
            <o:lock v:ext="edit"/>
            <v:shadow on="t" type="perspective" color="#205867" opacity="32768f" offset="1pt,2pt" offset2="-1pt,-2pt"/>
            <v:textbox>
              <w:txbxContent>
                <w:p w14:paraId="2508CFB2">
                  <w:r>
                    <w:rPr>
                      <w:rFonts w:hint="eastAsia"/>
                    </w:rPr>
                    <w:t>IT</w:t>
                  </w:r>
                </w:p>
                <w:p w14:paraId="7A49EEAC">
                  <w:r>
                    <w:rPr>
                      <w:rFonts w:hint="eastAsia"/>
                    </w:rPr>
                    <w:t>文</w:t>
                  </w:r>
                </w:p>
                <w:p w14:paraId="5C09EBA0">
                  <w:r>
                    <w:rPr>
                      <w:rFonts w:hint="eastAsia"/>
                    </w:rPr>
                    <w:t>档</w:t>
                  </w:r>
                </w:p>
              </w:txbxContent>
            </v:textbox>
          </v:rect>
        </w:pict>
      </w:r>
    </w:p>
    <w:p w14:paraId="222EFDCF">
      <w:pPr>
        <w:pStyle w:val="16"/>
        <w:spacing w:line="60" w:lineRule="auto"/>
        <w:ind w:left="1060" w:firstLine="0" w:firstLineChars="0"/>
        <w:rPr>
          <w:sz w:val="24"/>
        </w:rPr>
      </w:pPr>
      <w:r>
        <w:rPr>
          <w:sz w:val="24"/>
        </w:rPr>
        <w:pict>
          <v:roundrect id="_x0000_s2059" o:spid="_x0000_s2059" o:spt="2" style="position:absolute;left:0pt;margin-left:249.35pt;margin-top:5pt;height:49.45pt;width:160.9pt;z-index:251668480;mso-width-relative:page;mso-height-relative:page;" fillcolor="#92CDDC" filled="t" stroked="t" coordsize="21600,21600" arcsize="0.166666666666667">
            <v:path/>
            <v:fill type="gradient" on="t" color2="#DAEEF3" angle="-45" focus="-50%" focussize="0f,0f"/>
            <v:stroke weight="1pt" color="#92CDDC"/>
            <v:imagedata o:title=""/>
            <o:lock v:ext="edit"/>
            <v:shadow on="t" type="perspective" color="#205867" opacity="32768f" offset="1pt,2pt" offset2="-3pt,-2pt"/>
            <v:textbox>
              <w:txbxContent>
                <w:p w14:paraId="33A56880">
                  <w:r>
                    <w:rPr>
                      <w:rFonts w:hint="eastAsia"/>
                    </w:rPr>
                    <w:t>信息化项目合同、软件授权许可证、相关租赁合同等</w:t>
                  </w:r>
                </w:p>
              </w:txbxContent>
            </v:textbox>
          </v:roundrect>
        </w:pict>
      </w:r>
      <w:r>
        <w:rPr>
          <w:sz w:val="24"/>
        </w:rPr>
        <w:pict>
          <v:rect id="_x0000_s2053" o:spid="_x0000_s2053" o:spt="1" style="position:absolute;left:0pt;margin-left:123.5pt;margin-top:15.3pt;height:28.65pt;width:78.25pt;z-index:251662336;mso-width-relative:page;mso-height-relative:page;" fillcolor="#FFFFFF" filled="t" stroked="t" coordsize="21600,21600">
            <v:path/>
            <v:fill type="gradient" on="t" color2="#CCC0D9" focus="100%" focussize="0f,0f" focusposition="65536f"/>
            <v:stroke weight="1pt" color="#B2A1C7"/>
            <v:imagedata o:title=""/>
            <o:lock v:ext="edit"/>
            <v:shadow on="t" type="perspective" color="#3F3151" opacity="32768f" offset="1pt,2pt" offset2="-3pt,-2pt"/>
            <v:textbox>
              <w:txbxContent>
                <w:p w14:paraId="7069FFA3">
                  <w:r>
                    <w:rPr>
                      <w:rFonts w:hint="eastAsia"/>
                    </w:rPr>
                    <w:t>合同协议类</w:t>
                  </w:r>
                </w:p>
              </w:txbxContent>
            </v:textbox>
          </v:rect>
        </w:pict>
      </w:r>
    </w:p>
    <w:p w14:paraId="743D9809">
      <w:pPr>
        <w:pStyle w:val="16"/>
        <w:spacing w:line="60" w:lineRule="auto"/>
        <w:ind w:left="1060" w:firstLine="0" w:firstLineChars="0"/>
        <w:rPr>
          <w:sz w:val="24"/>
        </w:rPr>
      </w:pPr>
      <w:r>
        <w:rPr>
          <w:sz w:val="24"/>
        </w:rPr>
        <w:pict>
          <v:shape id="_x0000_s2056" o:spid="_x0000_s2056" o:spt="32" type="#_x0000_t32" style="position:absolute;left:0pt;flip:x y;margin-left:201.75pt;margin-top:13.65pt;height:0.65pt;width:47.6pt;z-index:251665408;mso-width-relative:page;mso-height-relative:page;" o:connectortype="straight" filled="f" coordsize="21600,21600">
            <v:path arrowok="t"/>
            <v:fill on="f" focussize="0,0"/>
            <v:stroke endarrow="block"/>
            <v:imagedata o:title=""/>
            <o:lock v:ext="edit"/>
          </v:shape>
        </w:pict>
      </w:r>
    </w:p>
    <w:p w14:paraId="082AA698">
      <w:pPr>
        <w:pStyle w:val="16"/>
        <w:spacing w:line="60" w:lineRule="auto"/>
        <w:ind w:left="1060" w:firstLine="0" w:firstLineChars="0"/>
        <w:rPr>
          <w:sz w:val="24"/>
        </w:rPr>
      </w:pPr>
    </w:p>
    <w:p w14:paraId="62DA30DD">
      <w:pPr>
        <w:pStyle w:val="16"/>
        <w:spacing w:line="60" w:lineRule="auto"/>
        <w:ind w:left="1060" w:firstLine="0" w:firstLineChars="0"/>
        <w:rPr>
          <w:sz w:val="24"/>
        </w:rPr>
      </w:pPr>
    </w:p>
    <w:p w14:paraId="396D29DF">
      <w:pPr>
        <w:pStyle w:val="16"/>
        <w:spacing w:line="60" w:lineRule="auto"/>
        <w:ind w:left="1060" w:firstLine="0" w:firstLineChars="0"/>
        <w:rPr>
          <w:sz w:val="24"/>
        </w:rPr>
      </w:pPr>
      <w:r>
        <w:rPr>
          <w:sz w:val="24"/>
        </w:rPr>
        <w:pict>
          <v:roundrect id="_x0000_s2060" o:spid="_x0000_s2060" o:spt="2" style="position:absolute;left:0pt;margin-left:249.35pt;margin-top:5.5pt;height:56.6pt;width:160.9pt;z-index:251669504;mso-width-relative:page;mso-height-relative:page;" fillcolor="#92CDDC" filled="t" stroked="t" coordsize="21600,21600" arcsize="0.166666666666667">
            <v:path/>
            <v:fill type="gradient" on="t" color2="#DAEEF3" angle="-45" focus="-50%" focussize="0f,0f"/>
            <v:stroke weight="1pt" color="#92CDDC"/>
            <v:imagedata o:title=""/>
            <o:lock v:ext="edit"/>
            <v:shadow on="t" type="perspective" color="#205867" opacity="32768f" offset="1pt,2pt" offset2="-3pt,-2pt"/>
            <v:textbox>
              <w:txbxContent>
                <w:p w14:paraId="25940409">
                  <w:r>
                    <w:rPr>
                      <w:rFonts w:hint="eastAsia"/>
                    </w:rPr>
                    <w:t>IP地址表、固定资产使用表、信息点位对应表、弱电项目图纸等</w:t>
                  </w:r>
                </w:p>
              </w:txbxContent>
            </v:textbox>
          </v:roundrect>
        </w:pict>
      </w:r>
    </w:p>
    <w:p w14:paraId="287D6B80">
      <w:pPr>
        <w:pStyle w:val="16"/>
        <w:spacing w:line="60" w:lineRule="auto"/>
        <w:ind w:left="1060" w:firstLine="0" w:firstLineChars="0"/>
        <w:rPr>
          <w:sz w:val="24"/>
        </w:rPr>
      </w:pPr>
      <w:r>
        <w:rPr>
          <w:sz w:val="24"/>
        </w:rPr>
        <w:pict>
          <v:shape id="_x0000_s2057" o:spid="_x0000_s2057" o:spt="32" type="#_x0000_t32" style="position:absolute;left:0pt;flip:x;margin-left:198pt;margin-top:18.35pt;height:0pt;width:51.35pt;z-index:251666432;mso-width-relative:page;mso-height-relative:page;" o:connectortype="straight" filled="f" coordsize="21600,21600">
            <v:path arrowok="t"/>
            <v:fill on="f" focussize="0,0"/>
            <v:stroke endarrow="block"/>
            <v:imagedata o:title=""/>
            <o:lock v:ext="edit"/>
          </v:shape>
        </w:pict>
      </w:r>
      <w:r>
        <w:rPr>
          <w:sz w:val="24"/>
        </w:rPr>
        <w:pict>
          <v:rect id="_x0000_s2054" o:spid="_x0000_s2054" o:spt="1" style="position:absolute;left:0pt;margin-left:123.5pt;margin-top:3.3pt;height:28.15pt;width:74.5pt;z-index:251663360;mso-width-relative:page;mso-height-relative:page;" fillcolor="#FFFFFF" filled="t" stroked="t" coordsize="21600,21600">
            <v:path/>
            <v:fill type="gradient" on="t" color2="#CCC0D9" focus="100%" focussize="0f,0f" focusposition="65536f"/>
            <v:stroke weight="1pt" color="#B2A1C7"/>
            <v:imagedata o:title=""/>
            <o:lock v:ext="edit"/>
            <v:shadow on="t" type="perspective" color="#3F3151" opacity="32768f" offset="1pt,2pt" offset2="-3pt,-2pt"/>
            <v:textbox>
              <w:txbxContent>
                <w:p w14:paraId="5DF3C067">
                  <w:r>
                    <w:rPr>
                      <w:rFonts w:hint="eastAsia"/>
                    </w:rPr>
                    <w:t>运维文档类</w:t>
                  </w:r>
                </w:p>
              </w:txbxContent>
            </v:textbox>
          </v:rect>
        </w:pict>
      </w:r>
    </w:p>
    <w:p w14:paraId="0B08C9CC">
      <w:pPr>
        <w:pStyle w:val="16"/>
        <w:spacing w:line="60" w:lineRule="auto"/>
        <w:ind w:left="1060" w:firstLine="0" w:firstLineChars="0"/>
        <w:rPr>
          <w:b/>
          <w:sz w:val="24"/>
        </w:rPr>
      </w:pPr>
    </w:p>
    <w:p w14:paraId="35BBC1AA">
      <w:pPr>
        <w:pStyle w:val="16"/>
        <w:spacing w:line="60" w:lineRule="auto"/>
        <w:ind w:left="1060" w:firstLine="0" w:firstLineChars="0"/>
        <w:rPr>
          <w:b/>
          <w:sz w:val="24"/>
        </w:rPr>
      </w:pPr>
    </w:p>
    <w:p w14:paraId="362DAC98">
      <w:pPr>
        <w:pStyle w:val="16"/>
        <w:numPr>
          <w:ilvl w:val="0"/>
          <w:numId w:val="3"/>
        </w:numPr>
        <w:spacing w:line="60" w:lineRule="auto"/>
        <w:ind w:firstLineChars="0"/>
        <w:rPr>
          <w:sz w:val="24"/>
        </w:rPr>
      </w:pPr>
      <w:r>
        <w:rPr>
          <w:rFonts w:hint="eastAsia"/>
          <w:b/>
          <w:sz w:val="24"/>
        </w:rPr>
        <w:t>目标：</w:t>
      </w:r>
    </w:p>
    <w:p w14:paraId="7565CFA5">
      <w:pPr>
        <w:pStyle w:val="16"/>
        <w:spacing w:line="60" w:lineRule="auto"/>
        <w:ind w:left="1480" w:firstLine="0" w:firstLineChars="0"/>
        <w:rPr>
          <w:sz w:val="24"/>
        </w:rPr>
      </w:pPr>
      <w:r>
        <w:rPr>
          <w:rFonts w:hint="eastAsia"/>
          <w:sz w:val="24"/>
        </w:rPr>
        <w:t>根据类别划分，文档管理所要达到的目标包括以下三项：</w:t>
      </w:r>
    </w:p>
    <w:p w14:paraId="0F130D67">
      <w:pPr>
        <w:pStyle w:val="16"/>
        <w:numPr>
          <w:ilvl w:val="0"/>
          <w:numId w:val="4"/>
        </w:numPr>
        <w:spacing w:line="60" w:lineRule="auto"/>
        <w:ind w:firstLineChars="0"/>
        <w:rPr>
          <w:sz w:val="24"/>
        </w:rPr>
      </w:pPr>
      <w:r>
        <w:rPr>
          <w:rFonts w:hint="eastAsia"/>
          <w:sz w:val="24"/>
        </w:rPr>
        <w:t>模板类文档保存完整，根据业务需求的变更对模板内容做实时变更并及时发布。</w:t>
      </w:r>
    </w:p>
    <w:p w14:paraId="36DAC0C5">
      <w:pPr>
        <w:pStyle w:val="16"/>
        <w:numPr>
          <w:ilvl w:val="0"/>
          <w:numId w:val="4"/>
        </w:numPr>
        <w:spacing w:line="60" w:lineRule="auto"/>
        <w:ind w:firstLineChars="0"/>
        <w:rPr>
          <w:sz w:val="24"/>
        </w:rPr>
      </w:pPr>
      <w:r>
        <w:rPr>
          <w:rFonts w:hint="eastAsia"/>
          <w:sz w:val="24"/>
        </w:rPr>
        <w:t>协议合同分类明晰，索引表得以实时更新。</w:t>
      </w:r>
    </w:p>
    <w:p w14:paraId="2097CDFA">
      <w:pPr>
        <w:pStyle w:val="16"/>
        <w:numPr>
          <w:ilvl w:val="0"/>
          <w:numId w:val="4"/>
        </w:numPr>
        <w:spacing w:line="60" w:lineRule="auto"/>
        <w:ind w:firstLineChars="0"/>
        <w:rPr>
          <w:sz w:val="24"/>
        </w:rPr>
      </w:pPr>
      <w:r>
        <w:rPr>
          <w:rFonts w:hint="eastAsia"/>
          <w:sz w:val="24"/>
        </w:rPr>
        <w:t>运维文档内容详实准确，为日常运维活动提供有效的依据和记录。</w:t>
      </w:r>
    </w:p>
    <w:p w14:paraId="78FA18AC">
      <w:pPr>
        <w:pStyle w:val="16"/>
        <w:numPr>
          <w:ilvl w:val="0"/>
          <w:numId w:val="3"/>
        </w:numPr>
        <w:spacing w:line="60" w:lineRule="auto"/>
        <w:ind w:firstLineChars="0"/>
        <w:rPr>
          <w:b/>
          <w:sz w:val="24"/>
        </w:rPr>
      </w:pPr>
      <w:r>
        <w:rPr>
          <w:rFonts w:hint="eastAsia"/>
          <w:b/>
          <w:sz w:val="24"/>
        </w:rPr>
        <w:t>主要活动</w:t>
      </w:r>
    </w:p>
    <w:p w14:paraId="67DD028B">
      <w:pPr>
        <w:pStyle w:val="16"/>
        <w:numPr>
          <w:ilvl w:val="0"/>
          <w:numId w:val="5"/>
        </w:numPr>
        <w:spacing w:line="60" w:lineRule="auto"/>
        <w:ind w:firstLineChars="0"/>
        <w:rPr>
          <w:sz w:val="24"/>
        </w:rPr>
      </w:pPr>
      <w:r>
        <w:rPr>
          <w:rFonts w:hint="eastAsia"/>
          <w:b/>
          <w:sz w:val="24"/>
        </w:rPr>
        <w:t xml:space="preserve"> </w:t>
      </w:r>
      <w:r>
        <w:rPr>
          <w:rFonts w:hint="eastAsia"/>
          <w:sz w:val="24"/>
        </w:rPr>
        <w:t>在上级管理部门的指导下，对IT项目建设及日常运维文档进行分类，建立IT文档分类体系及权限管理条例。</w:t>
      </w:r>
    </w:p>
    <w:p w14:paraId="559EFDFD">
      <w:pPr>
        <w:pStyle w:val="16"/>
        <w:numPr>
          <w:ilvl w:val="0"/>
          <w:numId w:val="5"/>
        </w:numPr>
        <w:spacing w:line="60" w:lineRule="auto"/>
        <w:ind w:firstLineChars="0"/>
        <w:rPr>
          <w:b/>
          <w:sz w:val="24"/>
        </w:rPr>
      </w:pPr>
      <w:r>
        <w:rPr>
          <w:rFonts w:hint="eastAsia"/>
          <w:b/>
          <w:sz w:val="24"/>
        </w:rPr>
        <w:t xml:space="preserve"> </w:t>
      </w:r>
      <w:r>
        <w:rPr>
          <w:rFonts w:hint="eastAsia"/>
          <w:sz w:val="24"/>
        </w:rPr>
        <w:t>根据日常运维管理需求，完善文档模板档案库，并进行分类存档。</w:t>
      </w:r>
    </w:p>
    <w:p w14:paraId="2B9D186C">
      <w:pPr>
        <w:pStyle w:val="16"/>
        <w:numPr>
          <w:ilvl w:val="0"/>
          <w:numId w:val="5"/>
        </w:numPr>
        <w:spacing w:line="60" w:lineRule="auto"/>
        <w:ind w:firstLineChars="0"/>
        <w:rPr>
          <w:sz w:val="24"/>
        </w:rPr>
      </w:pPr>
      <w:r>
        <w:rPr>
          <w:rFonts w:hint="eastAsia"/>
          <w:sz w:val="24"/>
        </w:rPr>
        <w:t>定期对文档档案库中的文档进行统一整理和管理，形成文档索引表，发送至上级管理部门，方便检索。</w:t>
      </w:r>
    </w:p>
    <w:p w14:paraId="2979F613">
      <w:pPr>
        <w:pStyle w:val="16"/>
        <w:numPr>
          <w:ilvl w:val="0"/>
          <w:numId w:val="5"/>
        </w:numPr>
        <w:spacing w:line="60" w:lineRule="auto"/>
        <w:ind w:firstLineChars="0"/>
        <w:rPr>
          <w:sz w:val="24"/>
        </w:rPr>
      </w:pPr>
      <w:r>
        <w:rPr>
          <w:rFonts w:hint="eastAsia"/>
          <w:sz w:val="24"/>
        </w:rPr>
        <w:t>根据文档创建时间，及时对文档的版本、有效期等进行更新，同时做销毁记录变更。</w:t>
      </w:r>
    </w:p>
    <w:p w14:paraId="550C54D6">
      <w:pPr>
        <w:pStyle w:val="16"/>
        <w:numPr>
          <w:ilvl w:val="0"/>
          <w:numId w:val="3"/>
        </w:numPr>
        <w:spacing w:line="60" w:lineRule="auto"/>
        <w:ind w:firstLineChars="0"/>
        <w:rPr>
          <w:b/>
          <w:sz w:val="24"/>
        </w:rPr>
      </w:pPr>
      <w:r>
        <w:rPr>
          <w:rFonts w:hint="eastAsia"/>
          <w:b/>
          <w:sz w:val="24"/>
        </w:rPr>
        <w:t>流程图</w:t>
      </w:r>
    </w:p>
    <w:p w14:paraId="2FB54AA0">
      <w:pPr>
        <w:pStyle w:val="16"/>
        <w:spacing w:line="60" w:lineRule="auto"/>
        <w:ind w:left="1480" w:firstLine="0" w:firstLineChars="0"/>
        <w:rPr>
          <w:b/>
          <w:sz w:val="24"/>
        </w:rPr>
      </w:pPr>
      <w:r>
        <w:rPr>
          <w:b/>
          <w:sz w:val="24"/>
        </w:rPr>
        <w:drawing>
          <wp:inline distT="0" distB="0" distL="0" distR="0">
            <wp:extent cx="4497070" cy="2846070"/>
            <wp:effectExtent l="19050" t="0" r="0" b="0"/>
            <wp:docPr id="3" name="图片 1" descr="it文档管理.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t文档管理.jpg"/>
                    <pic:cNvPicPr>
                      <a:picLocks noChangeAspect="1"/>
                    </pic:cNvPicPr>
                  </pic:nvPicPr>
                  <pic:blipFill>
                    <a:blip r:embed="rId5"/>
                    <a:stretch>
                      <a:fillRect/>
                    </a:stretch>
                  </pic:blipFill>
                  <pic:spPr>
                    <a:xfrm>
                      <a:off x="0" y="0"/>
                      <a:ext cx="4510166" cy="2854716"/>
                    </a:xfrm>
                    <a:prstGeom prst="rect">
                      <a:avLst/>
                    </a:prstGeom>
                  </pic:spPr>
                </pic:pic>
              </a:graphicData>
            </a:graphic>
          </wp:inline>
        </w:drawing>
      </w:r>
    </w:p>
    <w:p w14:paraId="7303CAFB">
      <w:pPr>
        <w:pStyle w:val="21"/>
        <w:rPr>
          <w:rStyle w:val="26"/>
          <w:b w:val="0"/>
        </w:rPr>
      </w:pPr>
      <w:r>
        <w:rPr>
          <w:rStyle w:val="26"/>
          <w:rFonts w:hint="eastAsia"/>
          <w:b w:val="0"/>
        </w:rPr>
        <w:t>资产管理</w:t>
      </w:r>
    </w:p>
    <w:p w14:paraId="75495FE9">
      <w:pPr>
        <w:pStyle w:val="16"/>
        <w:numPr>
          <w:ilvl w:val="0"/>
          <w:numId w:val="6"/>
        </w:numPr>
        <w:spacing w:line="60" w:lineRule="auto"/>
        <w:ind w:hanging="67" w:firstLineChars="0"/>
        <w:rPr>
          <w:b/>
          <w:sz w:val="24"/>
        </w:rPr>
      </w:pPr>
      <w:r>
        <w:rPr>
          <w:rFonts w:hint="eastAsia"/>
          <w:b/>
          <w:sz w:val="24"/>
        </w:rPr>
        <w:t>基本概念 :</w:t>
      </w:r>
      <w:r>
        <w:rPr>
          <w:rFonts w:hint="eastAsia"/>
          <w:sz w:val="24"/>
        </w:rPr>
        <w:t>IT资产分为软件、IT设备以及配件耗材三大类，IT设备包括服务器、台式电脑主机、笔记本电脑、显示器、打印设备、扫描仪、UPS（≥3KVA）设备、网络交换机、路由器、程控交换机等，有限保修为3年，折旧年限为5年。</w:t>
      </w:r>
    </w:p>
    <w:p w14:paraId="38AF09F8">
      <w:pPr>
        <w:pStyle w:val="16"/>
        <w:numPr>
          <w:ilvl w:val="0"/>
          <w:numId w:val="6"/>
        </w:numPr>
        <w:spacing w:line="60" w:lineRule="auto"/>
        <w:ind w:hanging="67" w:firstLineChars="0"/>
        <w:rPr>
          <w:b/>
          <w:sz w:val="24"/>
        </w:rPr>
      </w:pPr>
      <w:r>
        <w:rPr>
          <w:rFonts w:hint="eastAsia"/>
          <w:b/>
          <w:sz w:val="24"/>
        </w:rPr>
        <w:t>目标</w:t>
      </w:r>
    </w:p>
    <w:p w14:paraId="4C9672B7">
      <w:pPr>
        <w:pStyle w:val="16"/>
        <w:spacing w:line="60" w:lineRule="auto"/>
        <w:ind w:left="1480" w:firstLine="0" w:firstLineChars="0"/>
        <w:rPr>
          <w:sz w:val="24"/>
        </w:rPr>
      </w:pPr>
      <w:r>
        <w:rPr>
          <w:rFonts w:hint="eastAsia"/>
          <w:sz w:val="24"/>
        </w:rPr>
        <w:t>IT资产是公司固定资产的重要组成部分，也是实施信息化管理的运维基础平台，它的使用状态直接关系着IT基础架构的性能，综合来讲，IT资产是管理目标包括以下2项：</w:t>
      </w:r>
    </w:p>
    <w:p w14:paraId="1FDB1626">
      <w:pPr>
        <w:pStyle w:val="16"/>
        <w:numPr>
          <w:ilvl w:val="0"/>
          <w:numId w:val="7"/>
        </w:numPr>
        <w:spacing w:line="60" w:lineRule="auto"/>
        <w:ind w:firstLineChars="0"/>
        <w:rPr>
          <w:sz w:val="24"/>
        </w:rPr>
      </w:pPr>
      <w:r>
        <w:rPr>
          <w:rFonts w:hint="eastAsia"/>
          <w:sz w:val="24"/>
        </w:rPr>
        <w:t>对IT资产的整个生命周期实施有效管理。</w:t>
      </w:r>
    </w:p>
    <w:p w14:paraId="6D230156">
      <w:pPr>
        <w:pStyle w:val="16"/>
        <w:spacing w:line="60" w:lineRule="auto"/>
        <w:ind w:left="1480" w:firstLine="0" w:firstLineChars="0"/>
        <w:rPr>
          <w:sz w:val="24"/>
        </w:rPr>
      </w:pPr>
      <w:r>
        <w:rPr>
          <w:sz w:val="24"/>
        </w:rPr>
        <w:drawing>
          <wp:inline distT="0" distB="0" distL="0" distR="0">
            <wp:extent cx="4547870" cy="2599690"/>
            <wp:effectExtent l="0" t="0" r="0" b="0"/>
            <wp:docPr id="2" name="图示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685E99D8">
      <w:pPr>
        <w:pStyle w:val="16"/>
        <w:numPr>
          <w:ilvl w:val="0"/>
          <w:numId w:val="7"/>
        </w:numPr>
        <w:spacing w:line="60" w:lineRule="auto"/>
        <w:ind w:firstLineChars="0"/>
        <w:rPr>
          <w:sz w:val="24"/>
        </w:rPr>
      </w:pPr>
      <w:r>
        <w:rPr>
          <w:rFonts w:hint="eastAsia"/>
          <w:sz w:val="24"/>
        </w:rPr>
        <w:t>实时记录IT资产是日常运维状态，为问题管理、配置管理等流程提供可靠是数据资料。</w:t>
      </w:r>
    </w:p>
    <w:p w14:paraId="777D8AFE">
      <w:pPr>
        <w:pStyle w:val="16"/>
        <w:numPr>
          <w:ilvl w:val="0"/>
          <w:numId w:val="6"/>
        </w:numPr>
        <w:spacing w:line="60" w:lineRule="auto"/>
        <w:ind w:hanging="67" w:firstLineChars="0"/>
        <w:rPr>
          <w:b/>
          <w:sz w:val="24"/>
        </w:rPr>
      </w:pPr>
      <w:r>
        <w:rPr>
          <w:rFonts w:hint="eastAsia"/>
          <w:b/>
          <w:sz w:val="24"/>
        </w:rPr>
        <w:t>主要活动</w:t>
      </w:r>
    </w:p>
    <w:p w14:paraId="08275F2C">
      <w:pPr>
        <w:pStyle w:val="16"/>
        <w:numPr>
          <w:ilvl w:val="0"/>
          <w:numId w:val="8"/>
        </w:numPr>
        <w:spacing w:line="60" w:lineRule="auto"/>
        <w:ind w:firstLineChars="0"/>
        <w:rPr>
          <w:sz w:val="24"/>
        </w:rPr>
      </w:pPr>
      <w:r>
        <w:rPr>
          <w:rFonts w:hint="eastAsia"/>
          <w:sz w:val="24"/>
        </w:rPr>
        <w:t>IT资产管理主要侧重于信息化日常运维工作中的、信息化建设过程中的的设施的管理，以及对此类设施的使用、调配及使用生命周期内的维护等。</w:t>
      </w:r>
    </w:p>
    <w:p w14:paraId="1C1B4CC7">
      <w:pPr>
        <w:pStyle w:val="16"/>
        <w:numPr>
          <w:ilvl w:val="0"/>
          <w:numId w:val="8"/>
        </w:numPr>
        <w:spacing w:line="60" w:lineRule="auto"/>
        <w:ind w:firstLineChars="0"/>
        <w:rPr>
          <w:sz w:val="24"/>
        </w:rPr>
      </w:pPr>
      <w:r>
        <w:rPr>
          <w:rFonts w:hint="eastAsia"/>
          <w:sz w:val="24"/>
        </w:rPr>
        <w:t>IT资产采购审核管理</w:t>
      </w:r>
    </w:p>
    <w:p w14:paraId="4DFF0B5B">
      <w:pPr>
        <w:pStyle w:val="16"/>
        <w:numPr>
          <w:ilvl w:val="0"/>
          <w:numId w:val="9"/>
        </w:numPr>
        <w:spacing w:line="60" w:lineRule="auto"/>
        <w:ind w:firstLineChars="0"/>
        <w:rPr>
          <w:sz w:val="24"/>
        </w:rPr>
      </w:pPr>
      <w:r>
        <w:rPr>
          <w:rFonts w:hint="eastAsia"/>
          <w:sz w:val="24"/>
        </w:rPr>
        <w:t>应用部门根据业务发展、工作内容以及工作性质的要求，提出采购申请，经部门领导/主管领导审核后，提交信息化管理专员（总经办？</w:t>
      </w:r>
      <w:r>
        <w:rPr>
          <w:rFonts w:hint="eastAsia"/>
          <w:color w:val="FF0000"/>
          <w:sz w:val="24"/>
        </w:rPr>
        <w:t>待定，下同</w:t>
      </w:r>
      <w:r>
        <w:rPr>
          <w:rFonts w:hint="eastAsia"/>
          <w:sz w:val="24"/>
        </w:rPr>
        <w:t>）；</w:t>
      </w:r>
    </w:p>
    <w:p w14:paraId="13DAB3BA">
      <w:pPr>
        <w:pStyle w:val="16"/>
        <w:numPr>
          <w:ilvl w:val="0"/>
          <w:numId w:val="9"/>
        </w:numPr>
        <w:spacing w:line="60" w:lineRule="auto"/>
        <w:ind w:firstLineChars="0"/>
        <w:rPr>
          <w:sz w:val="24"/>
        </w:rPr>
      </w:pPr>
      <w:r>
        <w:rPr>
          <w:rFonts w:hint="eastAsia"/>
          <w:sz w:val="24"/>
        </w:rPr>
        <w:t>信息化管理专员根据申请表拟定采购（或调配）计划，采购活动严格遵守《总字047号--采购管理实施细则》之相关规定。</w:t>
      </w:r>
    </w:p>
    <w:p w14:paraId="37575230">
      <w:pPr>
        <w:pStyle w:val="16"/>
        <w:numPr>
          <w:ilvl w:val="0"/>
          <w:numId w:val="9"/>
        </w:numPr>
        <w:spacing w:line="60" w:lineRule="auto"/>
        <w:ind w:firstLineChars="0"/>
        <w:rPr>
          <w:sz w:val="24"/>
        </w:rPr>
      </w:pPr>
      <w:r>
        <w:rPr>
          <w:rFonts w:hint="eastAsia"/>
          <w:sz w:val="24"/>
        </w:rPr>
        <w:t>信息化管理专员根据提请应用部门的业务需求，参照IT资产总体使用状况，判断是否需要采购，并将结果反馈给提出申请部门。</w:t>
      </w:r>
    </w:p>
    <w:p w14:paraId="236E10C6">
      <w:pPr>
        <w:pStyle w:val="16"/>
        <w:numPr>
          <w:ilvl w:val="0"/>
          <w:numId w:val="8"/>
        </w:numPr>
        <w:spacing w:line="60" w:lineRule="auto"/>
        <w:ind w:firstLineChars="0"/>
        <w:rPr>
          <w:sz w:val="24"/>
        </w:rPr>
      </w:pPr>
      <w:r>
        <w:rPr>
          <w:rFonts w:hint="eastAsia"/>
          <w:sz w:val="24"/>
        </w:rPr>
        <w:t>IT资产调拨报废管理</w:t>
      </w:r>
    </w:p>
    <w:p w14:paraId="4463CFB1">
      <w:pPr>
        <w:pStyle w:val="16"/>
        <w:numPr>
          <w:ilvl w:val="0"/>
          <w:numId w:val="10"/>
        </w:numPr>
        <w:spacing w:line="60" w:lineRule="auto"/>
        <w:ind w:firstLineChars="0"/>
        <w:rPr>
          <w:sz w:val="24"/>
        </w:rPr>
      </w:pPr>
      <w:r>
        <w:rPr>
          <w:rFonts w:hint="eastAsia"/>
          <w:sz w:val="24"/>
        </w:rPr>
        <w:t>信息化管理专员根据应用部门的业务需求，向上级部门提出设备调拨申请，并明确说明调拨的理由及具体调拨部门（调拨单模板见附件）。</w:t>
      </w:r>
    </w:p>
    <w:p w14:paraId="4C260322">
      <w:pPr>
        <w:pStyle w:val="16"/>
        <w:numPr>
          <w:ilvl w:val="0"/>
          <w:numId w:val="10"/>
        </w:numPr>
        <w:spacing w:line="60" w:lineRule="auto"/>
        <w:ind w:firstLineChars="0"/>
        <w:rPr>
          <w:sz w:val="24"/>
        </w:rPr>
      </w:pPr>
      <w:r>
        <w:rPr>
          <w:rFonts w:hint="eastAsia"/>
          <w:sz w:val="24"/>
        </w:rPr>
        <w:t>上级部门对调拨申请进行审核,审核通过后，由信息化管理专员负责将业务部门所需设备调拨至申请部门。</w:t>
      </w:r>
      <w:r>
        <w:rPr>
          <w:sz w:val="24"/>
        </w:rPr>
        <w:t xml:space="preserve"> </w:t>
      </w:r>
    </w:p>
    <w:p w14:paraId="39B88C35">
      <w:pPr>
        <w:pStyle w:val="16"/>
        <w:numPr>
          <w:ilvl w:val="0"/>
          <w:numId w:val="6"/>
        </w:numPr>
        <w:spacing w:line="60" w:lineRule="auto"/>
        <w:ind w:hanging="67" w:firstLineChars="0"/>
        <w:rPr>
          <w:b/>
          <w:sz w:val="24"/>
        </w:rPr>
      </w:pPr>
      <w:r>
        <w:rPr>
          <w:rFonts w:hint="eastAsia"/>
          <w:b/>
          <w:sz w:val="24"/>
        </w:rPr>
        <w:t>流程图</w:t>
      </w:r>
    </w:p>
    <w:p w14:paraId="7EC2794E">
      <w:pPr>
        <w:pStyle w:val="16"/>
        <w:ind w:firstLine="482"/>
        <w:rPr>
          <w:b/>
          <w:sz w:val="24"/>
        </w:rPr>
      </w:pPr>
      <w:r>
        <w:rPr>
          <w:b/>
          <w:sz w:val="24"/>
        </w:rPr>
        <w:drawing>
          <wp:inline distT="0" distB="0" distL="0" distR="0">
            <wp:extent cx="4982210" cy="3521075"/>
            <wp:effectExtent l="19050" t="0" r="8779" b="0"/>
            <wp:docPr id="1" name="图片 0" descr="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绘图.jpg"/>
                    <pic:cNvPicPr>
                      <a:picLocks noChangeAspect="1"/>
                    </pic:cNvPicPr>
                  </pic:nvPicPr>
                  <pic:blipFill>
                    <a:blip r:embed="rId11"/>
                    <a:stretch>
                      <a:fillRect/>
                    </a:stretch>
                  </pic:blipFill>
                  <pic:spPr>
                    <a:xfrm>
                      <a:off x="0" y="0"/>
                      <a:ext cx="4982634" cy="3521317"/>
                    </a:xfrm>
                    <a:prstGeom prst="rect">
                      <a:avLst/>
                    </a:prstGeom>
                  </pic:spPr>
                </pic:pic>
              </a:graphicData>
            </a:graphic>
          </wp:inline>
        </w:drawing>
      </w:r>
    </w:p>
    <w:p w14:paraId="1A4C47D7">
      <w:pPr>
        <w:pStyle w:val="21"/>
        <w:rPr>
          <w:rStyle w:val="26"/>
          <w:b w:val="0"/>
        </w:rPr>
      </w:pPr>
      <w:r>
        <w:rPr>
          <w:rStyle w:val="26"/>
          <w:rFonts w:hint="eastAsia"/>
          <w:b w:val="0"/>
        </w:rPr>
        <w:t>问题管理</w:t>
      </w:r>
    </w:p>
    <w:p w14:paraId="0D65E73E">
      <w:pPr>
        <w:pStyle w:val="16"/>
        <w:numPr>
          <w:ilvl w:val="0"/>
          <w:numId w:val="11"/>
        </w:numPr>
        <w:spacing w:line="60" w:lineRule="auto"/>
        <w:ind w:hanging="67" w:firstLineChars="0"/>
        <w:rPr>
          <w:b/>
          <w:sz w:val="24"/>
        </w:rPr>
      </w:pPr>
      <w:r>
        <w:rPr>
          <w:rFonts w:hint="eastAsia"/>
          <w:b/>
          <w:sz w:val="24"/>
        </w:rPr>
        <w:t xml:space="preserve">基本概念 </w:t>
      </w:r>
      <w:r>
        <w:rPr>
          <w:rFonts w:hint="eastAsia"/>
          <w:sz w:val="24"/>
        </w:rPr>
        <w:t>问题管理是指负责解决IT服务运维过程中遇到的所有问题的流程和方法，通过记录并分析归纳IT基础架构的薄弱环节，查明事故产生的根本原因，并制定对应的解决方案和防止同类事故再次发生的措施，将由于问题和事故对业务系统产生的负面影响减小到最低的服务管理流程。</w:t>
      </w:r>
    </w:p>
    <w:p w14:paraId="68E8CD86">
      <w:pPr>
        <w:pStyle w:val="16"/>
        <w:spacing w:line="60" w:lineRule="auto"/>
        <w:ind w:left="1060" w:firstLine="0" w:firstLineChars="0"/>
        <w:rPr>
          <w:sz w:val="24"/>
        </w:rPr>
      </w:pPr>
      <w:r>
        <w:rPr>
          <w:rFonts w:hint="eastAsia"/>
          <w:sz w:val="24"/>
        </w:rPr>
        <w:t>问题管理作为IT运维活动中的重要组成部分，是发布管理、资产管理、配置管理和网络基础架构管理等其他流程的重要数据来源。以下会做详细的描述。</w:t>
      </w:r>
    </w:p>
    <w:p w14:paraId="6F58AFC2">
      <w:pPr>
        <w:pStyle w:val="16"/>
        <w:numPr>
          <w:ilvl w:val="0"/>
          <w:numId w:val="11"/>
        </w:numPr>
        <w:spacing w:line="60" w:lineRule="auto"/>
        <w:ind w:hanging="67" w:firstLineChars="0"/>
        <w:rPr>
          <w:b/>
          <w:sz w:val="24"/>
        </w:rPr>
      </w:pPr>
      <w:r>
        <w:rPr>
          <w:rFonts w:hint="eastAsia"/>
          <w:b/>
          <w:sz w:val="24"/>
        </w:rPr>
        <w:t>目标</w:t>
      </w:r>
    </w:p>
    <w:p w14:paraId="191FAF47">
      <w:pPr>
        <w:pStyle w:val="16"/>
        <w:numPr>
          <w:ilvl w:val="0"/>
          <w:numId w:val="12"/>
        </w:numPr>
        <w:spacing w:line="60" w:lineRule="auto"/>
        <w:ind w:firstLineChars="0"/>
        <w:rPr>
          <w:sz w:val="24"/>
        </w:rPr>
      </w:pPr>
      <w:r>
        <w:rPr>
          <w:rFonts w:hint="eastAsia"/>
          <w:sz w:val="24"/>
        </w:rPr>
        <w:t>将由IT日常运维活动或基础架构中的错误引起的故障和问题对应用业务的影响减少到最低程度；</w:t>
      </w:r>
    </w:p>
    <w:p w14:paraId="673B6CA2">
      <w:pPr>
        <w:pStyle w:val="16"/>
        <w:numPr>
          <w:ilvl w:val="0"/>
          <w:numId w:val="12"/>
        </w:numPr>
        <w:spacing w:line="60" w:lineRule="auto"/>
        <w:ind w:firstLineChars="0"/>
        <w:rPr>
          <w:sz w:val="24"/>
        </w:rPr>
      </w:pPr>
      <w:r>
        <w:rPr>
          <w:rFonts w:hint="eastAsia"/>
          <w:sz w:val="24"/>
        </w:rPr>
        <w:t>查明事故或问题的根本原因，制定相关的解决方案和防止事故再次发生的预防措施；</w:t>
      </w:r>
    </w:p>
    <w:p w14:paraId="02651EAE">
      <w:pPr>
        <w:pStyle w:val="16"/>
        <w:numPr>
          <w:ilvl w:val="0"/>
          <w:numId w:val="12"/>
        </w:numPr>
        <w:spacing w:line="60" w:lineRule="auto"/>
        <w:ind w:firstLineChars="0"/>
        <w:rPr>
          <w:sz w:val="24"/>
        </w:rPr>
      </w:pPr>
      <w:r>
        <w:rPr>
          <w:rFonts w:hint="eastAsia"/>
          <w:sz w:val="24"/>
        </w:rPr>
        <w:t>实施主动问题管理，在事故发生或可能发生之前予以解决或有效预防。</w:t>
      </w:r>
    </w:p>
    <w:p w14:paraId="32A624A9">
      <w:pPr>
        <w:pStyle w:val="16"/>
        <w:numPr>
          <w:ilvl w:val="0"/>
          <w:numId w:val="11"/>
        </w:numPr>
        <w:spacing w:line="60" w:lineRule="auto"/>
        <w:ind w:hanging="67" w:firstLineChars="0"/>
        <w:rPr>
          <w:b/>
          <w:sz w:val="24"/>
        </w:rPr>
      </w:pPr>
      <w:r>
        <w:rPr>
          <w:rFonts w:hint="eastAsia"/>
          <w:b/>
          <w:sz w:val="24"/>
        </w:rPr>
        <w:t>主要活动</w:t>
      </w:r>
    </w:p>
    <w:p w14:paraId="359290DE">
      <w:pPr>
        <w:pStyle w:val="16"/>
        <w:spacing w:line="60" w:lineRule="auto"/>
        <w:ind w:left="1060" w:firstLine="0" w:firstLineChars="0"/>
        <w:rPr>
          <w:sz w:val="24"/>
        </w:rPr>
      </w:pPr>
      <w:r>
        <w:rPr>
          <w:rFonts w:hint="eastAsia"/>
          <w:sz w:val="24"/>
        </w:rPr>
        <w:t>问题管理流程的基本活动主要包括问题控制、错误控制和主动问题管理，每个环节既有所区别又相互关联，下面对三个环节分别介绍：</w:t>
      </w:r>
    </w:p>
    <w:p w14:paraId="3DF72DF3">
      <w:pPr>
        <w:pStyle w:val="16"/>
        <w:numPr>
          <w:ilvl w:val="0"/>
          <w:numId w:val="13"/>
        </w:numPr>
        <w:spacing w:line="60" w:lineRule="auto"/>
        <w:ind w:firstLineChars="0"/>
        <w:rPr>
          <w:sz w:val="24"/>
        </w:rPr>
      </w:pPr>
      <w:r>
        <w:rPr>
          <w:rFonts w:hint="eastAsia"/>
          <w:sz w:val="24"/>
        </w:rPr>
        <w:t xml:space="preserve">问题控制 </w:t>
      </w:r>
    </w:p>
    <w:p w14:paraId="30BACB55">
      <w:pPr>
        <w:pStyle w:val="16"/>
        <w:spacing w:line="60" w:lineRule="auto"/>
        <w:ind w:left="1596" w:leftChars="760" w:firstLine="480"/>
        <w:rPr>
          <w:sz w:val="24"/>
        </w:rPr>
      </w:pPr>
      <w:r>
        <w:rPr>
          <w:rFonts w:hint="eastAsia"/>
          <w:sz w:val="24"/>
        </w:rPr>
        <w:t>问题控制是对发现的问题做调查、归纳和分析，进而提出解决方案或应急措施的流程。问题控制的根本目的是要查明问题产生的根本原因，一旦查明原因所在，问题就升级为已知错误，已知错误将由错误控制流程解决。</w:t>
      </w:r>
    </w:p>
    <w:p w14:paraId="518329B0">
      <w:pPr>
        <w:pStyle w:val="16"/>
        <w:numPr>
          <w:ilvl w:val="0"/>
          <w:numId w:val="13"/>
        </w:numPr>
        <w:spacing w:line="60" w:lineRule="auto"/>
        <w:ind w:firstLineChars="0"/>
        <w:rPr>
          <w:sz w:val="24"/>
        </w:rPr>
      </w:pPr>
      <w:r>
        <w:rPr>
          <w:rFonts w:hint="eastAsia"/>
          <w:sz w:val="24"/>
        </w:rPr>
        <w:t xml:space="preserve">错误控制 </w:t>
      </w:r>
    </w:p>
    <w:p w14:paraId="32D94802">
      <w:pPr>
        <w:pStyle w:val="16"/>
        <w:spacing w:line="60" w:lineRule="auto"/>
        <w:ind w:left="1596" w:leftChars="760" w:firstLine="480"/>
        <w:rPr>
          <w:sz w:val="24"/>
        </w:rPr>
      </w:pPr>
      <w:r>
        <w:rPr>
          <w:rFonts w:hint="eastAsia"/>
          <w:sz w:val="24"/>
        </w:rPr>
        <w:t>错误控制是在指对已知错误进行处理和控制的流程。在问题控制将已知错误转交给错误控制以后，错误控制需要向变更管理提交变更申请，再有变更管理实施变更后消除错误。</w:t>
      </w:r>
    </w:p>
    <w:p w14:paraId="03C71394">
      <w:pPr>
        <w:pStyle w:val="16"/>
        <w:numPr>
          <w:ilvl w:val="0"/>
          <w:numId w:val="13"/>
        </w:numPr>
        <w:spacing w:line="60" w:lineRule="auto"/>
        <w:ind w:firstLineChars="0"/>
        <w:rPr>
          <w:sz w:val="24"/>
        </w:rPr>
      </w:pPr>
      <w:r>
        <w:rPr>
          <w:rFonts w:hint="eastAsia"/>
          <w:sz w:val="24"/>
        </w:rPr>
        <w:t xml:space="preserve">主动问题管理 </w:t>
      </w:r>
    </w:p>
    <w:p w14:paraId="4C6CE4A7">
      <w:pPr>
        <w:pStyle w:val="16"/>
        <w:spacing w:line="60" w:lineRule="auto"/>
        <w:ind w:left="1596" w:leftChars="760" w:firstLine="360" w:firstLineChars="150"/>
        <w:rPr>
          <w:sz w:val="24"/>
        </w:rPr>
      </w:pPr>
      <w:r>
        <w:rPr>
          <w:rFonts w:hint="eastAsia"/>
          <w:sz w:val="24"/>
        </w:rPr>
        <w:t>问题控制和错误控制都是问题出现后才做出的响应，因为还是被动的问题管理。事实上，根据对IT基础架构的分析，问题管理可以对其薄弱环节找到相应的解决方案，将事故解决在发生之前，以尽量规避问题和已知错误对业务系统的影响。</w:t>
      </w:r>
    </w:p>
    <w:p w14:paraId="596F2362">
      <w:pPr>
        <w:pStyle w:val="16"/>
        <w:spacing w:line="60" w:lineRule="auto"/>
        <w:ind w:left="1597" w:firstLine="0" w:firstLineChars="0"/>
        <w:rPr>
          <w:sz w:val="24"/>
        </w:rPr>
      </w:pPr>
      <w:r>
        <w:rPr>
          <w:rFonts w:hint="eastAsia"/>
          <w:sz w:val="24"/>
        </w:rPr>
        <w:t xml:space="preserve">   主动问题管理需要根据事故和问题分析报告所提供的信息预测IT服务运作的趋势，找到IT基础架构中的薄弱节点，并预估薄弱环节和可能产生的组件故障对业务运作的影响。通过分析的结果，IT管理员可以制定积极的预防措施，从我维护IT服务的可持续发展，进而改进服务质量。</w:t>
      </w:r>
    </w:p>
    <w:p w14:paraId="31F49528">
      <w:pPr>
        <w:pStyle w:val="16"/>
        <w:numPr>
          <w:ilvl w:val="0"/>
          <w:numId w:val="11"/>
        </w:numPr>
        <w:spacing w:line="60" w:lineRule="auto"/>
        <w:ind w:firstLineChars="0"/>
        <w:rPr>
          <w:b/>
          <w:sz w:val="24"/>
        </w:rPr>
      </w:pPr>
      <w:r>
        <w:rPr>
          <w:rFonts w:hint="eastAsia"/>
          <w:b/>
          <w:sz w:val="24"/>
        </w:rPr>
        <w:t>流程图</w:t>
      </w:r>
    </w:p>
    <w:p w14:paraId="6FF9A0B1">
      <w:pPr>
        <w:pStyle w:val="16"/>
        <w:spacing w:line="60" w:lineRule="auto"/>
        <w:ind w:left="1060" w:firstLine="0" w:firstLineChars="0"/>
        <w:rPr>
          <w:sz w:val="24"/>
        </w:rPr>
      </w:pPr>
      <w:r>
        <w:rPr>
          <w:sz w:val="24"/>
        </w:rPr>
        <w:drawing>
          <wp:inline distT="0" distB="0" distL="0" distR="0">
            <wp:extent cx="5274310" cy="3267710"/>
            <wp:effectExtent l="19050" t="0" r="2540" b="0"/>
            <wp:docPr id="5" name="图片 4" descr="无标题.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无标题.jpg"/>
                    <pic:cNvPicPr>
                      <a:picLocks noChangeAspect="1"/>
                    </pic:cNvPicPr>
                  </pic:nvPicPr>
                  <pic:blipFill>
                    <a:blip r:embed="rId12"/>
                    <a:stretch>
                      <a:fillRect/>
                    </a:stretch>
                  </pic:blipFill>
                  <pic:spPr>
                    <a:xfrm>
                      <a:off x="0" y="0"/>
                      <a:ext cx="5274310" cy="3267710"/>
                    </a:xfrm>
                    <a:prstGeom prst="rect">
                      <a:avLst/>
                    </a:prstGeom>
                  </pic:spPr>
                </pic:pic>
              </a:graphicData>
            </a:graphic>
          </wp:inline>
        </w:drawing>
      </w:r>
    </w:p>
    <w:p w14:paraId="0016B214">
      <w:pPr>
        <w:pStyle w:val="21"/>
        <w:rPr>
          <w:rStyle w:val="26"/>
          <w:b w:val="0"/>
        </w:rPr>
      </w:pPr>
      <w:r>
        <w:rPr>
          <w:rStyle w:val="26"/>
          <w:rFonts w:hint="eastAsia"/>
          <w:b w:val="0"/>
        </w:rPr>
        <w:t>变更管理</w:t>
      </w:r>
    </w:p>
    <w:p w14:paraId="1CF9D60F">
      <w:pPr>
        <w:pStyle w:val="16"/>
        <w:spacing w:line="60" w:lineRule="auto"/>
        <w:ind w:left="1134" w:firstLine="345" w:firstLineChars="144"/>
        <w:rPr>
          <w:sz w:val="24"/>
        </w:rPr>
      </w:pPr>
      <w:r>
        <w:rPr>
          <w:rFonts w:hint="eastAsia"/>
          <w:sz w:val="24"/>
        </w:rPr>
        <w:t>IT基础架构或系统平台是为整个业务系统运营的基础，但随着业务需求的调整，势必要对IT基础架构或系统平台做适当的变更，正确的变更会是基础架构或系统平台更适合新业务系统的运营，但错误的变更或未经审核评估的变更直接关系着基础架构的运营质量和业务系统的稳定性，因此要对变更的相关环节做标准化的管理和规范。</w:t>
      </w:r>
    </w:p>
    <w:p w14:paraId="5B082F26">
      <w:pPr>
        <w:pStyle w:val="16"/>
        <w:numPr>
          <w:ilvl w:val="0"/>
          <w:numId w:val="14"/>
        </w:numPr>
        <w:spacing w:line="60" w:lineRule="auto"/>
        <w:ind w:firstLineChars="0"/>
        <w:rPr>
          <w:b/>
          <w:sz w:val="24"/>
        </w:rPr>
      </w:pPr>
      <w:r>
        <w:rPr>
          <w:rFonts w:hint="eastAsia"/>
          <w:b/>
          <w:sz w:val="24"/>
        </w:rPr>
        <w:t xml:space="preserve">基本概念  </w:t>
      </w:r>
    </w:p>
    <w:p w14:paraId="38A25E72">
      <w:pPr>
        <w:pStyle w:val="16"/>
        <w:numPr>
          <w:ilvl w:val="0"/>
          <w:numId w:val="15"/>
        </w:numPr>
        <w:spacing w:line="60" w:lineRule="auto"/>
        <w:ind w:firstLineChars="0"/>
        <w:rPr>
          <w:sz w:val="24"/>
        </w:rPr>
      </w:pPr>
      <w:r>
        <w:rPr>
          <w:rFonts w:hint="eastAsia"/>
          <w:sz w:val="24"/>
        </w:rPr>
        <w:t>变更 是指在维护过程中对系统或服务所做的各种改变，包括增补、移除和其他修改</w:t>
      </w:r>
    </w:p>
    <w:p w14:paraId="6CDA2E95">
      <w:pPr>
        <w:pStyle w:val="16"/>
        <w:numPr>
          <w:ilvl w:val="0"/>
          <w:numId w:val="15"/>
        </w:numPr>
        <w:spacing w:line="60" w:lineRule="auto"/>
        <w:ind w:firstLineChars="0"/>
        <w:rPr>
          <w:sz w:val="24"/>
        </w:rPr>
      </w:pPr>
      <w:r>
        <w:rPr>
          <w:rFonts w:hint="eastAsia"/>
          <w:sz w:val="24"/>
        </w:rPr>
        <w:t>变更管理  是指为在一定时间内完成对基础架构或服务的任何一项的变更而对其进行控制的服务管理流程。 变更管理包括变更处理和变更控制，该流程意在将变更对基础架构和服务产生的风险减小的最低程度。当问题管理通过调查和分析发现问题产生的根本原因，但不能指定恰当的解决方案从根本上予以解决时，问题管理需要向变更管理提交变更请求，从而通过实施必要的变更从根本上消除问题的根源。</w:t>
      </w:r>
    </w:p>
    <w:p w14:paraId="382A5742">
      <w:pPr>
        <w:pStyle w:val="16"/>
        <w:numPr>
          <w:ilvl w:val="0"/>
          <w:numId w:val="15"/>
        </w:numPr>
        <w:spacing w:line="60" w:lineRule="auto"/>
        <w:ind w:firstLineChars="0"/>
        <w:rPr>
          <w:sz w:val="24"/>
        </w:rPr>
      </w:pPr>
      <w:r>
        <w:rPr>
          <w:rFonts w:hint="eastAsia"/>
          <w:sz w:val="24"/>
        </w:rPr>
        <w:t>变更请求 指用于记录变更请求的书面文档或电子文档。</w:t>
      </w:r>
    </w:p>
    <w:p w14:paraId="6A0C0F5A">
      <w:pPr>
        <w:pStyle w:val="16"/>
        <w:numPr>
          <w:ilvl w:val="0"/>
          <w:numId w:val="14"/>
        </w:numPr>
        <w:spacing w:line="60" w:lineRule="auto"/>
        <w:ind w:firstLineChars="0"/>
        <w:rPr>
          <w:b/>
          <w:sz w:val="24"/>
        </w:rPr>
      </w:pPr>
      <w:r>
        <w:rPr>
          <w:rFonts w:hint="eastAsia"/>
          <w:b/>
          <w:sz w:val="24"/>
        </w:rPr>
        <w:t xml:space="preserve">目标 </w:t>
      </w:r>
      <w:r>
        <w:rPr>
          <w:rFonts w:hint="eastAsia"/>
          <w:sz w:val="24"/>
        </w:rPr>
        <w:t>实施变更管理的目标是确保实施过程中使用标准的方法和步骤，尽快地实施变更，并将由变更所导致的业务中断对业务的影响减少到最低。具体来说，变更管理的目标有以下4点：</w:t>
      </w:r>
    </w:p>
    <w:p w14:paraId="450BE5F2">
      <w:pPr>
        <w:pStyle w:val="16"/>
        <w:numPr>
          <w:ilvl w:val="0"/>
          <w:numId w:val="16"/>
        </w:numPr>
        <w:spacing w:line="60" w:lineRule="auto"/>
        <w:ind w:firstLineChars="0"/>
        <w:rPr>
          <w:sz w:val="24"/>
        </w:rPr>
      </w:pPr>
      <w:r>
        <w:rPr>
          <w:rFonts w:hint="eastAsia"/>
          <w:sz w:val="24"/>
        </w:rPr>
        <w:t>确保所有的变更都遵循标准的方法、程序和规则；</w:t>
      </w:r>
    </w:p>
    <w:p w14:paraId="28C9E9DB">
      <w:pPr>
        <w:pStyle w:val="16"/>
        <w:numPr>
          <w:ilvl w:val="0"/>
          <w:numId w:val="16"/>
        </w:numPr>
        <w:spacing w:line="60" w:lineRule="auto"/>
        <w:ind w:firstLineChars="0"/>
        <w:rPr>
          <w:sz w:val="24"/>
        </w:rPr>
      </w:pPr>
      <w:r>
        <w:rPr>
          <w:rFonts w:hint="eastAsia"/>
          <w:sz w:val="24"/>
        </w:rPr>
        <w:t>确保所有的变更都快捷有效的进行；</w:t>
      </w:r>
    </w:p>
    <w:p w14:paraId="73539BA9">
      <w:pPr>
        <w:pStyle w:val="16"/>
        <w:numPr>
          <w:ilvl w:val="0"/>
          <w:numId w:val="16"/>
        </w:numPr>
        <w:spacing w:line="60" w:lineRule="auto"/>
        <w:ind w:firstLineChars="0"/>
        <w:rPr>
          <w:sz w:val="24"/>
        </w:rPr>
      </w:pPr>
      <w:r>
        <w:rPr>
          <w:rFonts w:hint="eastAsia"/>
          <w:sz w:val="24"/>
        </w:rPr>
        <w:t>减少与变更相关的事故对服务质量的影响；</w:t>
      </w:r>
    </w:p>
    <w:p w14:paraId="021C62FB">
      <w:pPr>
        <w:pStyle w:val="16"/>
        <w:numPr>
          <w:ilvl w:val="0"/>
          <w:numId w:val="16"/>
        </w:numPr>
        <w:spacing w:line="60" w:lineRule="auto"/>
        <w:ind w:firstLineChars="0"/>
        <w:rPr>
          <w:sz w:val="24"/>
        </w:rPr>
      </w:pPr>
      <w:r>
        <w:rPr>
          <w:rFonts w:hint="eastAsia"/>
          <w:sz w:val="24"/>
        </w:rPr>
        <w:t>确保所有的变更都有明确的记录可跟踪、查询；</w:t>
      </w:r>
    </w:p>
    <w:p w14:paraId="384F3EA9">
      <w:pPr>
        <w:pStyle w:val="16"/>
        <w:numPr>
          <w:ilvl w:val="0"/>
          <w:numId w:val="14"/>
        </w:numPr>
        <w:spacing w:line="60" w:lineRule="auto"/>
        <w:ind w:firstLineChars="0"/>
        <w:rPr>
          <w:b/>
          <w:sz w:val="24"/>
        </w:rPr>
      </w:pPr>
      <w:r>
        <w:rPr>
          <w:rFonts w:hint="eastAsia"/>
          <w:b/>
          <w:sz w:val="24"/>
        </w:rPr>
        <w:t>主要活动</w:t>
      </w:r>
    </w:p>
    <w:p w14:paraId="7DFC069A">
      <w:pPr>
        <w:pStyle w:val="16"/>
        <w:numPr>
          <w:ilvl w:val="0"/>
          <w:numId w:val="17"/>
        </w:numPr>
        <w:spacing w:line="60" w:lineRule="auto"/>
        <w:ind w:firstLineChars="0"/>
        <w:rPr>
          <w:sz w:val="24"/>
        </w:rPr>
      </w:pPr>
      <w:r>
        <w:rPr>
          <w:rFonts w:hint="eastAsia"/>
          <w:sz w:val="24"/>
        </w:rPr>
        <w:t>记录和登记变更请求 根据业务部门的需求定期或不定期提出变更申请（软件、硬件设施），并拟定变更实施计划或方案，并将该请求提交上级领导审核；</w:t>
      </w:r>
    </w:p>
    <w:p w14:paraId="2682F9D1">
      <w:pPr>
        <w:pStyle w:val="16"/>
        <w:numPr>
          <w:ilvl w:val="0"/>
          <w:numId w:val="17"/>
        </w:numPr>
        <w:spacing w:line="60" w:lineRule="auto"/>
        <w:ind w:firstLineChars="0"/>
        <w:rPr>
          <w:sz w:val="24"/>
        </w:rPr>
      </w:pPr>
      <w:r>
        <w:rPr>
          <w:rFonts w:hint="eastAsia"/>
          <w:sz w:val="24"/>
        </w:rPr>
        <w:t>评审和筛选变更请求  上级领导(或信息化管理小组？)根据变更实施计划和方案，组织相关人员对变更的其可行性和操作性予以评审，降低安全风险；</w:t>
      </w:r>
    </w:p>
    <w:p w14:paraId="2D757BCE">
      <w:pPr>
        <w:pStyle w:val="16"/>
        <w:numPr>
          <w:ilvl w:val="0"/>
          <w:numId w:val="17"/>
        </w:numPr>
        <w:spacing w:line="60" w:lineRule="auto"/>
        <w:ind w:firstLineChars="0"/>
        <w:rPr>
          <w:sz w:val="24"/>
        </w:rPr>
      </w:pPr>
      <w:r>
        <w:rPr>
          <w:rFonts w:hint="eastAsia"/>
          <w:sz w:val="24"/>
        </w:rPr>
        <w:t>评价和终止变更请求  变更实施完成后，上级领导(或信息化管理小组？)对实施的情况进行评估；如实施变更成功，便可终止变更请求，并及时告知业务部门变更完成；将变更计划和实施方案提交至配置管理予以处理，同时完善变更报告并存档处理。</w:t>
      </w:r>
    </w:p>
    <w:p w14:paraId="11F25460">
      <w:pPr>
        <w:pStyle w:val="16"/>
        <w:numPr>
          <w:ilvl w:val="0"/>
          <w:numId w:val="14"/>
        </w:numPr>
        <w:spacing w:line="60" w:lineRule="auto"/>
        <w:ind w:firstLineChars="0"/>
        <w:rPr>
          <w:sz w:val="24"/>
        </w:rPr>
      </w:pPr>
      <w:r>
        <w:rPr>
          <w:rFonts w:hint="eastAsia"/>
          <w:sz w:val="24"/>
        </w:rPr>
        <w:t>流程图</w:t>
      </w:r>
    </w:p>
    <w:p w14:paraId="50934A13">
      <w:pPr>
        <w:pStyle w:val="16"/>
        <w:spacing w:line="60" w:lineRule="auto"/>
        <w:ind w:firstLine="0" w:firstLineChars="0"/>
        <w:rPr>
          <w:sz w:val="24"/>
        </w:rPr>
      </w:pPr>
      <w:r>
        <w:rPr>
          <w:sz w:val="24"/>
        </w:rPr>
        <w:drawing>
          <wp:inline distT="0" distB="0" distL="0" distR="0">
            <wp:extent cx="5274310" cy="4017010"/>
            <wp:effectExtent l="19050" t="0" r="2540" b="0"/>
            <wp:docPr id="6" name="图片 5" descr="变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变更.jpg"/>
                    <pic:cNvPicPr>
                      <a:picLocks noChangeAspect="1"/>
                    </pic:cNvPicPr>
                  </pic:nvPicPr>
                  <pic:blipFill>
                    <a:blip r:embed="rId13"/>
                    <a:stretch>
                      <a:fillRect/>
                    </a:stretch>
                  </pic:blipFill>
                  <pic:spPr>
                    <a:xfrm>
                      <a:off x="0" y="0"/>
                      <a:ext cx="5274310" cy="4017010"/>
                    </a:xfrm>
                    <a:prstGeom prst="rect">
                      <a:avLst/>
                    </a:prstGeom>
                  </pic:spPr>
                </pic:pic>
              </a:graphicData>
            </a:graphic>
          </wp:inline>
        </w:drawing>
      </w:r>
    </w:p>
    <w:p w14:paraId="5B003ABA">
      <w:pPr>
        <w:pStyle w:val="21"/>
        <w:rPr>
          <w:rStyle w:val="26"/>
          <w:b w:val="0"/>
        </w:rPr>
      </w:pPr>
      <w:r>
        <w:rPr>
          <w:rStyle w:val="26"/>
          <w:rFonts w:hint="eastAsia"/>
          <w:b w:val="0"/>
        </w:rPr>
        <w:t>配置管理</w:t>
      </w:r>
    </w:p>
    <w:p w14:paraId="1C036F4F">
      <w:pPr>
        <w:pStyle w:val="16"/>
        <w:spacing w:line="60" w:lineRule="auto"/>
        <w:ind w:left="1060" w:firstLine="0" w:firstLineChars="0"/>
        <w:rPr>
          <w:sz w:val="24"/>
        </w:rPr>
      </w:pPr>
      <w:r>
        <w:rPr>
          <w:rFonts w:hint="eastAsia"/>
          <w:sz w:val="24"/>
        </w:rPr>
        <w:t>IT运维可以为公司的整个业务系统提供最基础也是最重要的支持服务，而IT运维能否满足业务系统运作的要求在很大程度上取决于支持IT服务的IT基础架构的运作性能，而IT基础架构的每个配置节点都是以配置信息的形式存在；因此，必须建立专门的流程管理IT基础架构的配置信息。</w:t>
      </w:r>
    </w:p>
    <w:p w14:paraId="38110D04">
      <w:pPr>
        <w:pStyle w:val="16"/>
        <w:numPr>
          <w:ilvl w:val="0"/>
          <w:numId w:val="18"/>
        </w:numPr>
        <w:spacing w:line="60" w:lineRule="auto"/>
        <w:ind w:firstLineChars="0"/>
        <w:rPr>
          <w:b/>
          <w:sz w:val="24"/>
        </w:rPr>
      </w:pPr>
      <w:r>
        <w:rPr>
          <w:rFonts w:hint="eastAsia"/>
          <w:b/>
          <w:sz w:val="24"/>
        </w:rPr>
        <w:t xml:space="preserve">基本概念  </w:t>
      </w:r>
    </w:p>
    <w:p w14:paraId="12BF2DEC">
      <w:pPr>
        <w:pStyle w:val="16"/>
        <w:spacing w:line="60" w:lineRule="auto"/>
        <w:ind w:left="1480" w:leftChars="705" w:firstLine="352" w:firstLineChars="147"/>
        <w:rPr>
          <w:b/>
          <w:sz w:val="24"/>
        </w:rPr>
      </w:pPr>
      <w:r>
        <w:rPr>
          <w:rFonts w:hint="eastAsia"/>
          <w:sz w:val="24"/>
        </w:rPr>
        <w:t>识别和确认系统的配置项、记录和报告配置项状态和变更请求，渐渐配置项的正确性和完整性等活动构成的服务管理流程。在配置管理流程中，最基本的单位配置项（不同于记录配置参数的集合）。</w:t>
      </w:r>
    </w:p>
    <w:p w14:paraId="1A265424">
      <w:pPr>
        <w:pStyle w:val="16"/>
        <w:numPr>
          <w:ilvl w:val="0"/>
          <w:numId w:val="19"/>
        </w:numPr>
        <w:spacing w:line="60" w:lineRule="auto"/>
        <w:ind w:firstLineChars="0"/>
        <w:rPr>
          <w:sz w:val="24"/>
        </w:rPr>
      </w:pPr>
      <w:r>
        <w:rPr>
          <w:rFonts w:hint="eastAsia"/>
          <w:sz w:val="24"/>
        </w:rPr>
        <w:t>配置项  指基础架构组件或与与基础架构由于的项目，包括软件、硬件和各种文档，比如变更请求、服务器、网络设施、台式机、应用系统，甚至于环境、协议及电信服务等都可以成为配置项。</w:t>
      </w:r>
    </w:p>
    <w:p w14:paraId="63BDD71B">
      <w:pPr>
        <w:pStyle w:val="16"/>
        <w:numPr>
          <w:ilvl w:val="0"/>
          <w:numId w:val="19"/>
        </w:numPr>
        <w:spacing w:line="60" w:lineRule="auto"/>
        <w:ind w:firstLineChars="0"/>
        <w:rPr>
          <w:sz w:val="24"/>
        </w:rPr>
      </w:pPr>
      <w:r>
        <w:rPr>
          <w:rFonts w:hint="eastAsia"/>
          <w:sz w:val="24"/>
        </w:rPr>
        <w:t>配置文档 包含每个配置项与配置项之间重要关系的详细资料的文档（暂不具备构建配置管理数据库的条件），所有配置项的信息都被记录存放在配置管理文档中。</w:t>
      </w:r>
    </w:p>
    <w:p w14:paraId="4785E589">
      <w:pPr>
        <w:pStyle w:val="16"/>
        <w:numPr>
          <w:ilvl w:val="0"/>
          <w:numId w:val="18"/>
        </w:numPr>
        <w:spacing w:line="60" w:lineRule="auto"/>
        <w:ind w:firstLineChars="0"/>
        <w:rPr>
          <w:b/>
          <w:sz w:val="24"/>
        </w:rPr>
      </w:pPr>
      <w:r>
        <w:rPr>
          <w:rFonts w:hint="eastAsia"/>
          <w:b/>
          <w:sz w:val="24"/>
        </w:rPr>
        <w:t xml:space="preserve">目标 </w:t>
      </w:r>
      <w:r>
        <w:rPr>
          <w:rFonts w:hint="eastAsia"/>
          <w:sz w:val="24"/>
        </w:rPr>
        <w:t>配置管理作为整个信息化IT基础架构的信息中心和控制中心，须实现以下几个目标：</w:t>
      </w:r>
    </w:p>
    <w:p w14:paraId="54D253DC">
      <w:pPr>
        <w:pStyle w:val="16"/>
        <w:numPr>
          <w:ilvl w:val="0"/>
          <w:numId w:val="20"/>
        </w:numPr>
        <w:spacing w:line="60" w:lineRule="auto"/>
        <w:ind w:firstLineChars="0"/>
        <w:rPr>
          <w:sz w:val="24"/>
        </w:rPr>
      </w:pPr>
      <w:r>
        <w:rPr>
          <w:rFonts w:hint="eastAsia"/>
          <w:b/>
          <w:sz w:val="24"/>
        </w:rPr>
        <w:t xml:space="preserve"> </w:t>
      </w:r>
      <w:r>
        <w:rPr>
          <w:rFonts w:hint="eastAsia"/>
          <w:sz w:val="24"/>
        </w:rPr>
        <w:t>记录所有IT资产和配置项的价值；</w:t>
      </w:r>
    </w:p>
    <w:p w14:paraId="6731977A">
      <w:pPr>
        <w:pStyle w:val="16"/>
        <w:numPr>
          <w:ilvl w:val="0"/>
          <w:numId w:val="20"/>
        </w:numPr>
        <w:spacing w:line="60" w:lineRule="auto"/>
        <w:ind w:firstLineChars="0"/>
        <w:rPr>
          <w:sz w:val="24"/>
        </w:rPr>
      </w:pPr>
      <w:r>
        <w:rPr>
          <w:rFonts w:hint="eastAsia"/>
          <w:sz w:val="24"/>
        </w:rPr>
        <w:t xml:space="preserve"> 为其他IT服务管理流程提供有关IT基础 配置的准确信息；</w:t>
      </w:r>
    </w:p>
    <w:p w14:paraId="5BB37D8D">
      <w:pPr>
        <w:pStyle w:val="16"/>
        <w:numPr>
          <w:ilvl w:val="0"/>
          <w:numId w:val="20"/>
        </w:numPr>
        <w:spacing w:line="60" w:lineRule="auto"/>
        <w:ind w:firstLineChars="0"/>
        <w:rPr>
          <w:sz w:val="24"/>
        </w:rPr>
      </w:pPr>
      <w:r>
        <w:rPr>
          <w:rFonts w:hint="eastAsia"/>
          <w:sz w:val="24"/>
        </w:rPr>
        <w:t>为问题管理、变更管理和其他管理流程的运作提供支持；</w:t>
      </w:r>
    </w:p>
    <w:p w14:paraId="4E4F477A">
      <w:pPr>
        <w:pStyle w:val="16"/>
        <w:numPr>
          <w:ilvl w:val="0"/>
          <w:numId w:val="20"/>
        </w:numPr>
        <w:spacing w:line="60" w:lineRule="auto"/>
        <w:ind w:firstLineChars="0"/>
        <w:rPr>
          <w:sz w:val="24"/>
        </w:rPr>
      </w:pPr>
      <w:r>
        <w:rPr>
          <w:rFonts w:hint="eastAsia"/>
          <w:sz w:val="24"/>
        </w:rPr>
        <w:t>核实有关IT基础架构的配置记录的正确性并纠正发现的错误。</w:t>
      </w:r>
    </w:p>
    <w:p w14:paraId="2BB6C147">
      <w:pPr>
        <w:pStyle w:val="16"/>
        <w:numPr>
          <w:ilvl w:val="0"/>
          <w:numId w:val="18"/>
        </w:numPr>
        <w:spacing w:line="60" w:lineRule="auto"/>
        <w:ind w:firstLineChars="0"/>
        <w:rPr>
          <w:b/>
          <w:sz w:val="24"/>
        </w:rPr>
      </w:pPr>
      <w:r>
        <w:rPr>
          <w:rFonts w:hint="eastAsia"/>
          <w:b/>
          <w:sz w:val="24"/>
        </w:rPr>
        <w:t>主要活动</w:t>
      </w:r>
    </w:p>
    <w:p w14:paraId="0CAEB948">
      <w:pPr>
        <w:pStyle w:val="16"/>
        <w:numPr>
          <w:ilvl w:val="0"/>
          <w:numId w:val="21"/>
        </w:numPr>
        <w:spacing w:line="60" w:lineRule="auto"/>
        <w:ind w:firstLineChars="0"/>
        <w:rPr>
          <w:sz w:val="24"/>
        </w:rPr>
      </w:pPr>
      <w:r>
        <w:rPr>
          <w:rFonts w:hint="eastAsia"/>
          <w:sz w:val="24"/>
        </w:rPr>
        <w:t>配置识别  配置识别是配置管理的一项最基本的工作，主要是确定配置项的范围、属性、标识以及配置结构和关系，以及命名规范等。</w:t>
      </w:r>
    </w:p>
    <w:p w14:paraId="64C04AFC">
      <w:pPr>
        <w:pStyle w:val="16"/>
        <w:numPr>
          <w:ilvl w:val="0"/>
          <w:numId w:val="21"/>
        </w:numPr>
        <w:spacing w:line="60" w:lineRule="auto"/>
        <w:ind w:firstLineChars="0"/>
        <w:rPr>
          <w:sz w:val="24"/>
        </w:rPr>
      </w:pPr>
      <w:r>
        <w:rPr>
          <w:rFonts w:hint="eastAsia"/>
          <w:sz w:val="24"/>
        </w:rPr>
        <w:t>配置项控制  配置项控制是指在正式建立配置文档后对配置项变更进行控制的一系列活动，包括对变更的评估、协调、批准或否决等活动。其目的是为了保证配置管理文档只记录那些得到批准和可识别的配置项，同时保证配置项的增加、修改、替换或删除是根据适当的控制文档进行，对每个控制项的管理都做到有案可查。</w:t>
      </w:r>
    </w:p>
    <w:p w14:paraId="6EAD2287">
      <w:pPr>
        <w:pStyle w:val="16"/>
        <w:numPr>
          <w:ilvl w:val="0"/>
          <w:numId w:val="21"/>
        </w:numPr>
        <w:spacing w:line="60" w:lineRule="auto"/>
        <w:ind w:firstLineChars="0"/>
        <w:rPr>
          <w:sz w:val="24"/>
        </w:rPr>
      </w:pPr>
      <w:r>
        <w:rPr>
          <w:rFonts w:hint="eastAsia"/>
          <w:sz w:val="24"/>
        </w:rPr>
        <w:t>配置验证和审核  指通过一系列评价和审查以确定配置项是否实际存在，以及是否在配置管理文档中正确记录了它们的活动。IT管理人员需要对配置项和配置管理文档进行审核验证，并根据配置项的记录和状态整理对基础架构中的配置情况进行审核验证。</w:t>
      </w:r>
    </w:p>
    <w:p w14:paraId="1B7B8BDA">
      <w:pPr>
        <w:pStyle w:val="16"/>
        <w:numPr>
          <w:ilvl w:val="0"/>
          <w:numId w:val="18"/>
        </w:numPr>
        <w:spacing w:line="60" w:lineRule="auto"/>
        <w:ind w:firstLineChars="0"/>
        <w:rPr>
          <w:b/>
          <w:sz w:val="24"/>
        </w:rPr>
      </w:pPr>
      <w:r>
        <w:rPr>
          <w:rFonts w:hint="eastAsia"/>
          <w:b/>
          <w:sz w:val="24"/>
        </w:rPr>
        <w:t>流程图</w:t>
      </w:r>
    </w:p>
    <w:p w14:paraId="4165F119">
      <w:pPr>
        <w:pStyle w:val="16"/>
        <w:spacing w:line="60" w:lineRule="auto"/>
        <w:ind w:left="709" w:firstLine="0" w:firstLineChars="0"/>
        <w:rPr>
          <w:b/>
          <w:sz w:val="24"/>
        </w:rPr>
      </w:pPr>
      <w:r>
        <w:rPr>
          <w:b/>
          <w:sz w:val="24"/>
        </w:rPr>
        <w:drawing>
          <wp:inline distT="0" distB="0" distL="0" distR="0">
            <wp:extent cx="5274310" cy="3803650"/>
            <wp:effectExtent l="19050" t="0" r="2540" b="0"/>
            <wp:docPr id="4" name="图片 3" descr="配置.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配置.jpg"/>
                    <pic:cNvPicPr>
                      <a:picLocks noChangeAspect="1"/>
                    </pic:cNvPicPr>
                  </pic:nvPicPr>
                  <pic:blipFill>
                    <a:blip r:embed="rId14"/>
                    <a:stretch>
                      <a:fillRect/>
                    </a:stretch>
                  </pic:blipFill>
                  <pic:spPr>
                    <a:xfrm>
                      <a:off x="0" y="0"/>
                      <a:ext cx="5274310" cy="3803650"/>
                    </a:xfrm>
                    <a:prstGeom prst="rect">
                      <a:avLst/>
                    </a:prstGeom>
                  </pic:spPr>
                </pic:pic>
              </a:graphicData>
            </a:graphic>
          </wp:inline>
        </w:drawing>
      </w:r>
    </w:p>
    <w:p w14:paraId="366EC750">
      <w:pPr>
        <w:pStyle w:val="16"/>
        <w:spacing w:line="60" w:lineRule="auto"/>
        <w:ind w:left="420" w:leftChars="200" w:firstLine="480"/>
        <w:jc w:val="left"/>
        <w:rPr>
          <w:sz w:val="24"/>
        </w:rPr>
      </w:pPr>
      <w:r>
        <w:rPr>
          <w:rFonts w:hint="eastAsia"/>
          <w:sz w:val="24"/>
        </w:rPr>
        <w:t>最早萌发要做IT治理标准化的念头源于跟一位微软的朋友的闲聊，确定要做这件事是因为在4月份重做ERP服务器所出的故障，虽未造成恶性事故，但却给公司造成一定的经济损失，事后每回想起来都觉得后背发凉，后来总结这次教训，我想除了技术局限以为，最重要的是缺乏一个流程控制，缺乏必要的配置变更留档，特别是服务器的每一项配置都不容忽视，服务器是企业运营系统的数据核心，一旦故障，损失是无法估量的，服务器管理员的责任重大，若配置工作不留档造成交接缺失，当服务器故障时将无法恢复，如何确立这个管理流程？怎样规范操作行为？我想了很久，在ITIL中找到了答案。</w:t>
      </w:r>
    </w:p>
    <w:p w14:paraId="4F1A88F6">
      <w:pPr>
        <w:pStyle w:val="16"/>
        <w:spacing w:line="60" w:lineRule="auto"/>
        <w:ind w:left="420" w:leftChars="200" w:firstLine="480"/>
        <w:jc w:val="left"/>
        <w:rPr>
          <w:sz w:val="24"/>
        </w:rPr>
      </w:pPr>
      <w:r>
        <w:rPr>
          <w:rFonts w:hint="eastAsia"/>
          <w:sz w:val="24"/>
        </w:rPr>
        <w:t>从计算机诞生至今，经过了几十年的发展，特别是进入21世纪，信息技术正成为推动社会发展的新生产力，IT管理也日益进入企业管理的视线，IT管理的产生和发展过程可以划分为初始期、粗放管理期、规范发展期、体系萌芽期和体系完成期几个阶段，20世纪80年底后期至90年代初，在世界上有关专家、组织和政府部门的共同努力下，英国中央计算机与电信局陆续发布了IT服务管理最佳实践ITIL1.0（Information Technology Infrastructure Library，ITIL），到2007年ITIL在不断修订完善过程中，推出3.0版本，奠定了以服务为中心，以流程为导向的IT治理框架；同时也对认证培训单位和标准执行单位的资格和认证做出了相应的规定。</w:t>
      </w:r>
    </w:p>
    <w:p w14:paraId="351AA7D5">
      <w:pPr>
        <w:pStyle w:val="16"/>
        <w:spacing w:line="60" w:lineRule="auto"/>
        <w:ind w:left="420" w:leftChars="200" w:firstLine="480"/>
        <w:jc w:val="left"/>
        <w:rPr>
          <w:sz w:val="24"/>
        </w:rPr>
      </w:pPr>
      <w:r>
        <w:rPr>
          <w:rFonts w:hint="eastAsia"/>
          <w:sz w:val="24"/>
        </w:rPr>
        <w:t>ITIL3.0框架图</w:t>
      </w:r>
    </w:p>
    <w:p w14:paraId="42800D55">
      <w:pPr>
        <w:pStyle w:val="16"/>
        <w:keepNext/>
        <w:spacing w:line="60" w:lineRule="auto"/>
        <w:ind w:left="420" w:leftChars="200" w:firstLine="4" w:firstLineChars="2"/>
        <w:jc w:val="left"/>
      </w:pPr>
      <w:r>
        <w:drawing>
          <wp:inline distT="0" distB="0" distL="0" distR="0">
            <wp:extent cx="5274310" cy="3648710"/>
            <wp:effectExtent l="19050" t="0" r="2540" b="0"/>
            <wp:docPr id="9" name="图片 8" descr="aa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aaa.bmp"/>
                    <pic:cNvPicPr>
                      <a:picLocks noChangeAspect="1"/>
                    </pic:cNvPicPr>
                  </pic:nvPicPr>
                  <pic:blipFill>
                    <a:blip r:embed="rId15" cstate="print"/>
                    <a:stretch>
                      <a:fillRect/>
                    </a:stretch>
                  </pic:blipFill>
                  <pic:spPr>
                    <a:xfrm>
                      <a:off x="0" y="0"/>
                      <a:ext cx="5274310" cy="3648710"/>
                    </a:xfrm>
                    <a:prstGeom prst="rect">
                      <a:avLst/>
                    </a:prstGeom>
                  </pic:spPr>
                </pic:pic>
              </a:graphicData>
            </a:graphic>
          </wp:inline>
        </w:drawing>
      </w:r>
    </w:p>
    <w:p w14:paraId="5308118D">
      <w:pPr>
        <w:pStyle w:val="3"/>
        <w:jc w:val="center"/>
        <w:rPr>
          <w:color w:val="548DD4" w:themeColor="text2" w:themeTint="99"/>
          <w:sz w:val="24"/>
        </w:rPr>
      </w:pPr>
      <w:r>
        <w:rPr>
          <w:rFonts w:hint="eastAsia"/>
          <w:color w:val="548DD4" w:themeColor="text2" w:themeTint="99"/>
        </w:rPr>
        <w:t>ITIL v3.0框架图</w:t>
      </w:r>
    </w:p>
    <w:p w14:paraId="5C1A8885">
      <w:pPr>
        <w:pStyle w:val="16"/>
        <w:spacing w:line="60" w:lineRule="auto"/>
        <w:ind w:left="420" w:leftChars="200" w:firstLine="480"/>
        <w:jc w:val="left"/>
        <w:rPr>
          <w:sz w:val="24"/>
        </w:rPr>
      </w:pPr>
    </w:p>
    <w:p w14:paraId="41D5780F">
      <w:pPr>
        <w:pStyle w:val="16"/>
        <w:spacing w:line="60" w:lineRule="auto"/>
        <w:ind w:left="420" w:leftChars="200" w:firstLine="480"/>
        <w:jc w:val="left"/>
        <w:rPr>
          <w:sz w:val="24"/>
        </w:rPr>
      </w:pPr>
      <w:r>
        <w:rPr>
          <w:rFonts w:hint="eastAsia"/>
          <w:sz w:val="24"/>
        </w:rPr>
        <w:t>2005年ISO以BS15000为蓝本，正式发布了第一部针对IT服务管理的国际标准：ISO20000，规定了IT部门在向其内务部客户提供IT服务过程中所需完成的工作，通过这些规定，旨在帮助部门识别并管理IT服 务的关键流程，保证IT组织向业务和客户有效地 提供高质量的IT服务。</w:t>
      </w:r>
    </w:p>
    <w:p w14:paraId="05ACB721">
      <w:pPr>
        <w:pStyle w:val="16"/>
        <w:spacing w:line="60" w:lineRule="auto"/>
        <w:ind w:left="420" w:leftChars="200" w:firstLine="480"/>
        <w:jc w:val="left"/>
        <w:rPr>
          <w:sz w:val="24"/>
        </w:rPr>
      </w:pPr>
    </w:p>
    <w:p w14:paraId="10CA0871">
      <w:pPr>
        <w:pStyle w:val="16"/>
        <w:spacing w:line="60" w:lineRule="auto"/>
        <w:ind w:left="420" w:leftChars="200" w:firstLine="480"/>
        <w:jc w:val="left"/>
        <w:rPr>
          <w:sz w:val="24"/>
        </w:rPr>
      </w:pPr>
    </w:p>
    <w:p w14:paraId="4AFE27D2">
      <w:pPr>
        <w:pStyle w:val="16"/>
        <w:keepNext/>
        <w:spacing w:line="60" w:lineRule="auto"/>
        <w:ind w:left="420" w:leftChars="200" w:firstLine="480"/>
        <w:jc w:val="left"/>
      </w:pPr>
      <w:r>
        <w:rPr>
          <w:sz w:val="24"/>
        </w:rPr>
        <w:drawing>
          <wp:inline distT="0" distB="0" distL="0" distR="0">
            <wp:extent cx="4885690" cy="3980815"/>
            <wp:effectExtent l="19050" t="0" r="0" b="0"/>
            <wp:docPr id="8" name="图片 7" descr="200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20000.bmp"/>
                    <pic:cNvPicPr>
                      <a:picLocks noChangeAspect="1"/>
                    </pic:cNvPicPr>
                  </pic:nvPicPr>
                  <pic:blipFill>
                    <a:blip r:embed="rId16"/>
                    <a:stretch>
                      <a:fillRect/>
                    </a:stretch>
                  </pic:blipFill>
                  <pic:spPr>
                    <a:xfrm>
                      <a:off x="0" y="0"/>
                      <a:ext cx="4885715" cy="3980953"/>
                    </a:xfrm>
                    <a:prstGeom prst="rect">
                      <a:avLst/>
                    </a:prstGeom>
                  </pic:spPr>
                </pic:pic>
              </a:graphicData>
            </a:graphic>
          </wp:inline>
        </w:drawing>
      </w:r>
    </w:p>
    <w:p w14:paraId="2A2CBC8A">
      <w:pPr>
        <w:pStyle w:val="3"/>
        <w:jc w:val="center"/>
        <w:rPr>
          <w:color w:val="548DD4" w:themeColor="text2" w:themeTint="99"/>
          <w:sz w:val="24"/>
        </w:rPr>
      </w:pPr>
      <w:r>
        <w:rPr>
          <w:rFonts w:hint="eastAsia"/>
          <w:color w:val="548DD4" w:themeColor="text2" w:themeTint="99"/>
        </w:rPr>
        <w:t>ISO20000 标准框架图</w:t>
      </w:r>
    </w:p>
    <w:p w14:paraId="68401789">
      <w:pPr>
        <w:tabs>
          <w:tab w:val="left" w:pos="706"/>
        </w:tabs>
        <w:rPr>
          <w:rFonts w:hint="eastAsia"/>
          <w:sz w:val="24"/>
        </w:rPr>
      </w:pPr>
      <w:r>
        <w:rPr>
          <w:sz w:val="24"/>
        </w:rPr>
        <w:tab/>
      </w:r>
      <w:r>
        <w:rPr>
          <w:rFonts w:hint="eastAsia"/>
          <w:sz w:val="24"/>
        </w:rPr>
        <w:t>ITIL v3.0和ISO20000其完善的体系和流程，为IT服务管理提供了最佳解决方案的理论支持，是一套完整而且详尽的标准化体系，对于服务管理中的每个流程节点都提供了建议和规范，但公司是实际情况目前并不适合做ISO20000标准化体系和实施ITIL，希望借鉴有用的、能用的，旨在改善我们的工作状态和服务质量。</w:t>
      </w:r>
    </w:p>
    <w:p w14:paraId="06BFCE98">
      <w:pPr>
        <w:tabs>
          <w:tab w:val="left" w:pos="706"/>
        </w:tabs>
        <w:rPr>
          <w:rFonts w:hint="eastAsia"/>
          <w:sz w:val="24"/>
        </w:rPr>
      </w:pPr>
    </w:p>
    <w:p w14:paraId="6F49DB29">
      <w:pPr>
        <w:tabs>
          <w:tab w:val="left" w:pos="706"/>
        </w:tabs>
        <w:rPr>
          <w:rFonts w:hint="eastAsia" w:eastAsiaTheme="minorEastAsia"/>
          <w:sz w:val="24"/>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dobe 楷体 Std R">
    <w:altName w:val="宋体"/>
    <w:panose1 w:val="00000000000000000000"/>
    <w:charset w:val="86"/>
    <w:family w:val="roman"/>
    <w:pitch w:val="default"/>
    <w:sig w:usb0="00000000" w:usb1="00000000" w:usb2="00000016" w:usb3="00000000" w:csb0="000600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577242"/>
    <w:multiLevelType w:val="multilevel"/>
    <w:tmpl w:val="02577242"/>
    <w:lvl w:ilvl="0" w:tentative="0">
      <w:start w:val="1"/>
      <w:numFmt w:val="decimalEnclosedCircle"/>
      <w:lvlText w:val="%1"/>
      <w:lvlJc w:val="left"/>
      <w:pPr>
        <w:ind w:left="1480" w:hanging="420"/>
      </w:pPr>
      <w:rPr>
        <w:rFonts w:hint="default"/>
        <w:b w:val="0"/>
      </w:rPr>
    </w:lvl>
    <w:lvl w:ilvl="1" w:tentative="0">
      <w:start w:val="1"/>
      <w:numFmt w:val="lowerLetter"/>
      <w:lvlText w:val="%2)"/>
      <w:lvlJc w:val="left"/>
      <w:pPr>
        <w:ind w:left="1900" w:hanging="420"/>
      </w:pPr>
    </w:lvl>
    <w:lvl w:ilvl="2" w:tentative="0">
      <w:start w:val="1"/>
      <w:numFmt w:val="lowerRoman"/>
      <w:lvlText w:val="%3."/>
      <w:lvlJc w:val="right"/>
      <w:pPr>
        <w:ind w:left="2320" w:hanging="420"/>
      </w:pPr>
    </w:lvl>
    <w:lvl w:ilvl="3" w:tentative="0">
      <w:start w:val="1"/>
      <w:numFmt w:val="decimal"/>
      <w:lvlText w:val="%4."/>
      <w:lvlJc w:val="left"/>
      <w:pPr>
        <w:ind w:left="2740" w:hanging="420"/>
      </w:pPr>
    </w:lvl>
    <w:lvl w:ilvl="4" w:tentative="0">
      <w:start w:val="1"/>
      <w:numFmt w:val="lowerLetter"/>
      <w:lvlText w:val="%5)"/>
      <w:lvlJc w:val="left"/>
      <w:pPr>
        <w:ind w:left="3160" w:hanging="420"/>
      </w:pPr>
    </w:lvl>
    <w:lvl w:ilvl="5" w:tentative="0">
      <w:start w:val="1"/>
      <w:numFmt w:val="lowerRoman"/>
      <w:lvlText w:val="%6."/>
      <w:lvlJc w:val="right"/>
      <w:pPr>
        <w:ind w:left="3580" w:hanging="420"/>
      </w:pPr>
    </w:lvl>
    <w:lvl w:ilvl="6" w:tentative="0">
      <w:start w:val="1"/>
      <w:numFmt w:val="decimal"/>
      <w:lvlText w:val="%7."/>
      <w:lvlJc w:val="left"/>
      <w:pPr>
        <w:ind w:left="4000" w:hanging="420"/>
      </w:pPr>
    </w:lvl>
    <w:lvl w:ilvl="7" w:tentative="0">
      <w:start w:val="1"/>
      <w:numFmt w:val="lowerLetter"/>
      <w:lvlText w:val="%8)"/>
      <w:lvlJc w:val="left"/>
      <w:pPr>
        <w:ind w:left="4420" w:hanging="420"/>
      </w:pPr>
    </w:lvl>
    <w:lvl w:ilvl="8" w:tentative="0">
      <w:start w:val="1"/>
      <w:numFmt w:val="lowerRoman"/>
      <w:lvlText w:val="%9."/>
      <w:lvlJc w:val="right"/>
      <w:pPr>
        <w:ind w:left="4840" w:hanging="420"/>
      </w:pPr>
    </w:lvl>
  </w:abstractNum>
  <w:abstractNum w:abstractNumId="1">
    <w:nsid w:val="05C330D3"/>
    <w:multiLevelType w:val="multilevel"/>
    <w:tmpl w:val="05C330D3"/>
    <w:lvl w:ilvl="0" w:tentative="0">
      <w:start w:val="1"/>
      <w:numFmt w:val="decimal"/>
      <w:lvlText w:val="%1."/>
      <w:lvlJc w:val="left"/>
      <w:pPr>
        <w:ind w:left="1480" w:hanging="420"/>
      </w:pPr>
      <w:rPr>
        <w:b/>
      </w:rPr>
    </w:lvl>
    <w:lvl w:ilvl="1" w:tentative="0">
      <w:start w:val="1"/>
      <w:numFmt w:val="lowerLetter"/>
      <w:lvlText w:val="%2)"/>
      <w:lvlJc w:val="left"/>
      <w:pPr>
        <w:ind w:left="1900" w:hanging="420"/>
      </w:pPr>
    </w:lvl>
    <w:lvl w:ilvl="2" w:tentative="0">
      <w:start w:val="1"/>
      <w:numFmt w:val="lowerRoman"/>
      <w:lvlText w:val="%3."/>
      <w:lvlJc w:val="right"/>
      <w:pPr>
        <w:ind w:left="2320" w:hanging="420"/>
      </w:pPr>
    </w:lvl>
    <w:lvl w:ilvl="3" w:tentative="0">
      <w:start w:val="1"/>
      <w:numFmt w:val="decimal"/>
      <w:lvlText w:val="%4."/>
      <w:lvlJc w:val="left"/>
      <w:pPr>
        <w:ind w:left="2740" w:hanging="420"/>
      </w:pPr>
    </w:lvl>
    <w:lvl w:ilvl="4" w:tentative="0">
      <w:start w:val="1"/>
      <w:numFmt w:val="lowerLetter"/>
      <w:lvlText w:val="%5)"/>
      <w:lvlJc w:val="left"/>
      <w:pPr>
        <w:ind w:left="3160" w:hanging="420"/>
      </w:pPr>
    </w:lvl>
    <w:lvl w:ilvl="5" w:tentative="0">
      <w:start w:val="1"/>
      <w:numFmt w:val="lowerRoman"/>
      <w:lvlText w:val="%6."/>
      <w:lvlJc w:val="right"/>
      <w:pPr>
        <w:ind w:left="3580" w:hanging="420"/>
      </w:pPr>
    </w:lvl>
    <w:lvl w:ilvl="6" w:tentative="0">
      <w:start w:val="1"/>
      <w:numFmt w:val="decimal"/>
      <w:lvlText w:val="%7."/>
      <w:lvlJc w:val="left"/>
      <w:pPr>
        <w:ind w:left="4000" w:hanging="420"/>
      </w:pPr>
    </w:lvl>
    <w:lvl w:ilvl="7" w:tentative="0">
      <w:start w:val="1"/>
      <w:numFmt w:val="lowerLetter"/>
      <w:lvlText w:val="%8)"/>
      <w:lvlJc w:val="left"/>
      <w:pPr>
        <w:ind w:left="4420" w:hanging="420"/>
      </w:pPr>
    </w:lvl>
    <w:lvl w:ilvl="8" w:tentative="0">
      <w:start w:val="1"/>
      <w:numFmt w:val="lowerRoman"/>
      <w:lvlText w:val="%9."/>
      <w:lvlJc w:val="right"/>
      <w:pPr>
        <w:ind w:left="4840" w:hanging="420"/>
      </w:pPr>
    </w:lvl>
  </w:abstractNum>
  <w:abstractNum w:abstractNumId="2">
    <w:nsid w:val="06B04206"/>
    <w:multiLevelType w:val="multilevel"/>
    <w:tmpl w:val="06B04206"/>
    <w:lvl w:ilvl="0" w:tentative="0">
      <w:start w:val="1"/>
      <w:numFmt w:val="decimalEnclosedCircle"/>
      <w:lvlText w:val="%1"/>
      <w:lvlJc w:val="left"/>
      <w:pPr>
        <w:ind w:left="1597" w:hanging="420"/>
      </w:pPr>
      <w:rPr>
        <w:rFonts w:hint="default"/>
        <w:b w:val="0"/>
      </w:rPr>
    </w:lvl>
    <w:lvl w:ilvl="1" w:tentative="0">
      <w:start w:val="1"/>
      <w:numFmt w:val="lowerLetter"/>
      <w:lvlText w:val="%2)"/>
      <w:lvlJc w:val="left"/>
      <w:pPr>
        <w:ind w:left="2017" w:hanging="420"/>
      </w:pPr>
    </w:lvl>
    <w:lvl w:ilvl="2" w:tentative="0">
      <w:start w:val="1"/>
      <w:numFmt w:val="lowerRoman"/>
      <w:lvlText w:val="%3."/>
      <w:lvlJc w:val="right"/>
      <w:pPr>
        <w:ind w:left="2437" w:hanging="420"/>
      </w:pPr>
    </w:lvl>
    <w:lvl w:ilvl="3" w:tentative="0">
      <w:start w:val="1"/>
      <w:numFmt w:val="decimal"/>
      <w:lvlText w:val="%4."/>
      <w:lvlJc w:val="left"/>
      <w:pPr>
        <w:ind w:left="2857" w:hanging="420"/>
      </w:pPr>
    </w:lvl>
    <w:lvl w:ilvl="4" w:tentative="0">
      <w:start w:val="1"/>
      <w:numFmt w:val="lowerLetter"/>
      <w:lvlText w:val="%5)"/>
      <w:lvlJc w:val="left"/>
      <w:pPr>
        <w:ind w:left="3277" w:hanging="420"/>
      </w:pPr>
    </w:lvl>
    <w:lvl w:ilvl="5" w:tentative="0">
      <w:start w:val="1"/>
      <w:numFmt w:val="lowerRoman"/>
      <w:lvlText w:val="%6."/>
      <w:lvlJc w:val="right"/>
      <w:pPr>
        <w:ind w:left="3697" w:hanging="420"/>
      </w:pPr>
    </w:lvl>
    <w:lvl w:ilvl="6" w:tentative="0">
      <w:start w:val="1"/>
      <w:numFmt w:val="decimal"/>
      <w:lvlText w:val="%7."/>
      <w:lvlJc w:val="left"/>
      <w:pPr>
        <w:ind w:left="4117" w:hanging="420"/>
      </w:pPr>
    </w:lvl>
    <w:lvl w:ilvl="7" w:tentative="0">
      <w:start w:val="1"/>
      <w:numFmt w:val="lowerLetter"/>
      <w:lvlText w:val="%8)"/>
      <w:lvlJc w:val="left"/>
      <w:pPr>
        <w:ind w:left="4537" w:hanging="420"/>
      </w:pPr>
    </w:lvl>
    <w:lvl w:ilvl="8" w:tentative="0">
      <w:start w:val="1"/>
      <w:numFmt w:val="lowerRoman"/>
      <w:lvlText w:val="%9."/>
      <w:lvlJc w:val="right"/>
      <w:pPr>
        <w:ind w:left="4957" w:hanging="420"/>
      </w:pPr>
    </w:lvl>
  </w:abstractNum>
  <w:abstractNum w:abstractNumId="3">
    <w:nsid w:val="091922CC"/>
    <w:multiLevelType w:val="multilevel"/>
    <w:tmpl w:val="091922CC"/>
    <w:lvl w:ilvl="0" w:tentative="0">
      <w:start w:val="1"/>
      <w:numFmt w:val="decimalEnclosedCircle"/>
      <w:lvlText w:val="%1"/>
      <w:lvlJc w:val="left"/>
      <w:pPr>
        <w:ind w:left="1900" w:hanging="420"/>
      </w:pPr>
      <w:rPr>
        <w:rFonts w:hint="default"/>
        <w:b w:val="0"/>
      </w:rPr>
    </w:lvl>
    <w:lvl w:ilvl="1" w:tentative="0">
      <w:start w:val="1"/>
      <w:numFmt w:val="lowerLetter"/>
      <w:lvlText w:val="%2)"/>
      <w:lvlJc w:val="left"/>
      <w:pPr>
        <w:ind w:left="2320" w:hanging="420"/>
      </w:pPr>
    </w:lvl>
    <w:lvl w:ilvl="2" w:tentative="0">
      <w:start w:val="1"/>
      <w:numFmt w:val="lowerRoman"/>
      <w:lvlText w:val="%3."/>
      <w:lvlJc w:val="right"/>
      <w:pPr>
        <w:ind w:left="2740" w:hanging="420"/>
      </w:pPr>
    </w:lvl>
    <w:lvl w:ilvl="3" w:tentative="0">
      <w:start w:val="1"/>
      <w:numFmt w:val="decimal"/>
      <w:lvlText w:val="%4."/>
      <w:lvlJc w:val="left"/>
      <w:pPr>
        <w:ind w:left="3160" w:hanging="420"/>
      </w:pPr>
    </w:lvl>
    <w:lvl w:ilvl="4" w:tentative="0">
      <w:start w:val="1"/>
      <w:numFmt w:val="lowerLetter"/>
      <w:lvlText w:val="%5)"/>
      <w:lvlJc w:val="left"/>
      <w:pPr>
        <w:ind w:left="3580" w:hanging="420"/>
      </w:pPr>
    </w:lvl>
    <w:lvl w:ilvl="5" w:tentative="0">
      <w:start w:val="1"/>
      <w:numFmt w:val="lowerRoman"/>
      <w:lvlText w:val="%6."/>
      <w:lvlJc w:val="right"/>
      <w:pPr>
        <w:ind w:left="4000" w:hanging="420"/>
      </w:pPr>
    </w:lvl>
    <w:lvl w:ilvl="6" w:tentative="0">
      <w:start w:val="1"/>
      <w:numFmt w:val="decimal"/>
      <w:lvlText w:val="%7."/>
      <w:lvlJc w:val="left"/>
      <w:pPr>
        <w:ind w:left="4420" w:hanging="420"/>
      </w:pPr>
    </w:lvl>
    <w:lvl w:ilvl="7" w:tentative="0">
      <w:start w:val="1"/>
      <w:numFmt w:val="lowerLetter"/>
      <w:lvlText w:val="%8)"/>
      <w:lvlJc w:val="left"/>
      <w:pPr>
        <w:ind w:left="4840" w:hanging="420"/>
      </w:pPr>
    </w:lvl>
    <w:lvl w:ilvl="8" w:tentative="0">
      <w:start w:val="1"/>
      <w:numFmt w:val="lowerRoman"/>
      <w:lvlText w:val="%9."/>
      <w:lvlJc w:val="right"/>
      <w:pPr>
        <w:ind w:left="5260" w:hanging="420"/>
      </w:pPr>
    </w:lvl>
  </w:abstractNum>
  <w:abstractNum w:abstractNumId="4">
    <w:nsid w:val="0A3B281D"/>
    <w:multiLevelType w:val="multilevel"/>
    <w:tmpl w:val="0A3B281D"/>
    <w:lvl w:ilvl="0" w:tentative="0">
      <w:start w:val="1"/>
      <w:numFmt w:val="decimalEnclosedCircle"/>
      <w:lvlText w:val="%1"/>
      <w:lvlJc w:val="left"/>
      <w:pPr>
        <w:ind w:left="1597" w:hanging="420"/>
      </w:pPr>
      <w:rPr>
        <w:rFonts w:hint="default"/>
        <w:b w:val="0"/>
      </w:rPr>
    </w:lvl>
    <w:lvl w:ilvl="1" w:tentative="0">
      <w:start w:val="1"/>
      <w:numFmt w:val="lowerLetter"/>
      <w:lvlText w:val="%2)"/>
      <w:lvlJc w:val="left"/>
      <w:pPr>
        <w:ind w:left="2017" w:hanging="420"/>
      </w:pPr>
    </w:lvl>
    <w:lvl w:ilvl="2" w:tentative="0">
      <w:start w:val="1"/>
      <w:numFmt w:val="lowerRoman"/>
      <w:lvlText w:val="%3."/>
      <w:lvlJc w:val="right"/>
      <w:pPr>
        <w:ind w:left="2437" w:hanging="420"/>
      </w:pPr>
    </w:lvl>
    <w:lvl w:ilvl="3" w:tentative="0">
      <w:start w:val="1"/>
      <w:numFmt w:val="decimal"/>
      <w:lvlText w:val="%4."/>
      <w:lvlJc w:val="left"/>
      <w:pPr>
        <w:ind w:left="2857" w:hanging="420"/>
      </w:pPr>
    </w:lvl>
    <w:lvl w:ilvl="4" w:tentative="0">
      <w:start w:val="1"/>
      <w:numFmt w:val="lowerLetter"/>
      <w:lvlText w:val="%5)"/>
      <w:lvlJc w:val="left"/>
      <w:pPr>
        <w:ind w:left="3277" w:hanging="420"/>
      </w:pPr>
    </w:lvl>
    <w:lvl w:ilvl="5" w:tentative="0">
      <w:start w:val="1"/>
      <w:numFmt w:val="lowerRoman"/>
      <w:lvlText w:val="%6."/>
      <w:lvlJc w:val="right"/>
      <w:pPr>
        <w:ind w:left="3697" w:hanging="420"/>
      </w:pPr>
    </w:lvl>
    <w:lvl w:ilvl="6" w:tentative="0">
      <w:start w:val="1"/>
      <w:numFmt w:val="decimal"/>
      <w:lvlText w:val="%7."/>
      <w:lvlJc w:val="left"/>
      <w:pPr>
        <w:ind w:left="4117" w:hanging="420"/>
      </w:pPr>
    </w:lvl>
    <w:lvl w:ilvl="7" w:tentative="0">
      <w:start w:val="1"/>
      <w:numFmt w:val="lowerLetter"/>
      <w:lvlText w:val="%8)"/>
      <w:lvlJc w:val="left"/>
      <w:pPr>
        <w:ind w:left="4537" w:hanging="420"/>
      </w:pPr>
    </w:lvl>
    <w:lvl w:ilvl="8" w:tentative="0">
      <w:start w:val="1"/>
      <w:numFmt w:val="lowerRoman"/>
      <w:lvlText w:val="%9."/>
      <w:lvlJc w:val="right"/>
      <w:pPr>
        <w:ind w:left="4957" w:hanging="420"/>
      </w:pPr>
    </w:lvl>
  </w:abstractNum>
  <w:abstractNum w:abstractNumId="5">
    <w:nsid w:val="0D8278A4"/>
    <w:multiLevelType w:val="multilevel"/>
    <w:tmpl w:val="0D8278A4"/>
    <w:lvl w:ilvl="0" w:tentative="0">
      <w:start w:val="1"/>
      <w:numFmt w:val="decimalEnclosedCircle"/>
      <w:lvlText w:val="%1"/>
      <w:lvlJc w:val="left"/>
      <w:pPr>
        <w:ind w:left="1597" w:hanging="420"/>
      </w:pPr>
      <w:rPr>
        <w:rFonts w:hint="default"/>
        <w:b w:val="0"/>
      </w:rPr>
    </w:lvl>
    <w:lvl w:ilvl="1" w:tentative="0">
      <w:start w:val="1"/>
      <w:numFmt w:val="lowerLetter"/>
      <w:lvlText w:val="%2)"/>
      <w:lvlJc w:val="left"/>
      <w:pPr>
        <w:ind w:left="2017" w:hanging="420"/>
      </w:pPr>
    </w:lvl>
    <w:lvl w:ilvl="2" w:tentative="0">
      <w:start w:val="1"/>
      <w:numFmt w:val="lowerRoman"/>
      <w:lvlText w:val="%3."/>
      <w:lvlJc w:val="right"/>
      <w:pPr>
        <w:ind w:left="2437" w:hanging="420"/>
      </w:pPr>
    </w:lvl>
    <w:lvl w:ilvl="3" w:tentative="0">
      <w:start w:val="1"/>
      <w:numFmt w:val="decimal"/>
      <w:lvlText w:val="%4."/>
      <w:lvlJc w:val="left"/>
      <w:pPr>
        <w:ind w:left="2857" w:hanging="420"/>
      </w:pPr>
    </w:lvl>
    <w:lvl w:ilvl="4" w:tentative="0">
      <w:start w:val="1"/>
      <w:numFmt w:val="lowerLetter"/>
      <w:lvlText w:val="%5)"/>
      <w:lvlJc w:val="left"/>
      <w:pPr>
        <w:ind w:left="3277" w:hanging="420"/>
      </w:pPr>
    </w:lvl>
    <w:lvl w:ilvl="5" w:tentative="0">
      <w:start w:val="1"/>
      <w:numFmt w:val="lowerRoman"/>
      <w:lvlText w:val="%6."/>
      <w:lvlJc w:val="right"/>
      <w:pPr>
        <w:ind w:left="3697" w:hanging="420"/>
      </w:pPr>
    </w:lvl>
    <w:lvl w:ilvl="6" w:tentative="0">
      <w:start w:val="1"/>
      <w:numFmt w:val="decimal"/>
      <w:lvlText w:val="%7."/>
      <w:lvlJc w:val="left"/>
      <w:pPr>
        <w:ind w:left="4117" w:hanging="420"/>
      </w:pPr>
    </w:lvl>
    <w:lvl w:ilvl="7" w:tentative="0">
      <w:start w:val="1"/>
      <w:numFmt w:val="lowerLetter"/>
      <w:lvlText w:val="%8)"/>
      <w:lvlJc w:val="left"/>
      <w:pPr>
        <w:ind w:left="4537" w:hanging="420"/>
      </w:pPr>
    </w:lvl>
    <w:lvl w:ilvl="8" w:tentative="0">
      <w:start w:val="1"/>
      <w:numFmt w:val="lowerRoman"/>
      <w:lvlText w:val="%9."/>
      <w:lvlJc w:val="right"/>
      <w:pPr>
        <w:ind w:left="4957" w:hanging="420"/>
      </w:pPr>
    </w:lvl>
  </w:abstractNum>
  <w:abstractNum w:abstractNumId="6">
    <w:nsid w:val="10FD6085"/>
    <w:multiLevelType w:val="multilevel"/>
    <w:tmpl w:val="10FD6085"/>
    <w:lvl w:ilvl="0" w:tentative="0">
      <w:start w:val="1"/>
      <w:numFmt w:val="bullet"/>
      <w:lvlText w:val=""/>
      <w:lvlJc w:val="left"/>
      <w:pPr>
        <w:ind w:left="2017" w:hanging="420"/>
      </w:pPr>
      <w:rPr>
        <w:rFonts w:hint="default" w:ascii="Wingdings" w:hAnsi="Wingdings"/>
      </w:rPr>
    </w:lvl>
    <w:lvl w:ilvl="1" w:tentative="0">
      <w:start w:val="1"/>
      <w:numFmt w:val="bullet"/>
      <w:lvlText w:val=""/>
      <w:lvlJc w:val="left"/>
      <w:pPr>
        <w:ind w:left="2437" w:hanging="420"/>
      </w:pPr>
      <w:rPr>
        <w:rFonts w:hint="default" w:ascii="Wingdings" w:hAnsi="Wingdings"/>
      </w:rPr>
    </w:lvl>
    <w:lvl w:ilvl="2" w:tentative="0">
      <w:start w:val="1"/>
      <w:numFmt w:val="bullet"/>
      <w:lvlText w:val=""/>
      <w:lvlJc w:val="left"/>
      <w:pPr>
        <w:ind w:left="2857" w:hanging="420"/>
      </w:pPr>
      <w:rPr>
        <w:rFonts w:hint="default" w:ascii="Wingdings" w:hAnsi="Wingdings"/>
      </w:rPr>
    </w:lvl>
    <w:lvl w:ilvl="3" w:tentative="0">
      <w:start w:val="1"/>
      <w:numFmt w:val="bullet"/>
      <w:lvlText w:val=""/>
      <w:lvlJc w:val="left"/>
      <w:pPr>
        <w:ind w:left="3277" w:hanging="420"/>
      </w:pPr>
      <w:rPr>
        <w:rFonts w:hint="default" w:ascii="Wingdings" w:hAnsi="Wingdings"/>
      </w:rPr>
    </w:lvl>
    <w:lvl w:ilvl="4" w:tentative="0">
      <w:start w:val="1"/>
      <w:numFmt w:val="bullet"/>
      <w:lvlText w:val=""/>
      <w:lvlJc w:val="left"/>
      <w:pPr>
        <w:ind w:left="3697" w:hanging="420"/>
      </w:pPr>
      <w:rPr>
        <w:rFonts w:hint="default" w:ascii="Wingdings" w:hAnsi="Wingdings"/>
      </w:rPr>
    </w:lvl>
    <w:lvl w:ilvl="5" w:tentative="0">
      <w:start w:val="1"/>
      <w:numFmt w:val="bullet"/>
      <w:lvlText w:val=""/>
      <w:lvlJc w:val="left"/>
      <w:pPr>
        <w:ind w:left="4117" w:hanging="420"/>
      </w:pPr>
      <w:rPr>
        <w:rFonts w:hint="default" w:ascii="Wingdings" w:hAnsi="Wingdings"/>
      </w:rPr>
    </w:lvl>
    <w:lvl w:ilvl="6" w:tentative="0">
      <w:start w:val="1"/>
      <w:numFmt w:val="bullet"/>
      <w:lvlText w:val=""/>
      <w:lvlJc w:val="left"/>
      <w:pPr>
        <w:ind w:left="4537" w:hanging="420"/>
      </w:pPr>
      <w:rPr>
        <w:rFonts w:hint="default" w:ascii="Wingdings" w:hAnsi="Wingdings"/>
      </w:rPr>
    </w:lvl>
    <w:lvl w:ilvl="7" w:tentative="0">
      <w:start w:val="1"/>
      <w:numFmt w:val="bullet"/>
      <w:lvlText w:val=""/>
      <w:lvlJc w:val="left"/>
      <w:pPr>
        <w:ind w:left="4957" w:hanging="420"/>
      </w:pPr>
      <w:rPr>
        <w:rFonts w:hint="default" w:ascii="Wingdings" w:hAnsi="Wingdings"/>
      </w:rPr>
    </w:lvl>
    <w:lvl w:ilvl="8" w:tentative="0">
      <w:start w:val="1"/>
      <w:numFmt w:val="bullet"/>
      <w:lvlText w:val=""/>
      <w:lvlJc w:val="left"/>
      <w:pPr>
        <w:ind w:left="5377" w:hanging="420"/>
      </w:pPr>
      <w:rPr>
        <w:rFonts w:hint="default" w:ascii="Wingdings" w:hAnsi="Wingdings"/>
      </w:rPr>
    </w:lvl>
  </w:abstractNum>
  <w:abstractNum w:abstractNumId="7">
    <w:nsid w:val="231F21C1"/>
    <w:multiLevelType w:val="multilevel"/>
    <w:tmpl w:val="231F21C1"/>
    <w:lvl w:ilvl="0" w:tentative="0">
      <w:start w:val="1"/>
      <w:numFmt w:val="decimal"/>
      <w:lvlText w:val="%1."/>
      <w:lvlJc w:val="left"/>
      <w:pPr>
        <w:ind w:left="1480" w:hanging="420"/>
      </w:pPr>
    </w:lvl>
    <w:lvl w:ilvl="1" w:tentative="0">
      <w:start w:val="1"/>
      <w:numFmt w:val="lowerLetter"/>
      <w:lvlText w:val="%2)"/>
      <w:lvlJc w:val="left"/>
      <w:pPr>
        <w:ind w:left="1900" w:hanging="420"/>
      </w:pPr>
    </w:lvl>
    <w:lvl w:ilvl="2" w:tentative="0">
      <w:start w:val="1"/>
      <w:numFmt w:val="lowerRoman"/>
      <w:lvlText w:val="%3."/>
      <w:lvlJc w:val="right"/>
      <w:pPr>
        <w:ind w:left="2320" w:hanging="420"/>
      </w:pPr>
    </w:lvl>
    <w:lvl w:ilvl="3" w:tentative="0">
      <w:start w:val="1"/>
      <w:numFmt w:val="decimal"/>
      <w:lvlText w:val="%4."/>
      <w:lvlJc w:val="left"/>
      <w:pPr>
        <w:ind w:left="2740" w:hanging="420"/>
      </w:pPr>
    </w:lvl>
    <w:lvl w:ilvl="4" w:tentative="0">
      <w:start w:val="1"/>
      <w:numFmt w:val="lowerLetter"/>
      <w:lvlText w:val="%5)"/>
      <w:lvlJc w:val="left"/>
      <w:pPr>
        <w:ind w:left="3160" w:hanging="420"/>
      </w:pPr>
    </w:lvl>
    <w:lvl w:ilvl="5" w:tentative="0">
      <w:start w:val="1"/>
      <w:numFmt w:val="lowerRoman"/>
      <w:lvlText w:val="%6."/>
      <w:lvlJc w:val="right"/>
      <w:pPr>
        <w:ind w:left="3580" w:hanging="420"/>
      </w:pPr>
    </w:lvl>
    <w:lvl w:ilvl="6" w:tentative="0">
      <w:start w:val="1"/>
      <w:numFmt w:val="decimal"/>
      <w:lvlText w:val="%7."/>
      <w:lvlJc w:val="left"/>
      <w:pPr>
        <w:ind w:left="4000" w:hanging="420"/>
      </w:pPr>
    </w:lvl>
    <w:lvl w:ilvl="7" w:tentative="0">
      <w:start w:val="1"/>
      <w:numFmt w:val="lowerLetter"/>
      <w:lvlText w:val="%8)"/>
      <w:lvlJc w:val="left"/>
      <w:pPr>
        <w:ind w:left="4420" w:hanging="420"/>
      </w:pPr>
    </w:lvl>
    <w:lvl w:ilvl="8" w:tentative="0">
      <w:start w:val="1"/>
      <w:numFmt w:val="lowerRoman"/>
      <w:lvlText w:val="%9."/>
      <w:lvlJc w:val="right"/>
      <w:pPr>
        <w:ind w:left="4840" w:hanging="420"/>
      </w:pPr>
    </w:lvl>
  </w:abstractNum>
  <w:abstractNum w:abstractNumId="8">
    <w:nsid w:val="2EA4030A"/>
    <w:multiLevelType w:val="multilevel"/>
    <w:tmpl w:val="2EA4030A"/>
    <w:lvl w:ilvl="0" w:tentative="0">
      <w:start w:val="1"/>
      <w:numFmt w:val="decimal"/>
      <w:lvlText w:val="%1."/>
      <w:lvlJc w:val="left"/>
      <w:pPr>
        <w:ind w:left="1060" w:hanging="420"/>
      </w:p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9">
    <w:nsid w:val="32147188"/>
    <w:multiLevelType w:val="multilevel"/>
    <w:tmpl w:val="32147188"/>
    <w:lvl w:ilvl="0" w:tentative="0">
      <w:start w:val="1"/>
      <w:numFmt w:val="chineseCountingThousand"/>
      <w:pStyle w:val="22"/>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34612F92"/>
    <w:multiLevelType w:val="multilevel"/>
    <w:tmpl w:val="34612F92"/>
    <w:lvl w:ilvl="0" w:tentative="0">
      <w:start w:val="1"/>
      <w:numFmt w:val="decimalEnclosedCircle"/>
      <w:lvlText w:val="%1"/>
      <w:lvlJc w:val="left"/>
      <w:pPr>
        <w:ind w:left="1900" w:hanging="420"/>
      </w:pPr>
      <w:rPr>
        <w:rFonts w:hint="default"/>
        <w:b w:val="0"/>
      </w:rPr>
    </w:lvl>
    <w:lvl w:ilvl="1" w:tentative="0">
      <w:start w:val="1"/>
      <w:numFmt w:val="lowerLetter"/>
      <w:lvlText w:val="%2)"/>
      <w:lvlJc w:val="left"/>
      <w:pPr>
        <w:ind w:left="2320" w:hanging="420"/>
      </w:pPr>
    </w:lvl>
    <w:lvl w:ilvl="2" w:tentative="0">
      <w:start w:val="1"/>
      <w:numFmt w:val="lowerRoman"/>
      <w:lvlText w:val="%3."/>
      <w:lvlJc w:val="right"/>
      <w:pPr>
        <w:ind w:left="2740" w:hanging="420"/>
      </w:pPr>
    </w:lvl>
    <w:lvl w:ilvl="3" w:tentative="0">
      <w:start w:val="1"/>
      <w:numFmt w:val="decimal"/>
      <w:lvlText w:val="%4."/>
      <w:lvlJc w:val="left"/>
      <w:pPr>
        <w:ind w:left="3160" w:hanging="420"/>
      </w:pPr>
    </w:lvl>
    <w:lvl w:ilvl="4" w:tentative="0">
      <w:start w:val="1"/>
      <w:numFmt w:val="lowerLetter"/>
      <w:lvlText w:val="%5)"/>
      <w:lvlJc w:val="left"/>
      <w:pPr>
        <w:ind w:left="3580" w:hanging="420"/>
      </w:pPr>
    </w:lvl>
    <w:lvl w:ilvl="5" w:tentative="0">
      <w:start w:val="1"/>
      <w:numFmt w:val="lowerRoman"/>
      <w:lvlText w:val="%6."/>
      <w:lvlJc w:val="right"/>
      <w:pPr>
        <w:ind w:left="4000" w:hanging="420"/>
      </w:pPr>
    </w:lvl>
    <w:lvl w:ilvl="6" w:tentative="0">
      <w:start w:val="1"/>
      <w:numFmt w:val="decimal"/>
      <w:lvlText w:val="%7."/>
      <w:lvlJc w:val="left"/>
      <w:pPr>
        <w:ind w:left="4420" w:hanging="420"/>
      </w:pPr>
    </w:lvl>
    <w:lvl w:ilvl="7" w:tentative="0">
      <w:start w:val="1"/>
      <w:numFmt w:val="lowerLetter"/>
      <w:lvlText w:val="%8)"/>
      <w:lvlJc w:val="left"/>
      <w:pPr>
        <w:ind w:left="4840" w:hanging="420"/>
      </w:pPr>
    </w:lvl>
    <w:lvl w:ilvl="8" w:tentative="0">
      <w:start w:val="1"/>
      <w:numFmt w:val="lowerRoman"/>
      <w:lvlText w:val="%9."/>
      <w:lvlJc w:val="right"/>
      <w:pPr>
        <w:ind w:left="5260" w:hanging="420"/>
      </w:pPr>
    </w:lvl>
  </w:abstractNum>
  <w:abstractNum w:abstractNumId="11">
    <w:nsid w:val="463D5503"/>
    <w:multiLevelType w:val="multilevel"/>
    <w:tmpl w:val="463D5503"/>
    <w:lvl w:ilvl="0" w:tentative="0">
      <w:start w:val="1"/>
      <w:numFmt w:val="decimalEnclosedCircle"/>
      <w:lvlText w:val="%1"/>
      <w:lvlJc w:val="left"/>
      <w:pPr>
        <w:ind w:left="1905" w:hanging="360"/>
      </w:pPr>
      <w:rPr>
        <w:rFonts w:hint="default"/>
        <w:b w:val="0"/>
      </w:rPr>
    </w:lvl>
    <w:lvl w:ilvl="1" w:tentative="0">
      <w:start w:val="1"/>
      <w:numFmt w:val="lowerLetter"/>
      <w:lvlText w:val="%2)"/>
      <w:lvlJc w:val="left"/>
      <w:pPr>
        <w:ind w:left="2385" w:hanging="420"/>
      </w:pPr>
    </w:lvl>
    <w:lvl w:ilvl="2" w:tentative="0">
      <w:start w:val="1"/>
      <w:numFmt w:val="lowerRoman"/>
      <w:lvlText w:val="%3."/>
      <w:lvlJc w:val="right"/>
      <w:pPr>
        <w:ind w:left="2805" w:hanging="420"/>
      </w:pPr>
    </w:lvl>
    <w:lvl w:ilvl="3" w:tentative="0">
      <w:start w:val="1"/>
      <w:numFmt w:val="decimal"/>
      <w:lvlText w:val="%4."/>
      <w:lvlJc w:val="left"/>
      <w:pPr>
        <w:ind w:left="3225" w:hanging="420"/>
      </w:pPr>
    </w:lvl>
    <w:lvl w:ilvl="4" w:tentative="0">
      <w:start w:val="1"/>
      <w:numFmt w:val="lowerLetter"/>
      <w:lvlText w:val="%5)"/>
      <w:lvlJc w:val="left"/>
      <w:pPr>
        <w:ind w:left="3645" w:hanging="420"/>
      </w:pPr>
    </w:lvl>
    <w:lvl w:ilvl="5" w:tentative="0">
      <w:start w:val="1"/>
      <w:numFmt w:val="lowerRoman"/>
      <w:lvlText w:val="%6."/>
      <w:lvlJc w:val="right"/>
      <w:pPr>
        <w:ind w:left="4065" w:hanging="420"/>
      </w:pPr>
    </w:lvl>
    <w:lvl w:ilvl="6" w:tentative="0">
      <w:start w:val="1"/>
      <w:numFmt w:val="decimal"/>
      <w:lvlText w:val="%7."/>
      <w:lvlJc w:val="left"/>
      <w:pPr>
        <w:ind w:left="4485" w:hanging="420"/>
      </w:pPr>
    </w:lvl>
    <w:lvl w:ilvl="7" w:tentative="0">
      <w:start w:val="1"/>
      <w:numFmt w:val="lowerLetter"/>
      <w:lvlText w:val="%8)"/>
      <w:lvlJc w:val="left"/>
      <w:pPr>
        <w:ind w:left="4905" w:hanging="420"/>
      </w:pPr>
    </w:lvl>
    <w:lvl w:ilvl="8" w:tentative="0">
      <w:start w:val="1"/>
      <w:numFmt w:val="lowerRoman"/>
      <w:lvlText w:val="%9."/>
      <w:lvlJc w:val="right"/>
      <w:pPr>
        <w:ind w:left="5325" w:hanging="420"/>
      </w:pPr>
    </w:lvl>
  </w:abstractNum>
  <w:abstractNum w:abstractNumId="12">
    <w:nsid w:val="46E86522"/>
    <w:multiLevelType w:val="multilevel"/>
    <w:tmpl w:val="46E86522"/>
    <w:lvl w:ilvl="0" w:tentative="0">
      <w:start w:val="1"/>
      <w:numFmt w:val="decimal"/>
      <w:lvlText w:val="%1."/>
      <w:lvlJc w:val="left"/>
      <w:pPr>
        <w:ind w:left="1060" w:hanging="420"/>
      </w:p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13">
    <w:nsid w:val="4D615627"/>
    <w:multiLevelType w:val="multilevel"/>
    <w:tmpl w:val="4D615627"/>
    <w:lvl w:ilvl="0" w:tentative="0">
      <w:start w:val="1"/>
      <w:numFmt w:val="decimalEnclosedCircle"/>
      <w:lvlText w:val="%1"/>
      <w:lvlJc w:val="left"/>
      <w:pPr>
        <w:ind w:left="1597" w:hanging="420"/>
      </w:pPr>
      <w:rPr>
        <w:rFonts w:hint="default"/>
        <w:b w:val="0"/>
      </w:rPr>
    </w:lvl>
    <w:lvl w:ilvl="1" w:tentative="0">
      <w:start w:val="1"/>
      <w:numFmt w:val="lowerLetter"/>
      <w:lvlText w:val="%2)"/>
      <w:lvlJc w:val="left"/>
      <w:pPr>
        <w:ind w:left="2017" w:hanging="420"/>
      </w:pPr>
    </w:lvl>
    <w:lvl w:ilvl="2" w:tentative="0">
      <w:start w:val="1"/>
      <w:numFmt w:val="lowerRoman"/>
      <w:lvlText w:val="%3."/>
      <w:lvlJc w:val="right"/>
      <w:pPr>
        <w:ind w:left="2437" w:hanging="420"/>
      </w:pPr>
    </w:lvl>
    <w:lvl w:ilvl="3" w:tentative="0">
      <w:start w:val="1"/>
      <w:numFmt w:val="decimal"/>
      <w:lvlText w:val="%4."/>
      <w:lvlJc w:val="left"/>
      <w:pPr>
        <w:ind w:left="2857" w:hanging="420"/>
      </w:pPr>
    </w:lvl>
    <w:lvl w:ilvl="4" w:tentative="0">
      <w:start w:val="1"/>
      <w:numFmt w:val="lowerLetter"/>
      <w:lvlText w:val="%5)"/>
      <w:lvlJc w:val="left"/>
      <w:pPr>
        <w:ind w:left="3277" w:hanging="420"/>
      </w:pPr>
    </w:lvl>
    <w:lvl w:ilvl="5" w:tentative="0">
      <w:start w:val="1"/>
      <w:numFmt w:val="lowerRoman"/>
      <w:lvlText w:val="%6."/>
      <w:lvlJc w:val="right"/>
      <w:pPr>
        <w:ind w:left="3697" w:hanging="420"/>
      </w:pPr>
    </w:lvl>
    <w:lvl w:ilvl="6" w:tentative="0">
      <w:start w:val="1"/>
      <w:numFmt w:val="decimal"/>
      <w:lvlText w:val="%7."/>
      <w:lvlJc w:val="left"/>
      <w:pPr>
        <w:ind w:left="4117" w:hanging="420"/>
      </w:pPr>
    </w:lvl>
    <w:lvl w:ilvl="7" w:tentative="0">
      <w:start w:val="1"/>
      <w:numFmt w:val="lowerLetter"/>
      <w:lvlText w:val="%8)"/>
      <w:lvlJc w:val="left"/>
      <w:pPr>
        <w:ind w:left="4537" w:hanging="420"/>
      </w:pPr>
    </w:lvl>
    <w:lvl w:ilvl="8" w:tentative="0">
      <w:start w:val="1"/>
      <w:numFmt w:val="lowerRoman"/>
      <w:lvlText w:val="%9."/>
      <w:lvlJc w:val="right"/>
      <w:pPr>
        <w:ind w:left="4957" w:hanging="420"/>
      </w:pPr>
    </w:lvl>
  </w:abstractNum>
  <w:abstractNum w:abstractNumId="14">
    <w:nsid w:val="52391BC0"/>
    <w:multiLevelType w:val="multilevel"/>
    <w:tmpl w:val="52391BC0"/>
    <w:lvl w:ilvl="0" w:tentative="0">
      <w:start w:val="1"/>
      <w:numFmt w:val="decimalEnclosedCircle"/>
      <w:lvlText w:val="%1"/>
      <w:lvlJc w:val="left"/>
      <w:pPr>
        <w:ind w:left="1597" w:hanging="420"/>
      </w:pPr>
      <w:rPr>
        <w:rFonts w:hint="default"/>
        <w:b w:val="0"/>
      </w:rPr>
    </w:lvl>
    <w:lvl w:ilvl="1" w:tentative="0">
      <w:start w:val="1"/>
      <w:numFmt w:val="lowerLetter"/>
      <w:lvlText w:val="%2)"/>
      <w:lvlJc w:val="left"/>
      <w:pPr>
        <w:ind w:left="2017" w:hanging="420"/>
      </w:pPr>
    </w:lvl>
    <w:lvl w:ilvl="2" w:tentative="0">
      <w:start w:val="1"/>
      <w:numFmt w:val="lowerRoman"/>
      <w:lvlText w:val="%3."/>
      <w:lvlJc w:val="right"/>
      <w:pPr>
        <w:ind w:left="2437" w:hanging="420"/>
      </w:pPr>
    </w:lvl>
    <w:lvl w:ilvl="3" w:tentative="0">
      <w:start w:val="1"/>
      <w:numFmt w:val="decimal"/>
      <w:lvlText w:val="%4."/>
      <w:lvlJc w:val="left"/>
      <w:pPr>
        <w:ind w:left="2857" w:hanging="420"/>
      </w:pPr>
    </w:lvl>
    <w:lvl w:ilvl="4" w:tentative="0">
      <w:start w:val="1"/>
      <w:numFmt w:val="lowerLetter"/>
      <w:lvlText w:val="%5)"/>
      <w:lvlJc w:val="left"/>
      <w:pPr>
        <w:ind w:left="3277" w:hanging="420"/>
      </w:pPr>
    </w:lvl>
    <w:lvl w:ilvl="5" w:tentative="0">
      <w:start w:val="1"/>
      <w:numFmt w:val="lowerRoman"/>
      <w:lvlText w:val="%6."/>
      <w:lvlJc w:val="right"/>
      <w:pPr>
        <w:ind w:left="3697" w:hanging="420"/>
      </w:pPr>
    </w:lvl>
    <w:lvl w:ilvl="6" w:tentative="0">
      <w:start w:val="1"/>
      <w:numFmt w:val="decimal"/>
      <w:lvlText w:val="%7."/>
      <w:lvlJc w:val="left"/>
      <w:pPr>
        <w:ind w:left="4117" w:hanging="420"/>
      </w:pPr>
    </w:lvl>
    <w:lvl w:ilvl="7" w:tentative="0">
      <w:start w:val="1"/>
      <w:numFmt w:val="lowerLetter"/>
      <w:lvlText w:val="%8)"/>
      <w:lvlJc w:val="left"/>
      <w:pPr>
        <w:ind w:left="4537" w:hanging="420"/>
      </w:pPr>
    </w:lvl>
    <w:lvl w:ilvl="8" w:tentative="0">
      <w:start w:val="1"/>
      <w:numFmt w:val="lowerRoman"/>
      <w:lvlText w:val="%9."/>
      <w:lvlJc w:val="right"/>
      <w:pPr>
        <w:ind w:left="4957" w:hanging="420"/>
      </w:pPr>
    </w:lvl>
  </w:abstractNum>
  <w:abstractNum w:abstractNumId="15">
    <w:nsid w:val="58131887"/>
    <w:multiLevelType w:val="multilevel"/>
    <w:tmpl w:val="58131887"/>
    <w:lvl w:ilvl="0" w:tentative="0">
      <w:start w:val="1"/>
      <w:numFmt w:val="decimalEnclosedCircle"/>
      <w:lvlText w:val="%1"/>
      <w:lvlJc w:val="left"/>
      <w:pPr>
        <w:ind w:left="1900" w:hanging="420"/>
      </w:pPr>
      <w:rPr>
        <w:rFonts w:hint="default"/>
        <w:b w:val="0"/>
      </w:rPr>
    </w:lvl>
    <w:lvl w:ilvl="1" w:tentative="0">
      <w:start w:val="1"/>
      <w:numFmt w:val="lowerLetter"/>
      <w:lvlText w:val="%2)"/>
      <w:lvlJc w:val="left"/>
      <w:pPr>
        <w:ind w:left="2320" w:hanging="420"/>
      </w:pPr>
    </w:lvl>
    <w:lvl w:ilvl="2" w:tentative="0">
      <w:start w:val="1"/>
      <w:numFmt w:val="lowerRoman"/>
      <w:lvlText w:val="%3."/>
      <w:lvlJc w:val="right"/>
      <w:pPr>
        <w:ind w:left="2740" w:hanging="420"/>
      </w:pPr>
    </w:lvl>
    <w:lvl w:ilvl="3" w:tentative="0">
      <w:start w:val="1"/>
      <w:numFmt w:val="decimal"/>
      <w:lvlText w:val="%4."/>
      <w:lvlJc w:val="left"/>
      <w:pPr>
        <w:ind w:left="3160" w:hanging="420"/>
      </w:pPr>
    </w:lvl>
    <w:lvl w:ilvl="4" w:tentative="0">
      <w:start w:val="1"/>
      <w:numFmt w:val="lowerLetter"/>
      <w:lvlText w:val="%5)"/>
      <w:lvlJc w:val="left"/>
      <w:pPr>
        <w:ind w:left="3580" w:hanging="420"/>
      </w:pPr>
    </w:lvl>
    <w:lvl w:ilvl="5" w:tentative="0">
      <w:start w:val="1"/>
      <w:numFmt w:val="lowerRoman"/>
      <w:lvlText w:val="%6."/>
      <w:lvlJc w:val="right"/>
      <w:pPr>
        <w:ind w:left="4000" w:hanging="420"/>
      </w:pPr>
    </w:lvl>
    <w:lvl w:ilvl="6" w:tentative="0">
      <w:start w:val="1"/>
      <w:numFmt w:val="decimal"/>
      <w:lvlText w:val="%7."/>
      <w:lvlJc w:val="left"/>
      <w:pPr>
        <w:ind w:left="4420" w:hanging="420"/>
      </w:pPr>
    </w:lvl>
    <w:lvl w:ilvl="7" w:tentative="0">
      <w:start w:val="1"/>
      <w:numFmt w:val="lowerLetter"/>
      <w:lvlText w:val="%8)"/>
      <w:lvlJc w:val="left"/>
      <w:pPr>
        <w:ind w:left="4840" w:hanging="420"/>
      </w:pPr>
    </w:lvl>
    <w:lvl w:ilvl="8" w:tentative="0">
      <w:start w:val="1"/>
      <w:numFmt w:val="lowerRoman"/>
      <w:lvlText w:val="%9."/>
      <w:lvlJc w:val="right"/>
      <w:pPr>
        <w:ind w:left="5260" w:hanging="420"/>
      </w:pPr>
    </w:lvl>
  </w:abstractNum>
  <w:abstractNum w:abstractNumId="16">
    <w:nsid w:val="5AD67E73"/>
    <w:multiLevelType w:val="multilevel"/>
    <w:tmpl w:val="5AD67E73"/>
    <w:lvl w:ilvl="0" w:tentative="0">
      <w:start w:val="1"/>
      <w:numFmt w:val="chineseCountingThousand"/>
      <w:pStyle w:val="21"/>
      <w:lvlText w:val="(%1)"/>
      <w:lvlJc w:val="left"/>
      <w:pPr>
        <w:ind w:left="1060" w:hanging="420"/>
      </w:pPr>
      <w:rPr>
        <w:rFonts w:ascii="Adobe 楷体 Std R" w:hAnsi="Adobe 楷体 Std R" w:eastAsia="Adobe 楷体 Std R"/>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17">
    <w:nsid w:val="6084757E"/>
    <w:multiLevelType w:val="multilevel"/>
    <w:tmpl w:val="6084757E"/>
    <w:lvl w:ilvl="0" w:tentative="0">
      <w:start w:val="1"/>
      <w:numFmt w:val="decimalEnclosedCircle"/>
      <w:lvlText w:val="%1"/>
      <w:lvlJc w:val="left"/>
      <w:pPr>
        <w:ind w:left="1900" w:hanging="420"/>
      </w:pPr>
      <w:rPr>
        <w:rFonts w:hint="default"/>
        <w:b w:val="0"/>
      </w:rPr>
    </w:lvl>
    <w:lvl w:ilvl="1" w:tentative="0">
      <w:start w:val="1"/>
      <w:numFmt w:val="lowerLetter"/>
      <w:lvlText w:val="%2)"/>
      <w:lvlJc w:val="left"/>
      <w:pPr>
        <w:ind w:left="2320" w:hanging="420"/>
      </w:pPr>
    </w:lvl>
    <w:lvl w:ilvl="2" w:tentative="0">
      <w:start w:val="1"/>
      <w:numFmt w:val="lowerRoman"/>
      <w:lvlText w:val="%3."/>
      <w:lvlJc w:val="right"/>
      <w:pPr>
        <w:ind w:left="2740" w:hanging="420"/>
      </w:pPr>
    </w:lvl>
    <w:lvl w:ilvl="3" w:tentative="0">
      <w:start w:val="1"/>
      <w:numFmt w:val="decimal"/>
      <w:lvlText w:val="%4."/>
      <w:lvlJc w:val="left"/>
      <w:pPr>
        <w:ind w:left="3160" w:hanging="420"/>
      </w:pPr>
    </w:lvl>
    <w:lvl w:ilvl="4" w:tentative="0">
      <w:start w:val="1"/>
      <w:numFmt w:val="lowerLetter"/>
      <w:lvlText w:val="%5)"/>
      <w:lvlJc w:val="left"/>
      <w:pPr>
        <w:ind w:left="3580" w:hanging="420"/>
      </w:pPr>
    </w:lvl>
    <w:lvl w:ilvl="5" w:tentative="0">
      <w:start w:val="1"/>
      <w:numFmt w:val="lowerRoman"/>
      <w:lvlText w:val="%6."/>
      <w:lvlJc w:val="right"/>
      <w:pPr>
        <w:ind w:left="4000" w:hanging="420"/>
      </w:pPr>
    </w:lvl>
    <w:lvl w:ilvl="6" w:tentative="0">
      <w:start w:val="1"/>
      <w:numFmt w:val="decimal"/>
      <w:lvlText w:val="%7."/>
      <w:lvlJc w:val="left"/>
      <w:pPr>
        <w:ind w:left="4420" w:hanging="420"/>
      </w:pPr>
    </w:lvl>
    <w:lvl w:ilvl="7" w:tentative="0">
      <w:start w:val="1"/>
      <w:numFmt w:val="lowerLetter"/>
      <w:lvlText w:val="%8)"/>
      <w:lvlJc w:val="left"/>
      <w:pPr>
        <w:ind w:left="4840" w:hanging="420"/>
      </w:pPr>
    </w:lvl>
    <w:lvl w:ilvl="8" w:tentative="0">
      <w:start w:val="1"/>
      <w:numFmt w:val="lowerRoman"/>
      <w:lvlText w:val="%9."/>
      <w:lvlJc w:val="right"/>
      <w:pPr>
        <w:ind w:left="5260" w:hanging="420"/>
      </w:pPr>
    </w:lvl>
  </w:abstractNum>
  <w:abstractNum w:abstractNumId="18">
    <w:nsid w:val="62372208"/>
    <w:multiLevelType w:val="multilevel"/>
    <w:tmpl w:val="62372208"/>
    <w:lvl w:ilvl="0" w:tentative="0">
      <w:start w:val="1"/>
      <w:numFmt w:val="decimal"/>
      <w:lvlText w:val="%1."/>
      <w:lvlJc w:val="left"/>
      <w:pPr>
        <w:ind w:left="1480" w:hanging="420"/>
      </w:pPr>
    </w:lvl>
    <w:lvl w:ilvl="1" w:tentative="0">
      <w:start w:val="1"/>
      <w:numFmt w:val="lowerLetter"/>
      <w:lvlText w:val="%2)"/>
      <w:lvlJc w:val="left"/>
      <w:pPr>
        <w:ind w:left="1900" w:hanging="420"/>
      </w:pPr>
    </w:lvl>
    <w:lvl w:ilvl="2" w:tentative="0">
      <w:start w:val="1"/>
      <w:numFmt w:val="lowerRoman"/>
      <w:lvlText w:val="%3."/>
      <w:lvlJc w:val="right"/>
      <w:pPr>
        <w:ind w:left="2320" w:hanging="420"/>
      </w:pPr>
    </w:lvl>
    <w:lvl w:ilvl="3" w:tentative="0">
      <w:start w:val="1"/>
      <w:numFmt w:val="decimal"/>
      <w:lvlText w:val="%4."/>
      <w:lvlJc w:val="left"/>
      <w:pPr>
        <w:ind w:left="2740" w:hanging="420"/>
      </w:pPr>
    </w:lvl>
    <w:lvl w:ilvl="4" w:tentative="0">
      <w:start w:val="1"/>
      <w:numFmt w:val="lowerLetter"/>
      <w:lvlText w:val="%5)"/>
      <w:lvlJc w:val="left"/>
      <w:pPr>
        <w:ind w:left="3160" w:hanging="420"/>
      </w:pPr>
    </w:lvl>
    <w:lvl w:ilvl="5" w:tentative="0">
      <w:start w:val="1"/>
      <w:numFmt w:val="lowerRoman"/>
      <w:lvlText w:val="%6."/>
      <w:lvlJc w:val="right"/>
      <w:pPr>
        <w:ind w:left="3580" w:hanging="420"/>
      </w:pPr>
    </w:lvl>
    <w:lvl w:ilvl="6" w:tentative="0">
      <w:start w:val="1"/>
      <w:numFmt w:val="decimal"/>
      <w:lvlText w:val="%7."/>
      <w:lvlJc w:val="left"/>
      <w:pPr>
        <w:ind w:left="4000" w:hanging="420"/>
      </w:pPr>
    </w:lvl>
    <w:lvl w:ilvl="7" w:tentative="0">
      <w:start w:val="1"/>
      <w:numFmt w:val="lowerLetter"/>
      <w:lvlText w:val="%8)"/>
      <w:lvlJc w:val="left"/>
      <w:pPr>
        <w:ind w:left="4420" w:hanging="420"/>
      </w:pPr>
    </w:lvl>
    <w:lvl w:ilvl="8" w:tentative="0">
      <w:start w:val="1"/>
      <w:numFmt w:val="lowerRoman"/>
      <w:lvlText w:val="%9."/>
      <w:lvlJc w:val="right"/>
      <w:pPr>
        <w:ind w:left="4840" w:hanging="420"/>
      </w:pPr>
    </w:lvl>
  </w:abstractNum>
  <w:abstractNum w:abstractNumId="19">
    <w:nsid w:val="65B35A0B"/>
    <w:multiLevelType w:val="multilevel"/>
    <w:tmpl w:val="65B35A0B"/>
    <w:lvl w:ilvl="0" w:tentative="0">
      <w:start w:val="1"/>
      <w:numFmt w:val="bullet"/>
      <w:lvlText w:val=""/>
      <w:lvlJc w:val="left"/>
      <w:pPr>
        <w:ind w:left="2017" w:hanging="420"/>
      </w:pPr>
      <w:rPr>
        <w:rFonts w:hint="default" w:ascii="Wingdings" w:hAnsi="Wingdings"/>
      </w:rPr>
    </w:lvl>
    <w:lvl w:ilvl="1" w:tentative="0">
      <w:start w:val="1"/>
      <w:numFmt w:val="bullet"/>
      <w:lvlText w:val=""/>
      <w:lvlJc w:val="left"/>
      <w:pPr>
        <w:ind w:left="2437" w:hanging="420"/>
      </w:pPr>
      <w:rPr>
        <w:rFonts w:hint="default" w:ascii="Wingdings" w:hAnsi="Wingdings"/>
      </w:rPr>
    </w:lvl>
    <w:lvl w:ilvl="2" w:tentative="0">
      <w:start w:val="1"/>
      <w:numFmt w:val="bullet"/>
      <w:lvlText w:val=""/>
      <w:lvlJc w:val="left"/>
      <w:pPr>
        <w:ind w:left="2857" w:hanging="420"/>
      </w:pPr>
      <w:rPr>
        <w:rFonts w:hint="default" w:ascii="Wingdings" w:hAnsi="Wingdings"/>
      </w:rPr>
    </w:lvl>
    <w:lvl w:ilvl="3" w:tentative="0">
      <w:start w:val="1"/>
      <w:numFmt w:val="bullet"/>
      <w:lvlText w:val=""/>
      <w:lvlJc w:val="left"/>
      <w:pPr>
        <w:ind w:left="3277" w:hanging="420"/>
      </w:pPr>
      <w:rPr>
        <w:rFonts w:hint="default" w:ascii="Wingdings" w:hAnsi="Wingdings"/>
      </w:rPr>
    </w:lvl>
    <w:lvl w:ilvl="4" w:tentative="0">
      <w:start w:val="1"/>
      <w:numFmt w:val="bullet"/>
      <w:lvlText w:val=""/>
      <w:lvlJc w:val="left"/>
      <w:pPr>
        <w:ind w:left="3697" w:hanging="420"/>
      </w:pPr>
      <w:rPr>
        <w:rFonts w:hint="default" w:ascii="Wingdings" w:hAnsi="Wingdings"/>
      </w:rPr>
    </w:lvl>
    <w:lvl w:ilvl="5" w:tentative="0">
      <w:start w:val="1"/>
      <w:numFmt w:val="bullet"/>
      <w:lvlText w:val=""/>
      <w:lvlJc w:val="left"/>
      <w:pPr>
        <w:ind w:left="4117" w:hanging="420"/>
      </w:pPr>
      <w:rPr>
        <w:rFonts w:hint="default" w:ascii="Wingdings" w:hAnsi="Wingdings"/>
      </w:rPr>
    </w:lvl>
    <w:lvl w:ilvl="6" w:tentative="0">
      <w:start w:val="1"/>
      <w:numFmt w:val="bullet"/>
      <w:lvlText w:val=""/>
      <w:lvlJc w:val="left"/>
      <w:pPr>
        <w:ind w:left="4537" w:hanging="420"/>
      </w:pPr>
      <w:rPr>
        <w:rFonts w:hint="default" w:ascii="Wingdings" w:hAnsi="Wingdings"/>
      </w:rPr>
    </w:lvl>
    <w:lvl w:ilvl="7" w:tentative="0">
      <w:start w:val="1"/>
      <w:numFmt w:val="bullet"/>
      <w:lvlText w:val=""/>
      <w:lvlJc w:val="left"/>
      <w:pPr>
        <w:ind w:left="4957" w:hanging="420"/>
      </w:pPr>
      <w:rPr>
        <w:rFonts w:hint="default" w:ascii="Wingdings" w:hAnsi="Wingdings"/>
      </w:rPr>
    </w:lvl>
    <w:lvl w:ilvl="8" w:tentative="0">
      <w:start w:val="1"/>
      <w:numFmt w:val="bullet"/>
      <w:lvlText w:val=""/>
      <w:lvlJc w:val="left"/>
      <w:pPr>
        <w:ind w:left="5377" w:hanging="420"/>
      </w:pPr>
      <w:rPr>
        <w:rFonts w:hint="default" w:ascii="Wingdings" w:hAnsi="Wingdings"/>
      </w:rPr>
    </w:lvl>
  </w:abstractNum>
  <w:abstractNum w:abstractNumId="20">
    <w:nsid w:val="723121CB"/>
    <w:multiLevelType w:val="multilevel"/>
    <w:tmpl w:val="723121CB"/>
    <w:lvl w:ilvl="0" w:tentative="0">
      <w:start w:val="1"/>
      <w:numFmt w:val="decimalEnclosedCircle"/>
      <w:lvlText w:val="%1"/>
      <w:lvlJc w:val="left"/>
      <w:pPr>
        <w:ind w:left="1900" w:hanging="420"/>
      </w:pPr>
      <w:rPr>
        <w:rFonts w:hint="default"/>
        <w:b w:val="0"/>
      </w:rPr>
    </w:lvl>
    <w:lvl w:ilvl="1" w:tentative="0">
      <w:start w:val="1"/>
      <w:numFmt w:val="lowerLetter"/>
      <w:lvlText w:val="%2)"/>
      <w:lvlJc w:val="left"/>
      <w:pPr>
        <w:ind w:left="2320" w:hanging="420"/>
      </w:pPr>
    </w:lvl>
    <w:lvl w:ilvl="2" w:tentative="0">
      <w:start w:val="1"/>
      <w:numFmt w:val="lowerRoman"/>
      <w:lvlText w:val="%3."/>
      <w:lvlJc w:val="right"/>
      <w:pPr>
        <w:ind w:left="2740" w:hanging="420"/>
      </w:pPr>
    </w:lvl>
    <w:lvl w:ilvl="3" w:tentative="0">
      <w:start w:val="1"/>
      <w:numFmt w:val="decimal"/>
      <w:lvlText w:val="%4."/>
      <w:lvlJc w:val="left"/>
      <w:pPr>
        <w:ind w:left="3160" w:hanging="420"/>
      </w:pPr>
    </w:lvl>
    <w:lvl w:ilvl="4" w:tentative="0">
      <w:start w:val="1"/>
      <w:numFmt w:val="lowerLetter"/>
      <w:lvlText w:val="%5)"/>
      <w:lvlJc w:val="left"/>
      <w:pPr>
        <w:ind w:left="3580" w:hanging="420"/>
      </w:pPr>
    </w:lvl>
    <w:lvl w:ilvl="5" w:tentative="0">
      <w:start w:val="1"/>
      <w:numFmt w:val="lowerRoman"/>
      <w:lvlText w:val="%6."/>
      <w:lvlJc w:val="right"/>
      <w:pPr>
        <w:ind w:left="4000" w:hanging="420"/>
      </w:pPr>
    </w:lvl>
    <w:lvl w:ilvl="6" w:tentative="0">
      <w:start w:val="1"/>
      <w:numFmt w:val="decimal"/>
      <w:lvlText w:val="%7."/>
      <w:lvlJc w:val="left"/>
      <w:pPr>
        <w:ind w:left="4420" w:hanging="420"/>
      </w:pPr>
    </w:lvl>
    <w:lvl w:ilvl="7" w:tentative="0">
      <w:start w:val="1"/>
      <w:numFmt w:val="lowerLetter"/>
      <w:lvlText w:val="%8)"/>
      <w:lvlJc w:val="left"/>
      <w:pPr>
        <w:ind w:left="4840" w:hanging="420"/>
      </w:pPr>
    </w:lvl>
    <w:lvl w:ilvl="8" w:tentative="0">
      <w:start w:val="1"/>
      <w:numFmt w:val="lowerRoman"/>
      <w:lvlText w:val="%9."/>
      <w:lvlJc w:val="right"/>
      <w:pPr>
        <w:ind w:left="5260" w:hanging="420"/>
      </w:pPr>
    </w:lvl>
  </w:abstractNum>
  <w:num w:numId="1">
    <w:abstractNumId w:val="16"/>
  </w:num>
  <w:num w:numId="2">
    <w:abstractNumId w:val="9"/>
  </w:num>
  <w:num w:numId="3">
    <w:abstractNumId w:val="1"/>
  </w:num>
  <w:num w:numId="4">
    <w:abstractNumId w:val="10"/>
  </w:num>
  <w:num w:numId="5">
    <w:abstractNumId w:val="11"/>
  </w:num>
  <w:num w:numId="6">
    <w:abstractNumId w:val="12"/>
  </w:num>
  <w:num w:numId="7">
    <w:abstractNumId w:val="0"/>
  </w:num>
  <w:num w:numId="8">
    <w:abstractNumId w:val="14"/>
  </w:num>
  <w:num w:numId="9">
    <w:abstractNumId w:val="19"/>
  </w:num>
  <w:num w:numId="10">
    <w:abstractNumId w:val="6"/>
  </w:num>
  <w:num w:numId="11">
    <w:abstractNumId w:val="8"/>
  </w:num>
  <w:num w:numId="12">
    <w:abstractNumId w:val="13"/>
  </w:num>
  <w:num w:numId="13">
    <w:abstractNumId w:val="5"/>
  </w:num>
  <w:num w:numId="14">
    <w:abstractNumId w:val="18"/>
  </w:num>
  <w:num w:numId="15">
    <w:abstractNumId w:val="2"/>
  </w:num>
  <w:num w:numId="16">
    <w:abstractNumId w:val="3"/>
  </w:num>
  <w:num w:numId="17">
    <w:abstractNumId w:val="20"/>
  </w:num>
  <w:num w:numId="18">
    <w:abstractNumId w:val="7"/>
  </w:num>
  <w:num w:numId="19">
    <w:abstractNumId w:val="4"/>
  </w:num>
  <w:num w:numId="20">
    <w:abstractNumId w:val="17"/>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C231E7"/>
    <w:rsid w:val="00003BDD"/>
    <w:rsid w:val="000210B4"/>
    <w:rsid w:val="000259C2"/>
    <w:rsid w:val="000500B5"/>
    <w:rsid w:val="000513A2"/>
    <w:rsid w:val="00071077"/>
    <w:rsid w:val="00071D64"/>
    <w:rsid w:val="00074E5E"/>
    <w:rsid w:val="00082CD0"/>
    <w:rsid w:val="000A4724"/>
    <w:rsid w:val="000B1497"/>
    <w:rsid w:val="0010795F"/>
    <w:rsid w:val="00110098"/>
    <w:rsid w:val="00117724"/>
    <w:rsid w:val="00122D77"/>
    <w:rsid w:val="001707B1"/>
    <w:rsid w:val="001726F1"/>
    <w:rsid w:val="001A1CC9"/>
    <w:rsid w:val="001C434D"/>
    <w:rsid w:val="001D3944"/>
    <w:rsid w:val="001F22D5"/>
    <w:rsid w:val="00231710"/>
    <w:rsid w:val="00243747"/>
    <w:rsid w:val="00264B6D"/>
    <w:rsid w:val="002A244D"/>
    <w:rsid w:val="002B332D"/>
    <w:rsid w:val="002B39AF"/>
    <w:rsid w:val="002B5697"/>
    <w:rsid w:val="002B6D00"/>
    <w:rsid w:val="002C301F"/>
    <w:rsid w:val="002D7AB8"/>
    <w:rsid w:val="002E500B"/>
    <w:rsid w:val="002E519C"/>
    <w:rsid w:val="002E596C"/>
    <w:rsid w:val="002F6146"/>
    <w:rsid w:val="00333E7D"/>
    <w:rsid w:val="0034588F"/>
    <w:rsid w:val="003548D3"/>
    <w:rsid w:val="003D6374"/>
    <w:rsid w:val="00406CF0"/>
    <w:rsid w:val="00453755"/>
    <w:rsid w:val="004615F6"/>
    <w:rsid w:val="0046684C"/>
    <w:rsid w:val="00475340"/>
    <w:rsid w:val="00484880"/>
    <w:rsid w:val="00495C8B"/>
    <w:rsid w:val="004978EE"/>
    <w:rsid w:val="004A1ACD"/>
    <w:rsid w:val="004D11EE"/>
    <w:rsid w:val="004E1FA6"/>
    <w:rsid w:val="004E47CB"/>
    <w:rsid w:val="004F0D67"/>
    <w:rsid w:val="00534292"/>
    <w:rsid w:val="0055104A"/>
    <w:rsid w:val="005533C0"/>
    <w:rsid w:val="00587D5F"/>
    <w:rsid w:val="005A1114"/>
    <w:rsid w:val="005B110E"/>
    <w:rsid w:val="005D3BEC"/>
    <w:rsid w:val="00610BDF"/>
    <w:rsid w:val="00622E03"/>
    <w:rsid w:val="00631B33"/>
    <w:rsid w:val="00640BF1"/>
    <w:rsid w:val="006472FD"/>
    <w:rsid w:val="006B0486"/>
    <w:rsid w:val="006B3835"/>
    <w:rsid w:val="006E543A"/>
    <w:rsid w:val="006F246A"/>
    <w:rsid w:val="007164A3"/>
    <w:rsid w:val="00724987"/>
    <w:rsid w:val="00745558"/>
    <w:rsid w:val="007745B9"/>
    <w:rsid w:val="007931C5"/>
    <w:rsid w:val="007A17C0"/>
    <w:rsid w:val="007B09D9"/>
    <w:rsid w:val="007B3389"/>
    <w:rsid w:val="007D156E"/>
    <w:rsid w:val="007D28FB"/>
    <w:rsid w:val="007D69D1"/>
    <w:rsid w:val="007F3ADB"/>
    <w:rsid w:val="008047D3"/>
    <w:rsid w:val="0081193B"/>
    <w:rsid w:val="00832C18"/>
    <w:rsid w:val="00843912"/>
    <w:rsid w:val="00861D91"/>
    <w:rsid w:val="00871662"/>
    <w:rsid w:val="008762D9"/>
    <w:rsid w:val="00876555"/>
    <w:rsid w:val="00881E98"/>
    <w:rsid w:val="008A480E"/>
    <w:rsid w:val="008E4823"/>
    <w:rsid w:val="00933FED"/>
    <w:rsid w:val="009443BC"/>
    <w:rsid w:val="009572C3"/>
    <w:rsid w:val="00966F88"/>
    <w:rsid w:val="0099142A"/>
    <w:rsid w:val="0099508B"/>
    <w:rsid w:val="009968CF"/>
    <w:rsid w:val="00997B86"/>
    <w:rsid w:val="009A33BE"/>
    <w:rsid w:val="009A3BAB"/>
    <w:rsid w:val="009B7393"/>
    <w:rsid w:val="009C309E"/>
    <w:rsid w:val="009D13F6"/>
    <w:rsid w:val="009D17DE"/>
    <w:rsid w:val="009D66B5"/>
    <w:rsid w:val="009E6F81"/>
    <w:rsid w:val="009E70D6"/>
    <w:rsid w:val="00A05B26"/>
    <w:rsid w:val="00A433E5"/>
    <w:rsid w:val="00A439AC"/>
    <w:rsid w:val="00A61C57"/>
    <w:rsid w:val="00A94267"/>
    <w:rsid w:val="00AA092F"/>
    <w:rsid w:val="00AA16A9"/>
    <w:rsid w:val="00AB2803"/>
    <w:rsid w:val="00B11E93"/>
    <w:rsid w:val="00B14348"/>
    <w:rsid w:val="00B177EA"/>
    <w:rsid w:val="00B24007"/>
    <w:rsid w:val="00B2594C"/>
    <w:rsid w:val="00B26519"/>
    <w:rsid w:val="00B267C4"/>
    <w:rsid w:val="00B3040A"/>
    <w:rsid w:val="00B82754"/>
    <w:rsid w:val="00BA7EAA"/>
    <w:rsid w:val="00BD5ACC"/>
    <w:rsid w:val="00C02EB2"/>
    <w:rsid w:val="00C17D6F"/>
    <w:rsid w:val="00C231E7"/>
    <w:rsid w:val="00C46473"/>
    <w:rsid w:val="00C46813"/>
    <w:rsid w:val="00C537AC"/>
    <w:rsid w:val="00C53D9F"/>
    <w:rsid w:val="00C62208"/>
    <w:rsid w:val="00C71A0C"/>
    <w:rsid w:val="00C93A23"/>
    <w:rsid w:val="00C9471C"/>
    <w:rsid w:val="00CA3B49"/>
    <w:rsid w:val="00CD187C"/>
    <w:rsid w:val="00CD4A32"/>
    <w:rsid w:val="00CE47B1"/>
    <w:rsid w:val="00CE7686"/>
    <w:rsid w:val="00CF0B30"/>
    <w:rsid w:val="00CF33D7"/>
    <w:rsid w:val="00D12191"/>
    <w:rsid w:val="00D41CA8"/>
    <w:rsid w:val="00D5658E"/>
    <w:rsid w:val="00D572C5"/>
    <w:rsid w:val="00D76466"/>
    <w:rsid w:val="00DA75F4"/>
    <w:rsid w:val="00DC14B1"/>
    <w:rsid w:val="00DE7338"/>
    <w:rsid w:val="00DF26E3"/>
    <w:rsid w:val="00E01A8F"/>
    <w:rsid w:val="00E03805"/>
    <w:rsid w:val="00E0547B"/>
    <w:rsid w:val="00E40B91"/>
    <w:rsid w:val="00E433CA"/>
    <w:rsid w:val="00E45DDB"/>
    <w:rsid w:val="00E55513"/>
    <w:rsid w:val="00E77339"/>
    <w:rsid w:val="00E8294A"/>
    <w:rsid w:val="00E8376A"/>
    <w:rsid w:val="00EA0763"/>
    <w:rsid w:val="00EA180B"/>
    <w:rsid w:val="00ED23EF"/>
    <w:rsid w:val="00ED3E33"/>
    <w:rsid w:val="00ED4CE2"/>
    <w:rsid w:val="00ED4FA0"/>
    <w:rsid w:val="00EF5390"/>
    <w:rsid w:val="00F03222"/>
    <w:rsid w:val="00F129F3"/>
    <w:rsid w:val="00F44BED"/>
    <w:rsid w:val="00F970FA"/>
    <w:rsid w:val="00FA23FD"/>
    <w:rsid w:val="00FC18D8"/>
    <w:rsid w:val="00FE0583"/>
    <w:rsid w:val="00FE2A66"/>
    <w:rsid w:val="14670E0E"/>
    <w:rsid w:val="6A0B1065"/>
    <w:rsid w:val="6E871D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rules v:ext="edit">
        <o:r id="V:Rule1" type="connector" idref="#_x0000_s2055"/>
        <o:r id="V:Rule2" type="connector" idref="#_x0000_s2056"/>
        <o:r id="V:Rule3" type="connector" idref="#_x0000_s2057"/>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outlineLvl w:val="0"/>
    </w:pPr>
    <w:rPr>
      <w:b/>
      <w:bCs/>
      <w:kern w:val="44"/>
      <w:sz w:val="44"/>
      <w:szCs w:val="44"/>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caption"/>
    <w:basedOn w:val="1"/>
    <w:next w:val="1"/>
    <w:unhideWhenUsed/>
    <w:qFormat/>
    <w:uiPriority w:val="35"/>
    <w:rPr>
      <w:rFonts w:eastAsia="黑体" w:asciiTheme="majorHAnsi" w:hAnsiTheme="majorHAnsi" w:cstheme="majorBidi"/>
      <w:sz w:val="20"/>
      <w:szCs w:val="20"/>
    </w:rPr>
  </w:style>
  <w:style w:type="paragraph" w:styleId="4">
    <w:name w:val="Document Map"/>
    <w:basedOn w:val="1"/>
    <w:link w:val="18"/>
    <w:semiHidden/>
    <w:unhideWhenUsed/>
    <w:uiPriority w:val="99"/>
    <w:rPr>
      <w:rFonts w:ascii="宋体" w:eastAsia="宋体"/>
      <w:sz w:val="18"/>
      <w:szCs w:val="18"/>
    </w:rPr>
  </w:style>
  <w:style w:type="paragraph" w:styleId="5">
    <w:name w:val="toc 3"/>
    <w:basedOn w:val="1"/>
    <w:next w:val="1"/>
    <w:semiHidden/>
    <w:unhideWhenUsed/>
    <w:qFormat/>
    <w:uiPriority w:val="39"/>
    <w:pPr>
      <w:widowControl/>
      <w:spacing w:after="100" w:line="276" w:lineRule="auto"/>
      <w:ind w:left="440"/>
      <w:jc w:val="left"/>
    </w:pPr>
    <w:rPr>
      <w:kern w:val="0"/>
      <w:sz w:val="22"/>
    </w:rPr>
  </w:style>
  <w:style w:type="paragraph" w:styleId="6">
    <w:name w:val="Balloon Text"/>
    <w:basedOn w:val="1"/>
    <w:link w:val="17"/>
    <w:semiHidden/>
    <w:unhideWhenUsed/>
    <w:qFormat/>
    <w:uiPriority w:val="99"/>
    <w:rPr>
      <w:sz w:val="18"/>
      <w:szCs w:val="18"/>
    </w:rPr>
  </w:style>
  <w:style w:type="paragraph" w:styleId="7">
    <w:name w:val="footer"/>
    <w:basedOn w:val="1"/>
    <w:link w:val="15"/>
    <w:semiHidden/>
    <w:unhideWhenUsed/>
    <w:qFormat/>
    <w:uiPriority w:val="99"/>
    <w:pPr>
      <w:tabs>
        <w:tab w:val="center" w:pos="4153"/>
        <w:tab w:val="right" w:pos="8306"/>
      </w:tabs>
      <w:snapToGrid w:val="0"/>
      <w:jc w:val="left"/>
    </w:pPr>
    <w:rPr>
      <w:sz w:val="18"/>
      <w:szCs w:val="18"/>
    </w:rPr>
  </w:style>
  <w:style w:type="paragraph" w:styleId="8">
    <w:name w:val="header"/>
    <w:basedOn w:val="1"/>
    <w:link w:val="14"/>
    <w:semiHidden/>
    <w:unhideWhenUsed/>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semiHidden/>
    <w:unhideWhenUsed/>
    <w:qFormat/>
    <w:uiPriority w:val="39"/>
    <w:pPr>
      <w:widowControl/>
      <w:spacing w:after="100" w:line="276" w:lineRule="auto"/>
      <w:jc w:val="left"/>
    </w:pPr>
    <w:rPr>
      <w:kern w:val="0"/>
      <w:sz w:val="22"/>
    </w:rPr>
  </w:style>
  <w:style w:type="paragraph" w:styleId="10">
    <w:name w:val="toc 2"/>
    <w:basedOn w:val="1"/>
    <w:next w:val="1"/>
    <w:semiHidden/>
    <w:unhideWhenUsed/>
    <w:qFormat/>
    <w:uiPriority w:val="39"/>
    <w:pPr>
      <w:widowControl/>
      <w:spacing w:after="100" w:line="276" w:lineRule="auto"/>
      <w:ind w:left="220"/>
      <w:jc w:val="left"/>
    </w:pPr>
    <w:rPr>
      <w:kern w:val="0"/>
      <w:sz w:val="22"/>
    </w:rPr>
  </w:style>
  <w:style w:type="character" w:styleId="13">
    <w:name w:val="Strong"/>
    <w:basedOn w:val="12"/>
    <w:qFormat/>
    <w:uiPriority w:val="22"/>
    <w:rPr>
      <w:b/>
      <w:bCs/>
    </w:rPr>
  </w:style>
  <w:style w:type="character" w:customStyle="1" w:styleId="14">
    <w:name w:val="页眉 Char"/>
    <w:basedOn w:val="12"/>
    <w:link w:val="8"/>
    <w:semiHidden/>
    <w:uiPriority w:val="99"/>
    <w:rPr>
      <w:sz w:val="18"/>
      <w:szCs w:val="18"/>
    </w:rPr>
  </w:style>
  <w:style w:type="character" w:customStyle="1" w:styleId="15">
    <w:name w:val="页脚 Char"/>
    <w:basedOn w:val="12"/>
    <w:link w:val="7"/>
    <w:semiHidden/>
    <w:uiPriority w:val="99"/>
    <w:rPr>
      <w:sz w:val="18"/>
      <w:szCs w:val="18"/>
    </w:rPr>
  </w:style>
  <w:style w:type="paragraph" w:styleId="16">
    <w:name w:val="List Paragraph"/>
    <w:basedOn w:val="1"/>
    <w:link w:val="23"/>
    <w:qFormat/>
    <w:uiPriority w:val="34"/>
    <w:pPr>
      <w:ind w:firstLine="420" w:firstLineChars="200"/>
    </w:pPr>
  </w:style>
  <w:style w:type="character" w:customStyle="1" w:styleId="17">
    <w:name w:val="批注框文本 Char"/>
    <w:basedOn w:val="12"/>
    <w:link w:val="6"/>
    <w:semiHidden/>
    <w:uiPriority w:val="99"/>
    <w:rPr>
      <w:sz w:val="18"/>
      <w:szCs w:val="18"/>
    </w:rPr>
  </w:style>
  <w:style w:type="character" w:customStyle="1" w:styleId="18">
    <w:name w:val="文档结构图 Char"/>
    <w:basedOn w:val="12"/>
    <w:link w:val="4"/>
    <w:semiHidden/>
    <w:uiPriority w:val="99"/>
    <w:rPr>
      <w:rFonts w:ascii="宋体" w:eastAsia="宋体"/>
      <w:sz w:val="18"/>
      <w:szCs w:val="18"/>
    </w:rPr>
  </w:style>
  <w:style w:type="character" w:customStyle="1" w:styleId="19">
    <w:name w:val="标题 1 Char"/>
    <w:basedOn w:val="12"/>
    <w:link w:val="2"/>
    <w:uiPriority w:val="9"/>
    <w:rPr>
      <w:b/>
      <w:bCs/>
      <w:kern w:val="44"/>
      <w:sz w:val="44"/>
      <w:szCs w:val="44"/>
    </w:rPr>
  </w:style>
  <w:style w:type="paragraph" w:customStyle="1" w:styleId="20">
    <w:name w:val="TOC Heading"/>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21">
    <w:name w:val="样式1"/>
    <w:basedOn w:val="16"/>
    <w:link w:val="24"/>
    <w:qFormat/>
    <w:uiPriority w:val="0"/>
    <w:pPr>
      <w:numPr>
        <w:ilvl w:val="0"/>
        <w:numId w:val="1"/>
      </w:numPr>
      <w:spacing w:line="60" w:lineRule="auto"/>
      <w:ind w:firstLineChars="0"/>
    </w:pPr>
    <w:rPr>
      <w:rFonts w:ascii="Adobe 楷体 Std R" w:hAnsi="Adobe 楷体 Std R" w:eastAsia="Adobe 楷体 Std R"/>
      <w:b/>
      <w:sz w:val="28"/>
    </w:rPr>
  </w:style>
  <w:style w:type="paragraph" w:customStyle="1" w:styleId="22">
    <w:name w:val="样式2"/>
    <w:basedOn w:val="16"/>
    <w:link w:val="25"/>
    <w:qFormat/>
    <w:uiPriority w:val="0"/>
    <w:pPr>
      <w:numPr>
        <w:ilvl w:val="0"/>
        <w:numId w:val="2"/>
      </w:numPr>
      <w:spacing w:line="60" w:lineRule="auto"/>
      <w:ind w:firstLineChars="0"/>
      <w:jc w:val="left"/>
    </w:pPr>
    <w:rPr>
      <w:sz w:val="32"/>
    </w:rPr>
  </w:style>
  <w:style w:type="character" w:customStyle="1" w:styleId="23">
    <w:name w:val="列出段落 Char"/>
    <w:basedOn w:val="12"/>
    <w:link w:val="16"/>
    <w:qFormat/>
    <w:uiPriority w:val="34"/>
  </w:style>
  <w:style w:type="character" w:customStyle="1" w:styleId="24">
    <w:name w:val="样式1 Char"/>
    <w:basedOn w:val="23"/>
    <w:link w:val="21"/>
    <w:uiPriority w:val="0"/>
    <w:rPr>
      <w:rFonts w:ascii="Adobe 楷体 Std R" w:hAnsi="Adobe 楷体 Std R" w:eastAsia="Adobe 楷体 Std R"/>
      <w:b/>
      <w:sz w:val="28"/>
    </w:rPr>
  </w:style>
  <w:style w:type="character" w:customStyle="1" w:styleId="25">
    <w:name w:val="样式2 Char"/>
    <w:basedOn w:val="23"/>
    <w:link w:val="22"/>
    <w:uiPriority w:val="0"/>
    <w:rPr>
      <w:sz w:val="32"/>
    </w:rPr>
  </w:style>
  <w:style w:type="character" w:customStyle="1" w:styleId="26">
    <w:name w:val="Book Title"/>
    <w:basedOn w:val="12"/>
    <w:qFormat/>
    <w:uiPriority w:val="33"/>
    <w:rPr>
      <w:b/>
      <w:bCs/>
      <w:smallCaps/>
      <w:spacing w:val="5"/>
    </w:rPr>
  </w:style>
</w:styles>
</file>

<file path=word/_rels/document.xml.rels><?xml version="1.0" encoding="UTF-8" standalone="yes"?>
<Relationships xmlns="http://schemas.openxmlformats.org/package/2006/relationships"><Relationship Id="rId9" Type="http://schemas.openxmlformats.org/officeDocument/2006/relationships/diagramColors" Target="diagrams/colors1.xml"/><Relationship Id="rId8" Type="http://schemas.openxmlformats.org/officeDocument/2006/relationships/diagramQuickStyle" Target="diagrams/quickStyle1.xml"/><Relationship Id="rId7" Type="http://schemas.openxmlformats.org/officeDocument/2006/relationships/diagramLayout" Target="diagrams/layout1.xml"/><Relationship Id="rId6" Type="http://schemas.openxmlformats.org/officeDocument/2006/relationships/diagramData" Target="diagrams/data1.xml"/><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jpeg"/><Relationship Id="rId13" Type="http://schemas.openxmlformats.org/officeDocument/2006/relationships/image" Target="media/image5.jpeg"/><Relationship Id="rId12" Type="http://schemas.openxmlformats.org/officeDocument/2006/relationships/image" Target="media/image4.jpeg"/><Relationship Id="rId11" Type="http://schemas.openxmlformats.org/officeDocument/2006/relationships/image" Target="media/image3.jpeg"/><Relationship Id="rId10" Type="http://schemas.microsoft.com/office/2007/relationships/diagramDrawing" Target="diagrams/drawing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00D77F49-D14C-44AB-AA4A-045EE85E4E21}" type="doc">
      <dgm:prSet loTypeId="urn:microsoft.com/office/officeart/2005/8/layout/cycle8" loCatId="cycle" qsTypeId="urn:microsoft.com/office/officeart/2005/8/quickstyle/simple1" qsCatId="simple" csTypeId="urn:microsoft.com/office/officeart/2005/8/colors/accent1_2" csCatId="accent1" phldr="1"/>
      <dgm:spPr/>
    </dgm:pt>
    <dgm:pt modelId="{55EE5446-FC8E-4D7E-B2F9-8E2371ADF2CB}">
      <dgm:prSet phldrT="[文本]"/>
      <dgm:spPr/>
      <dgm:t>
        <a:bodyPr/>
        <a:p>
          <a:r>
            <a:rPr lang="en-US" altLang="zh-CN"/>
            <a:t>IT</a:t>
          </a:r>
          <a:r>
            <a:rPr lang="zh-CN" altLang="en-US"/>
            <a:t>资产入库</a:t>
          </a:r>
        </a:p>
      </dgm:t>
    </dgm:pt>
    <dgm:pt modelId="{D23CB8AE-6A96-48F3-9A18-CDF35AF1C12E}" cxnId="{2B6CEA55-55AA-401B-8088-41866C74C445}" type="parTrans">
      <dgm:prSet/>
      <dgm:spPr/>
      <dgm:t>
        <a:bodyPr/>
        <a:p>
          <a:endParaRPr lang="zh-CN" altLang="en-US"/>
        </a:p>
      </dgm:t>
    </dgm:pt>
    <dgm:pt modelId="{FA63D93F-3C3D-4D83-B9C7-9A3E5F22E717}" cxnId="{2B6CEA55-55AA-401B-8088-41866C74C445}" type="sibTrans">
      <dgm:prSet/>
      <dgm:spPr/>
      <dgm:t>
        <a:bodyPr/>
        <a:p>
          <a:endParaRPr lang="zh-CN" altLang="en-US"/>
        </a:p>
      </dgm:t>
    </dgm:pt>
    <dgm:pt modelId="{08AFA9B1-A8BE-4D79-A064-E5DAC9D0A760}">
      <dgm:prSet phldrT="[文本]"/>
      <dgm:spPr/>
      <dgm:t>
        <a:bodyPr/>
        <a:p>
          <a:r>
            <a:rPr lang="en-US" altLang="zh-CN"/>
            <a:t>IT</a:t>
          </a:r>
          <a:r>
            <a:rPr lang="zh-CN" altLang="en-US"/>
            <a:t>资产调拨</a:t>
          </a:r>
        </a:p>
      </dgm:t>
    </dgm:pt>
    <dgm:pt modelId="{A21ECA02-DBA7-4DC1-978D-A90B8AC3E9B7}" cxnId="{3090B332-326E-4344-9048-7E5BBCD36243}" type="parTrans">
      <dgm:prSet/>
      <dgm:spPr/>
      <dgm:t>
        <a:bodyPr/>
        <a:p>
          <a:endParaRPr lang="zh-CN" altLang="en-US"/>
        </a:p>
      </dgm:t>
    </dgm:pt>
    <dgm:pt modelId="{273141B8-DE94-49C4-AE5E-03D37E59D645}" cxnId="{3090B332-326E-4344-9048-7E5BBCD36243}" type="sibTrans">
      <dgm:prSet/>
      <dgm:spPr/>
      <dgm:t>
        <a:bodyPr/>
        <a:p>
          <a:endParaRPr lang="zh-CN" altLang="en-US"/>
        </a:p>
      </dgm:t>
    </dgm:pt>
    <dgm:pt modelId="{9B4DB374-01A7-41B5-868C-00632D83F4D4}">
      <dgm:prSet phldrT="[文本]"/>
      <dgm:spPr/>
      <dgm:t>
        <a:bodyPr/>
        <a:p>
          <a:r>
            <a:rPr lang="en-US" altLang="zh-CN"/>
            <a:t>IT</a:t>
          </a:r>
          <a:r>
            <a:rPr lang="zh-CN" altLang="en-US"/>
            <a:t>资产领用</a:t>
          </a:r>
        </a:p>
      </dgm:t>
    </dgm:pt>
    <dgm:pt modelId="{DCB7D901-96B9-4F21-B8C0-7859CAF8F281}" cxnId="{CC27490C-3514-4B8A-858F-955B4FE95A48}" type="parTrans">
      <dgm:prSet/>
      <dgm:spPr/>
      <dgm:t>
        <a:bodyPr/>
        <a:p>
          <a:endParaRPr lang="zh-CN" altLang="en-US"/>
        </a:p>
      </dgm:t>
    </dgm:pt>
    <dgm:pt modelId="{7DAE8253-B45B-4C69-9B42-65403D5212F6}" cxnId="{CC27490C-3514-4B8A-858F-955B4FE95A48}" type="sibTrans">
      <dgm:prSet/>
      <dgm:spPr/>
      <dgm:t>
        <a:bodyPr/>
        <a:p>
          <a:endParaRPr lang="zh-CN" altLang="en-US"/>
        </a:p>
      </dgm:t>
    </dgm:pt>
    <dgm:pt modelId="{9C21E93E-0B6B-4E58-A448-D9C323C8F7DE}">
      <dgm:prSet phldrT="[文本]"/>
      <dgm:spPr/>
      <dgm:t>
        <a:bodyPr/>
        <a:p>
          <a:r>
            <a:rPr lang="en-US" altLang="zh-CN"/>
            <a:t>IT</a:t>
          </a:r>
          <a:r>
            <a:rPr lang="zh-CN" altLang="en-US"/>
            <a:t>资产维护</a:t>
          </a:r>
        </a:p>
      </dgm:t>
    </dgm:pt>
    <dgm:pt modelId="{C0FED3ED-3689-439F-AEBA-C7B73424552D}" cxnId="{68279F03-2435-459E-BBF8-76B5AE2B59B8}" type="parTrans">
      <dgm:prSet/>
      <dgm:spPr/>
      <dgm:t>
        <a:bodyPr/>
        <a:p>
          <a:endParaRPr lang="zh-CN" altLang="en-US"/>
        </a:p>
      </dgm:t>
    </dgm:pt>
    <dgm:pt modelId="{7C068C7F-5AC4-4D82-8261-6DFA722259D0}" cxnId="{68279F03-2435-459E-BBF8-76B5AE2B59B8}" type="sibTrans">
      <dgm:prSet/>
      <dgm:spPr/>
      <dgm:t>
        <a:bodyPr/>
        <a:p>
          <a:endParaRPr lang="zh-CN" altLang="en-US"/>
        </a:p>
      </dgm:t>
    </dgm:pt>
    <dgm:pt modelId="{2B40EF01-663A-49F8-8E61-0C2DF642EDE5}">
      <dgm:prSet phldrT="[文本]"/>
      <dgm:spPr/>
      <dgm:t>
        <a:bodyPr/>
        <a:p>
          <a:r>
            <a:rPr lang="en-US" altLang="zh-CN"/>
            <a:t>IT</a:t>
          </a:r>
          <a:r>
            <a:rPr lang="zh-CN" altLang="en-US"/>
            <a:t>资产折旧</a:t>
          </a:r>
        </a:p>
      </dgm:t>
    </dgm:pt>
    <dgm:pt modelId="{E8A7D896-D302-4A7F-828C-51B4A03796A0}" cxnId="{630D565E-6210-4006-9EE5-EF1FD1F611CD}" type="parTrans">
      <dgm:prSet/>
      <dgm:spPr/>
      <dgm:t>
        <a:bodyPr/>
        <a:p>
          <a:endParaRPr lang="zh-CN" altLang="en-US"/>
        </a:p>
      </dgm:t>
    </dgm:pt>
    <dgm:pt modelId="{C2990386-6604-4CDD-B7B4-9CBE590B5C57}" cxnId="{630D565E-6210-4006-9EE5-EF1FD1F611CD}" type="sibTrans">
      <dgm:prSet/>
      <dgm:spPr/>
      <dgm:t>
        <a:bodyPr/>
        <a:p>
          <a:endParaRPr lang="zh-CN" altLang="en-US"/>
        </a:p>
      </dgm:t>
    </dgm:pt>
    <dgm:pt modelId="{E15D5A8B-4738-4B75-89C4-DECDE0412B3B}">
      <dgm:prSet phldrT="[文本]"/>
      <dgm:spPr/>
      <dgm:t>
        <a:bodyPr/>
        <a:p>
          <a:r>
            <a:rPr lang="en-US" altLang="zh-CN"/>
            <a:t>IT</a:t>
          </a:r>
          <a:r>
            <a:rPr lang="zh-CN" altLang="en-US"/>
            <a:t>资产采购</a:t>
          </a:r>
        </a:p>
      </dgm:t>
    </dgm:pt>
    <dgm:pt modelId="{0423EAEB-D2EA-45F0-8EB9-B6C14A536F05}" cxnId="{33DA5E6C-D6B4-42E2-885F-0117DA311CEC}" type="parTrans">
      <dgm:prSet/>
      <dgm:spPr/>
      <dgm:t>
        <a:bodyPr/>
        <a:p>
          <a:endParaRPr lang="zh-CN" altLang="en-US"/>
        </a:p>
      </dgm:t>
    </dgm:pt>
    <dgm:pt modelId="{6ABFEA48-1D25-4ACC-9A61-63B4CEDE7503}" cxnId="{33DA5E6C-D6B4-42E2-885F-0117DA311CEC}" type="sibTrans">
      <dgm:prSet/>
      <dgm:spPr/>
      <dgm:t>
        <a:bodyPr/>
        <a:p>
          <a:endParaRPr lang="zh-CN" altLang="en-US"/>
        </a:p>
      </dgm:t>
    </dgm:pt>
    <dgm:pt modelId="{AA3363F2-1B39-4F1A-B92E-D0C95E2EB29E}">
      <dgm:prSet phldrT="[文本]"/>
      <dgm:spPr/>
      <dgm:t>
        <a:bodyPr/>
        <a:p>
          <a:r>
            <a:rPr lang="en-US" altLang="zh-CN"/>
            <a:t>IT</a:t>
          </a:r>
          <a:r>
            <a:rPr lang="zh-CN" altLang="en-US"/>
            <a:t>资产报废</a:t>
          </a:r>
        </a:p>
      </dgm:t>
    </dgm:pt>
    <dgm:pt modelId="{159B3E92-5200-4212-92BA-7086F5508DB2}" cxnId="{7E55CD3C-84DF-4AE9-80CD-3B75DD0995AE}" type="parTrans">
      <dgm:prSet/>
      <dgm:spPr/>
      <dgm:t>
        <a:bodyPr/>
        <a:p>
          <a:endParaRPr lang="zh-CN" altLang="en-US"/>
        </a:p>
      </dgm:t>
    </dgm:pt>
    <dgm:pt modelId="{22786A8F-27DB-4964-98A1-F41F23881960}" cxnId="{7E55CD3C-84DF-4AE9-80CD-3B75DD0995AE}" type="sibTrans">
      <dgm:prSet/>
      <dgm:spPr/>
      <dgm:t>
        <a:bodyPr/>
        <a:p>
          <a:endParaRPr lang="zh-CN" altLang="en-US"/>
        </a:p>
      </dgm:t>
    </dgm:pt>
    <dgm:pt modelId="{FB96A6CA-BE77-4DE2-8698-AE0D9C1AE64D}" type="pres">
      <dgm:prSet presAssocID="{00D77F49-D14C-44AB-AA4A-045EE85E4E21}" presName="compositeShape" presStyleCnt="0">
        <dgm:presLayoutVars>
          <dgm:chMax val="7"/>
          <dgm:dir/>
          <dgm:resizeHandles val="exact"/>
        </dgm:presLayoutVars>
      </dgm:prSet>
      <dgm:spPr/>
    </dgm:pt>
    <dgm:pt modelId="{C1B85F15-6D96-476D-A043-72935F469A98}" type="pres">
      <dgm:prSet presAssocID="{00D77F49-D14C-44AB-AA4A-045EE85E4E21}" presName="wedge1" presStyleLbl="node1" presStyleIdx="0" presStyleCnt="7"/>
      <dgm:spPr/>
      <dgm:t>
        <a:bodyPr/>
        <a:p>
          <a:endParaRPr lang="zh-CN" altLang="en-US"/>
        </a:p>
      </dgm:t>
    </dgm:pt>
    <dgm:pt modelId="{838F170E-3ACD-4156-A0B5-3CB84237D3E9}" type="pres">
      <dgm:prSet presAssocID="{00D77F49-D14C-44AB-AA4A-045EE85E4E21}" presName="dummy1a" presStyleCnt="0"/>
      <dgm:spPr/>
    </dgm:pt>
    <dgm:pt modelId="{CD912EFD-5400-4456-A0ED-6430704D5563}" type="pres">
      <dgm:prSet presAssocID="{00D77F49-D14C-44AB-AA4A-045EE85E4E21}" presName="dummy1b" presStyleCnt="0"/>
      <dgm:spPr/>
    </dgm:pt>
    <dgm:pt modelId="{C234AE56-771D-4D95-A761-D6DF361BEB6E}" type="pres">
      <dgm:prSet presAssocID="{00D77F49-D14C-44AB-AA4A-045EE85E4E21}" presName="wedge1Tx" presStyleLbl="node1" presStyleIdx="0" presStyleCnt="7">
        <dgm:presLayoutVars>
          <dgm:chMax val="0"/>
          <dgm:chPref val="0"/>
          <dgm:bulletEnabled val="1"/>
        </dgm:presLayoutVars>
      </dgm:prSet>
      <dgm:spPr/>
      <dgm:t>
        <a:bodyPr/>
        <a:p>
          <a:endParaRPr lang="zh-CN" altLang="en-US"/>
        </a:p>
      </dgm:t>
    </dgm:pt>
    <dgm:pt modelId="{A459499C-DB3A-44FD-AC13-7A1C52680C41}" type="pres">
      <dgm:prSet presAssocID="{00D77F49-D14C-44AB-AA4A-045EE85E4E21}" presName="wedge2" presStyleLbl="node1" presStyleIdx="1" presStyleCnt="7"/>
      <dgm:spPr/>
      <dgm:t>
        <a:bodyPr/>
        <a:p>
          <a:endParaRPr lang="zh-CN" altLang="en-US"/>
        </a:p>
      </dgm:t>
    </dgm:pt>
    <dgm:pt modelId="{C7C2F581-CB8E-4E45-BD9E-02F803277BAD}" type="pres">
      <dgm:prSet presAssocID="{00D77F49-D14C-44AB-AA4A-045EE85E4E21}" presName="dummy2a" presStyleCnt="0"/>
      <dgm:spPr/>
    </dgm:pt>
    <dgm:pt modelId="{15AC1672-3546-463F-84CC-C3574CC1BEC3}" type="pres">
      <dgm:prSet presAssocID="{00D77F49-D14C-44AB-AA4A-045EE85E4E21}" presName="dummy2b" presStyleCnt="0"/>
      <dgm:spPr/>
    </dgm:pt>
    <dgm:pt modelId="{E5A6CBD9-859A-4B1A-A50B-44E2018B594C}" type="pres">
      <dgm:prSet presAssocID="{00D77F49-D14C-44AB-AA4A-045EE85E4E21}" presName="wedge2Tx" presStyleLbl="node1" presStyleIdx="1" presStyleCnt="7">
        <dgm:presLayoutVars>
          <dgm:chMax val="0"/>
          <dgm:chPref val="0"/>
          <dgm:bulletEnabled val="1"/>
        </dgm:presLayoutVars>
      </dgm:prSet>
      <dgm:spPr/>
      <dgm:t>
        <a:bodyPr/>
        <a:p>
          <a:endParaRPr lang="zh-CN" altLang="en-US"/>
        </a:p>
      </dgm:t>
    </dgm:pt>
    <dgm:pt modelId="{1FEDA0D7-8A70-4934-A481-79011882DEE4}" type="pres">
      <dgm:prSet presAssocID="{00D77F49-D14C-44AB-AA4A-045EE85E4E21}" presName="wedge3" presStyleLbl="node1" presStyleIdx="2" presStyleCnt="7"/>
      <dgm:spPr/>
      <dgm:t>
        <a:bodyPr/>
        <a:p>
          <a:endParaRPr lang="zh-CN" altLang="en-US"/>
        </a:p>
      </dgm:t>
    </dgm:pt>
    <dgm:pt modelId="{E693AE7F-E8F3-4BB8-B749-91EAFCEA9C52}" type="pres">
      <dgm:prSet presAssocID="{00D77F49-D14C-44AB-AA4A-045EE85E4E21}" presName="dummy3a" presStyleCnt="0"/>
      <dgm:spPr/>
    </dgm:pt>
    <dgm:pt modelId="{9F48E8E2-B362-4091-BD8C-010E1768170B}" type="pres">
      <dgm:prSet presAssocID="{00D77F49-D14C-44AB-AA4A-045EE85E4E21}" presName="dummy3b" presStyleCnt="0"/>
      <dgm:spPr/>
    </dgm:pt>
    <dgm:pt modelId="{2EEFF239-93A1-4D8C-BBCA-422BBD3AE489}" type="pres">
      <dgm:prSet presAssocID="{00D77F49-D14C-44AB-AA4A-045EE85E4E21}" presName="wedge3Tx" presStyleLbl="node1" presStyleIdx="2" presStyleCnt="7">
        <dgm:presLayoutVars>
          <dgm:chMax val="0"/>
          <dgm:chPref val="0"/>
          <dgm:bulletEnabled val="1"/>
        </dgm:presLayoutVars>
      </dgm:prSet>
      <dgm:spPr/>
      <dgm:t>
        <a:bodyPr/>
        <a:p>
          <a:endParaRPr lang="zh-CN" altLang="en-US"/>
        </a:p>
      </dgm:t>
    </dgm:pt>
    <dgm:pt modelId="{5A6DCA70-9060-4537-A18A-E7E7ECD331CE}" type="pres">
      <dgm:prSet presAssocID="{00D77F49-D14C-44AB-AA4A-045EE85E4E21}" presName="wedge4" presStyleLbl="node1" presStyleIdx="3" presStyleCnt="7"/>
      <dgm:spPr/>
      <dgm:t>
        <a:bodyPr/>
        <a:p>
          <a:endParaRPr lang="zh-CN" altLang="en-US"/>
        </a:p>
      </dgm:t>
    </dgm:pt>
    <dgm:pt modelId="{EF9B0088-F05D-49C6-A3AF-9BC6A1831390}" type="pres">
      <dgm:prSet presAssocID="{00D77F49-D14C-44AB-AA4A-045EE85E4E21}" presName="dummy4a" presStyleCnt="0"/>
      <dgm:spPr/>
    </dgm:pt>
    <dgm:pt modelId="{E67D0113-2F31-4181-9EA0-71F8EEA843F1}" type="pres">
      <dgm:prSet presAssocID="{00D77F49-D14C-44AB-AA4A-045EE85E4E21}" presName="dummy4b" presStyleCnt="0"/>
      <dgm:spPr/>
    </dgm:pt>
    <dgm:pt modelId="{C59206C7-B270-4987-BDF9-326185684ABE}" type="pres">
      <dgm:prSet presAssocID="{00D77F49-D14C-44AB-AA4A-045EE85E4E21}" presName="wedge4Tx" presStyleLbl="node1" presStyleIdx="3" presStyleCnt="7">
        <dgm:presLayoutVars>
          <dgm:chMax val="0"/>
          <dgm:chPref val="0"/>
          <dgm:bulletEnabled val="1"/>
        </dgm:presLayoutVars>
      </dgm:prSet>
      <dgm:spPr/>
      <dgm:t>
        <a:bodyPr/>
        <a:p>
          <a:endParaRPr lang="zh-CN" altLang="en-US"/>
        </a:p>
      </dgm:t>
    </dgm:pt>
    <dgm:pt modelId="{C6ECF57B-8897-4899-837C-3930C616D5EA}" type="pres">
      <dgm:prSet presAssocID="{00D77F49-D14C-44AB-AA4A-045EE85E4E21}" presName="wedge5" presStyleLbl="node1" presStyleIdx="4" presStyleCnt="7"/>
      <dgm:spPr/>
      <dgm:t>
        <a:bodyPr/>
        <a:p>
          <a:endParaRPr lang="zh-CN" altLang="en-US"/>
        </a:p>
      </dgm:t>
    </dgm:pt>
    <dgm:pt modelId="{0FFB0787-814B-4B2B-A1FF-04CF1CE14772}" type="pres">
      <dgm:prSet presAssocID="{00D77F49-D14C-44AB-AA4A-045EE85E4E21}" presName="dummy5a" presStyleCnt="0"/>
      <dgm:spPr/>
    </dgm:pt>
    <dgm:pt modelId="{FECA8B12-7291-4836-ABBE-2FFD277B25DE}" type="pres">
      <dgm:prSet presAssocID="{00D77F49-D14C-44AB-AA4A-045EE85E4E21}" presName="dummy5b" presStyleCnt="0"/>
      <dgm:spPr/>
    </dgm:pt>
    <dgm:pt modelId="{598C5F28-22DF-4561-8D8E-B888645B2BF3}" type="pres">
      <dgm:prSet presAssocID="{00D77F49-D14C-44AB-AA4A-045EE85E4E21}" presName="wedge5Tx" presStyleLbl="node1" presStyleIdx="4" presStyleCnt="7">
        <dgm:presLayoutVars>
          <dgm:chMax val="0"/>
          <dgm:chPref val="0"/>
          <dgm:bulletEnabled val="1"/>
        </dgm:presLayoutVars>
      </dgm:prSet>
      <dgm:spPr/>
      <dgm:t>
        <a:bodyPr/>
        <a:p>
          <a:endParaRPr lang="zh-CN" altLang="en-US"/>
        </a:p>
      </dgm:t>
    </dgm:pt>
    <dgm:pt modelId="{EBB4A770-C52A-4F3B-8155-83D332F6F3AF}" type="pres">
      <dgm:prSet presAssocID="{00D77F49-D14C-44AB-AA4A-045EE85E4E21}" presName="wedge6" presStyleLbl="node1" presStyleIdx="5" presStyleCnt="7"/>
      <dgm:spPr/>
      <dgm:t>
        <a:bodyPr/>
        <a:p>
          <a:endParaRPr lang="zh-CN" altLang="en-US"/>
        </a:p>
      </dgm:t>
    </dgm:pt>
    <dgm:pt modelId="{D1B025B4-48FA-41EA-BB9E-5E93ED9E4657}" type="pres">
      <dgm:prSet presAssocID="{00D77F49-D14C-44AB-AA4A-045EE85E4E21}" presName="dummy6a" presStyleCnt="0"/>
      <dgm:spPr/>
    </dgm:pt>
    <dgm:pt modelId="{532246BD-D686-4BE3-9725-4D376771339C}" type="pres">
      <dgm:prSet presAssocID="{00D77F49-D14C-44AB-AA4A-045EE85E4E21}" presName="dummy6b" presStyleCnt="0"/>
      <dgm:spPr/>
    </dgm:pt>
    <dgm:pt modelId="{DB8C7882-ACEF-4A98-8997-5C7F86C4FA94}" type="pres">
      <dgm:prSet presAssocID="{00D77F49-D14C-44AB-AA4A-045EE85E4E21}" presName="wedge6Tx" presStyleLbl="node1" presStyleIdx="5" presStyleCnt="7">
        <dgm:presLayoutVars>
          <dgm:chMax val="0"/>
          <dgm:chPref val="0"/>
          <dgm:bulletEnabled val="1"/>
        </dgm:presLayoutVars>
      </dgm:prSet>
      <dgm:spPr/>
      <dgm:t>
        <a:bodyPr/>
        <a:p>
          <a:endParaRPr lang="zh-CN" altLang="en-US"/>
        </a:p>
      </dgm:t>
    </dgm:pt>
    <dgm:pt modelId="{1A324310-9767-404D-ADB5-D471A60B8ECB}" type="pres">
      <dgm:prSet presAssocID="{00D77F49-D14C-44AB-AA4A-045EE85E4E21}" presName="wedge7" presStyleLbl="node1" presStyleIdx="6" presStyleCnt="7"/>
      <dgm:spPr/>
      <dgm:t>
        <a:bodyPr/>
        <a:p>
          <a:endParaRPr lang="zh-CN" altLang="en-US"/>
        </a:p>
      </dgm:t>
    </dgm:pt>
    <dgm:pt modelId="{89B2F2F1-9EA5-45BE-BF14-951B8519FBF0}" type="pres">
      <dgm:prSet presAssocID="{00D77F49-D14C-44AB-AA4A-045EE85E4E21}" presName="dummy7a" presStyleCnt="0"/>
      <dgm:spPr/>
    </dgm:pt>
    <dgm:pt modelId="{FF11E24A-4E33-4E5C-931A-50E3276116DB}" type="pres">
      <dgm:prSet presAssocID="{00D77F49-D14C-44AB-AA4A-045EE85E4E21}" presName="dummy7b" presStyleCnt="0"/>
      <dgm:spPr/>
    </dgm:pt>
    <dgm:pt modelId="{556D4191-3901-4DC2-B499-3DBBA329B990}" type="pres">
      <dgm:prSet presAssocID="{00D77F49-D14C-44AB-AA4A-045EE85E4E21}" presName="wedge7Tx" presStyleLbl="node1" presStyleIdx="6" presStyleCnt="7">
        <dgm:presLayoutVars>
          <dgm:chMax val="0"/>
          <dgm:chPref val="0"/>
          <dgm:bulletEnabled val="1"/>
        </dgm:presLayoutVars>
      </dgm:prSet>
      <dgm:spPr/>
      <dgm:t>
        <a:bodyPr/>
        <a:p>
          <a:endParaRPr lang="zh-CN" altLang="en-US"/>
        </a:p>
      </dgm:t>
    </dgm:pt>
    <dgm:pt modelId="{2B1317D7-CDDC-4CA4-BD13-1106D725910E}" type="pres">
      <dgm:prSet presAssocID="{FA63D93F-3C3D-4D83-B9C7-9A3E5F22E717}" presName="arrowWedge1" presStyleLbl="fgSibTrans2D1" presStyleIdx="0" presStyleCnt="7"/>
      <dgm:spPr/>
    </dgm:pt>
    <dgm:pt modelId="{E99ABA6B-6AE5-4862-92BE-2C7E3617E55B}" type="pres">
      <dgm:prSet presAssocID="{273141B8-DE94-49C4-AE5E-03D37E59D645}" presName="arrowWedge2" presStyleLbl="fgSibTrans2D1" presStyleIdx="1" presStyleCnt="7"/>
      <dgm:spPr/>
    </dgm:pt>
    <dgm:pt modelId="{BC251873-480E-4D60-BED3-44BA4A224020}" type="pres">
      <dgm:prSet presAssocID="{7DAE8253-B45B-4C69-9B42-65403D5212F6}" presName="arrowWedge3" presStyleLbl="fgSibTrans2D1" presStyleIdx="2" presStyleCnt="7"/>
      <dgm:spPr/>
    </dgm:pt>
    <dgm:pt modelId="{335AAAF9-3C60-439E-B190-54C75175F892}" type="pres">
      <dgm:prSet presAssocID="{7C068C7F-5AC4-4D82-8261-6DFA722259D0}" presName="arrowWedge4" presStyleLbl="fgSibTrans2D1" presStyleIdx="3" presStyleCnt="7"/>
      <dgm:spPr/>
    </dgm:pt>
    <dgm:pt modelId="{ACAFDDBD-8CCA-45A2-900A-389E0D8C34E7}" type="pres">
      <dgm:prSet presAssocID="{C2990386-6604-4CDD-B7B4-9CBE590B5C57}" presName="arrowWedge5" presStyleLbl="fgSibTrans2D1" presStyleIdx="4" presStyleCnt="7"/>
      <dgm:spPr/>
    </dgm:pt>
    <dgm:pt modelId="{1818A8DD-9DC2-42BF-8913-2C9F66B4932B}" type="pres">
      <dgm:prSet presAssocID="{22786A8F-27DB-4964-98A1-F41F23881960}" presName="arrowWedge6" presStyleLbl="fgSibTrans2D1" presStyleIdx="5" presStyleCnt="7"/>
      <dgm:spPr/>
    </dgm:pt>
    <dgm:pt modelId="{973DAEE2-B926-493E-AA28-34A417AAFDBC}" type="pres">
      <dgm:prSet presAssocID="{6ABFEA48-1D25-4ACC-9A61-63B4CEDE7503}" presName="arrowWedge7" presStyleLbl="fgSibTrans2D1" presStyleIdx="6" presStyleCnt="7"/>
      <dgm:spPr/>
    </dgm:pt>
  </dgm:ptLst>
  <dgm:cxnLst>
    <dgm:cxn modelId="{68279F03-2435-459E-BBF8-76B5AE2B59B8}" srcId="{00D77F49-D14C-44AB-AA4A-045EE85E4E21}" destId="{9C21E93E-0B6B-4E58-A448-D9C323C8F7DE}" srcOrd="3" destOrd="0" parTransId="{C0FED3ED-3689-439F-AEBA-C7B73424552D}" sibTransId="{7C068C7F-5AC4-4D82-8261-6DFA722259D0}"/>
    <dgm:cxn modelId="{C581220A-2935-485B-992F-CBE0444D99EB}" type="presOf" srcId="{08AFA9B1-A8BE-4D79-A064-E5DAC9D0A760}" destId="{A459499C-DB3A-44FD-AC13-7A1C52680C41}" srcOrd="0" destOrd="0" presId="urn:microsoft.com/office/officeart/2005/8/layout/cycle8"/>
    <dgm:cxn modelId="{C383F8FB-80FE-470E-A890-D7C69FFF9549}" type="presOf" srcId="{55EE5446-FC8E-4D7E-B2F9-8E2371ADF2CB}" destId="{C1B85F15-6D96-476D-A043-72935F469A98}" srcOrd="0" destOrd="0" presId="urn:microsoft.com/office/officeart/2005/8/layout/cycle8"/>
    <dgm:cxn modelId="{68B71019-B2E2-4D4A-9271-A6950735E898}" type="presOf" srcId="{08AFA9B1-A8BE-4D79-A064-E5DAC9D0A760}" destId="{E5A6CBD9-859A-4B1A-A50B-44E2018B594C}" srcOrd="1" destOrd="0" presId="urn:microsoft.com/office/officeart/2005/8/layout/cycle8"/>
    <dgm:cxn modelId="{257648AC-BC2F-4DAF-834E-0EB0E1E250D0}" type="presOf" srcId="{2B40EF01-663A-49F8-8E61-0C2DF642EDE5}" destId="{598C5F28-22DF-4561-8D8E-B888645B2BF3}" srcOrd="1" destOrd="0" presId="urn:microsoft.com/office/officeart/2005/8/layout/cycle8"/>
    <dgm:cxn modelId="{3090B332-326E-4344-9048-7E5BBCD36243}" srcId="{00D77F49-D14C-44AB-AA4A-045EE85E4E21}" destId="{08AFA9B1-A8BE-4D79-A064-E5DAC9D0A760}" srcOrd="1" destOrd="0" parTransId="{A21ECA02-DBA7-4DC1-978D-A90B8AC3E9B7}" sibTransId="{273141B8-DE94-49C4-AE5E-03D37E59D645}"/>
    <dgm:cxn modelId="{36B31BD3-FF2A-4E75-BF96-16CCC3348B21}" type="presOf" srcId="{2B40EF01-663A-49F8-8E61-0C2DF642EDE5}" destId="{C6ECF57B-8897-4899-837C-3930C616D5EA}" srcOrd="0" destOrd="0" presId="urn:microsoft.com/office/officeart/2005/8/layout/cycle8"/>
    <dgm:cxn modelId="{32F5D12F-4EFB-4930-9A94-7515B5DA56FA}" type="presOf" srcId="{E15D5A8B-4738-4B75-89C4-DECDE0412B3B}" destId="{1A324310-9767-404D-ADB5-D471A60B8ECB}" srcOrd="0" destOrd="0" presId="urn:microsoft.com/office/officeart/2005/8/layout/cycle8"/>
    <dgm:cxn modelId="{CC27490C-3514-4B8A-858F-955B4FE95A48}" srcId="{00D77F49-D14C-44AB-AA4A-045EE85E4E21}" destId="{9B4DB374-01A7-41B5-868C-00632D83F4D4}" srcOrd="2" destOrd="0" parTransId="{DCB7D901-96B9-4F21-B8C0-7859CAF8F281}" sibTransId="{7DAE8253-B45B-4C69-9B42-65403D5212F6}"/>
    <dgm:cxn modelId="{B5B7CD6F-A94F-4EA3-8AE1-2AD9529E020F}" type="presOf" srcId="{00D77F49-D14C-44AB-AA4A-045EE85E4E21}" destId="{FB96A6CA-BE77-4DE2-8698-AE0D9C1AE64D}" srcOrd="0" destOrd="0" presId="urn:microsoft.com/office/officeart/2005/8/layout/cycle8"/>
    <dgm:cxn modelId="{2B6CEA55-55AA-401B-8088-41866C74C445}" srcId="{00D77F49-D14C-44AB-AA4A-045EE85E4E21}" destId="{55EE5446-FC8E-4D7E-B2F9-8E2371ADF2CB}" srcOrd="0" destOrd="0" parTransId="{D23CB8AE-6A96-48F3-9A18-CDF35AF1C12E}" sibTransId="{FA63D93F-3C3D-4D83-B9C7-9A3E5F22E717}"/>
    <dgm:cxn modelId="{D60A8826-FF41-4729-AD35-D27CC8B94DCA}" type="presOf" srcId="{9C21E93E-0B6B-4E58-A448-D9C323C8F7DE}" destId="{5A6DCA70-9060-4537-A18A-E7E7ECD331CE}" srcOrd="0" destOrd="0" presId="urn:microsoft.com/office/officeart/2005/8/layout/cycle8"/>
    <dgm:cxn modelId="{7E55CD3C-84DF-4AE9-80CD-3B75DD0995AE}" srcId="{00D77F49-D14C-44AB-AA4A-045EE85E4E21}" destId="{AA3363F2-1B39-4F1A-B92E-D0C95E2EB29E}" srcOrd="5" destOrd="0" parTransId="{159B3E92-5200-4212-92BA-7086F5508DB2}" sibTransId="{22786A8F-27DB-4964-98A1-F41F23881960}"/>
    <dgm:cxn modelId="{57BDF349-2592-4048-9DAE-044023D9DBAF}" type="presOf" srcId="{9B4DB374-01A7-41B5-868C-00632D83F4D4}" destId="{2EEFF239-93A1-4D8C-BBCA-422BBD3AE489}" srcOrd="1" destOrd="0" presId="urn:microsoft.com/office/officeart/2005/8/layout/cycle8"/>
    <dgm:cxn modelId="{B3EE2A24-9B26-4F1F-A38E-75B8CA163114}" type="presOf" srcId="{9C21E93E-0B6B-4E58-A448-D9C323C8F7DE}" destId="{C59206C7-B270-4987-BDF9-326185684ABE}" srcOrd="1" destOrd="0" presId="urn:microsoft.com/office/officeart/2005/8/layout/cycle8"/>
    <dgm:cxn modelId="{642F25F2-26F4-40A8-8EAC-CCA101D4D69E}" type="presOf" srcId="{9B4DB374-01A7-41B5-868C-00632D83F4D4}" destId="{1FEDA0D7-8A70-4934-A481-79011882DEE4}" srcOrd="0" destOrd="0" presId="urn:microsoft.com/office/officeart/2005/8/layout/cycle8"/>
    <dgm:cxn modelId="{8AFE3CC7-5687-4F1B-92A6-66747CA8ED26}" type="presOf" srcId="{AA3363F2-1B39-4F1A-B92E-D0C95E2EB29E}" destId="{DB8C7882-ACEF-4A98-8997-5C7F86C4FA94}" srcOrd="1" destOrd="0" presId="urn:microsoft.com/office/officeart/2005/8/layout/cycle8"/>
    <dgm:cxn modelId="{630D565E-6210-4006-9EE5-EF1FD1F611CD}" srcId="{00D77F49-D14C-44AB-AA4A-045EE85E4E21}" destId="{2B40EF01-663A-49F8-8E61-0C2DF642EDE5}" srcOrd="4" destOrd="0" parTransId="{E8A7D896-D302-4A7F-828C-51B4A03796A0}" sibTransId="{C2990386-6604-4CDD-B7B4-9CBE590B5C57}"/>
    <dgm:cxn modelId="{9C213BC6-98F5-4E35-B034-59D479935D3C}" type="presOf" srcId="{55EE5446-FC8E-4D7E-B2F9-8E2371ADF2CB}" destId="{C234AE56-771D-4D95-A761-D6DF361BEB6E}" srcOrd="1" destOrd="0" presId="urn:microsoft.com/office/officeart/2005/8/layout/cycle8"/>
    <dgm:cxn modelId="{E052C248-8ED5-48CA-BDF9-C74A86781CB0}" type="presOf" srcId="{AA3363F2-1B39-4F1A-B92E-D0C95E2EB29E}" destId="{EBB4A770-C52A-4F3B-8155-83D332F6F3AF}" srcOrd="0" destOrd="0" presId="urn:microsoft.com/office/officeart/2005/8/layout/cycle8"/>
    <dgm:cxn modelId="{7C918EF2-48F3-4C82-A499-6A940D014CAA}" type="presOf" srcId="{E15D5A8B-4738-4B75-89C4-DECDE0412B3B}" destId="{556D4191-3901-4DC2-B499-3DBBA329B990}" srcOrd="1" destOrd="0" presId="urn:microsoft.com/office/officeart/2005/8/layout/cycle8"/>
    <dgm:cxn modelId="{33DA5E6C-D6B4-42E2-885F-0117DA311CEC}" srcId="{00D77F49-D14C-44AB-AA4A-045EE85E4E21}" destId="{E15D5A8B-4738-4B75-89C4-DECDE0412B3B}" srcOrd="6" destOrd="0" parTransId="{0423EAEB-D2EA-45F0-8EB9-B6C14A536F05}" sibTransId="{6ABFEA48-1D25-4ACC-9A61-63B4CEDE7503}"/>
    <dgm:cxn modelId="{0D2C8097-98E6-42AE-A6FA-B9FB40DB262C}" type="presParOf" srcId="{FB96A6CA-BE77-4DE2-8698-AE0D9C1AE64D}" destId="{C1B85F15-6D96-476D-A043-72935F469A98}" srcOrd="0" destOrd="0" presId="urn:microsoft.com/office/officeart/2005/8/layout/cycle8"/>
    <dgm:cxn modelId="{FACA6B3B-6771-450D-B8DF-7767B6AA6FA5}" type="presParOf" srcId="{FB96A6CA-BE77-4DE2-8698-AE0D9C1AE64D}" destId="{838F170E-3ACD-4156-A0B5-3CB84237D3E9}" srcOrd="1" destOrd="0" presId="urn:microsoft.com/office/officeart/2005/8/layout/cycle8"/>
    <dgm:cxn modelId="{18CDAE1B-0AC2-4901-B633-DFE8C05DEDAD}" type="presParOf" srcId="{FB96A6CA-BE77-4DE2-8698-AE0D9C1AE64D}" destId="{CD912EFD-5400-4456-A0ED-6430704D5563}" srcOrd="2" destOrd="0" presId="urn:microsoft.com/office/officeart/2005/8/layout/cycle8"/>
    <dgm:cxn modelId="{CE23DC3E-DDDB-4E77-8C80-65488FA4EA35}" type="presParOf" srcId="{FB96A6CA-BE77-4DE2-8698-AE0D9C1AE64D}" destId="{C234AE56-771D-4D95-A761-D6DF361BEB6E}" srcOrd="3" destOrd="0" presId="urn:microsoft.com/office/officeart/2005/8/layout/cycle8"/>
    <dgm:cxn modelId="{53601B45-A70B-4198-883A-51EECDE70687}" type="presParOf" srcId="{FB96A6CA-BE77-4DE2-8698-AE0D9C1AE64D}" destId="{A459499C-DB3A-44FD-AC13-7A1C52680C41}" srcOrd="4" destOrd="0" presId="urn:microsoft.com/office/officeart/2005/8/layout/cycle8"/>
    <dgm:cxn modelId="{60244EBF-6400-4BDB-AE32-9C18F9761D29}" type="presParOf" srcId="{FB96A6CA-BE77-4DE2-8698-AE0D9C1AE64D}" destId="{C7C2F581-CB8E-4E45-BD9E-02F803277BAD}" srcOrd="5" destOrd="0" presId="urn:microsoft.com/office/officeart/2005/8/layout/cycle8"/>
    <dgm:cxn modelId="{6C587FE9-420B-49B9-B86E-7E0187A3A10F}" type="presParOf" srcId="{FB96A6CA-BE77-4DE2-8698-AE0D9C1AE64D}" destId="{15AC1672-3546-463F-84CC-C3574CC1BEC3}" srcOrd="6" destOrd="0" presId="urn:microsoft.com/office/officeart/2005/8/layout/cycle8"/>
    <dgm:cxn modelId="{BB5201C4-7627-4686-8012-25C9C6FCD284}" type="presParOf" srcId="{FB96A6CA-BE77-4DE2-8698-AE0D9C1AE64D}" destId="{E5A6CBD9-859A-4B1A-A50B-44E2018B594C}" srcOrd="7" destOrd="0" presId="urn:microsoft.com/office/officeart/2005/8/layout/cycle8"/>
    <dgm:cxn modelId="{850C9DBA-0FC1-44F2-ACFD-507F1566E802}" type="presParOf" srcId="{FB96A6CA-BE77-4DE2-8698-AE0D9C1AE64D}" destId="{1FEDA0D7-8A70-4934-A481-79011882DEE4}" srcOrd="8" destOrd="0" presId="urn:microsoft.com/office/officeart/2005/8/layout/cycle8"/>
    <dgm:cxn modelId="{E67EE48C-94DA-4F9E-84EA-2F7D01012725}" type="presParOf" srcId="{FB96A6CA-BE77-4DE2-8698-AE0D9C1AE64D}" destId="{E693AE7F-E8F3-4BB8-B749-91EAFCEA9C52}" srcOrd="9" destOrd="0" presId="urn:microsoft.com/office/officeart/2005/8/layout/cycle8"/>
    <dgm:cxn modelId="{75539AA1-BD9C-43D5-9A26-4E58538B736B}" type="presParOf" srcId="{FB96A6CA-BE77-4DE2-8698-AE0D9C1AE64D}" destId="{9F48E8E2-B362-4091-BD8C-010E1768170B}" srcOrd="10" destOrd="0" presId="urn:microsoft.com/office/officeart/2005/8/layout/cycle8"/>
    <dgm:cxn modelId="{88E321A1-A578-479E-8586-890CF1ED9D8B}" type="presParOf" srcId="{FB96A6CA-BE77-4DE2-8698-AE0D9C1AE64D}" destId="{2EEFF239-93A1-4D8C-BBCA-422BBD3AE489}" srcOrd="11" destOrd="0" presId="urn:microsoft.com/office/officeart/2005/8/layout/cycle8"/>
    <dgm:cxn modelId="{A8E6B56D-57A0-40C1-9A8A-25BD6F3D59A4}" type="presParOf" srcId="{FB96A6CA-BE77-4DE2-8698-AE0D9C1AE64D}" destId="{5A6DCA70-9060-4537-A18A-E7E7ECD331CE}" srcOrd="12" destOrd="0" presId="urn:microsoft.com/office/officeart/2005/8/layout/cycle8"/>
    <dgm:cxn modelId="{D0A55B99-77E5-4AC9-B184-F2DCEFFA048B}" type="presParOf" srcId="{FB96A6CA-BE77-4DE2-8698-AE0D9C1AE64D}" destId="{EF9B0088-F05D-49C6-A3AF-9BC6A1831390}" srcOrd="13" destOrd="0" presId="urn:microsoft.com/office/officeart/2005/8/layout/cycle8"/>
    <dgm:cxn modelId="{1FCFDBE4-5AF3-4A1C-BBD9-A1F37275D625}" type="presParOf" srcId="{FB96A6CA-BE77-4DE2-8698-AE0D9C1AE64D}" destId="{E67D0113-2F31-4181-9EA0-71F8EEA843F1}" srcOrd="14" destOrd="0" presId="urn:microsoft.com/office/officeart/2005/8/layout/cycle8"/>
    <dgm:cxn modelId="{0DB4DB6B-1888-49A6-A9D8-9A0AE299337E}" type="presParOf" srcId="{FB96A6CA-BE77-4DE2-8698-AE0D9C1AE64D}" destId="{C59206C7-B270-4987-BDF9-326185684ABE}" srcOrd="15" destOrd="0" presId="urn:microsoft.com/office/officeart/2005/8/layout/cycle8"/>
    <dgm:cxn modelId="{521BB3D2-8F78-4A21-8C89-9EAD02C3440D}" type="presParOf" srcId="{FB96A6CA-BE77-4DE2-8698-AE0D9C1AE64D}" destId="{C6ECF57B-8897-4899-837C-3930C616D5EA}" srcOrd="16" destOrd="0" presId="urn:microsoft.com/office/officeart/2005/8/layout/cycle8"/>
    <dgm:cxn modelId="{E4338AC3-3802-444F-96B3-3C3394722E32}" type="presParOf" srcId="{FB96A6CA-BE77-4DE2-8698-AE0D9C1AE64D}" destId="{0FFB0787-814B-4B2B-A1FF-04CF1CE14772}" srcOrd="17" destOrd="0" presId="urn:microsoft.com/office/officeart/2005/8/layout/cycle8"/>
    <dgm:cxn modelId="{AC58A884-F793-4916-AEED-D024D2AE8718}" type="presParOf" srcId="{FB96A6CA-BE77-4DE2-8698-AE0D9C1AE64D}" destId="{FECA8B12-7291-4836-ABBE-2FFD277B25DE}" srcOrd="18" destOrd="0" presId="urn:microsoft.com/office/officeart/2005/8/layout/cycle8"/>
    <dgm:cxn modelId="{151FE97A-07AB-4897-9B92-931780BA317E}" type="presParOf" srcId="{FB96A6CA-BE77-4DE2-8698-AE0D9C1AE64D}" destId="{598C5F28-22DF-4561-8D8E-B888645B2BF3}" srcOrd="19" destOrd="0" presId="urn:microsoft.com/office/officeart/2005/8/layout/cycle8"/>
    <dgm:cxn modelId="{1DBE27CD-BCBD-4E4D-AA1A-44E4981B2721}" type="presParOf" srcId="{FB96A6CA-BE77-4DE2-8698-AE0D9C1AE64D}" destId="{EBB4A770-C52A-4F3B-8155-83D332F6F3AF}" srcOrd="20" destOrd="0" presId="urn:microsoft.com/office/officeart/2005/8/layout/cycle8"/>
    <dgm:cxn modelId="{15C34960-28DF-47D1-B72E-736FDF1AB5A4}" type="presParOf" srcId="{FB96A6CA-BE77-4DE2-8698-AE0D9C1AE64D}" destId="{D1B025B4-48FA-41EA-BB9E-5E93ED9E4657}" srcOrd="21" destOrd="0" presId="urn:microsoft.com/office/officeart/2005/8/layout/cycle8"/>
    <dgm:cxn modelId="{9A31C91F-7FD1-4470-BB1D-311860AD6287}" type="presParOf" srcId="{FB96A6CA-BE77-4DE2-8698-AE0D9C1AE64D}" destId="{532246BD-D686-4BE3-9725-4D376771339C}" srcOrd="22" destOrd="0" presId="urn:microsoft.com/office/officeart/2005/8/layout/cycle8"/>
    <dgm:cxn modelId="{BED8CFCC-2023-4452-A244-411C298BCA6D}" type="presParOf" srcId="{FB96A6CA-BE77-4DE2-8698-AE0D9C1AE64D}" destId="{DB8C7882-ACEF-4A98-8997-5C7F86C4FA94}" srcOrd="23" destOrd="0" presId="urn:microsoft.com/office/officeart/2005/8/layout/cycle8"/>
    <dgm:cxn modelId="{49D6482C-1509-41C6-AFB0-30EE663394F0}" type="presParOf" srcId="{FB96A6CA-BE77-4DE2-8698-AE0D9C1AE64D}" destId="{1A324310-9767-404D-ADB5-D471A60B8ECB}" srcOrd="24" destOrd="0" presId="urn:microsoft.com/office/officeart/2005/8/layout/cycle8"/>
    <dgm:cxn modelId="{689DC9CE-58D3-4CF1-87DC-F9BC18C763AF}" type="presParOf" srcId="{FB96A6CA-BE77-4DE2-8698-AE0D9C1AE64D}" destId="{89B2F2F1-9EA5-45BE-BF14-951B8519FBF0}" srcOrd="25" destOrd="0" presId="urn:microsoft.com/office/officeart/2005/8/layout/cycle8"/>
    <dgm:cxn modelId="{89D2E849-5165-4E9B-AEE9-A36433B8FEAA}" type="presParOf" srcId="{FB96A6CA-BE77-4DE2-8698-AE0D9C1AE64D}" destId="{FF11E24A-4E33-4E5C-931A-50E3276116DB}" srcOrd="26" destOrd="0" presId="urn:microsoft.com/office/officeart/2005/8/layout/cycle8"/>
    <dgm:cxn modelId="{BAF2DFA1-C5A7-449B-9469-DCB748AF3B06}" type="presParOf" srcId="{FB96A6CA-BE77-4DE2-8698-AE0D9C1AE64D}" destId="{556D4191-3901-4DC2-B499-3DBBA329B990}" srcOrd="27" destOrd="0" presId="urn:microsoft.com/office/officeart/2005/8/layout/cycle8"/>
    <dgm:cxn modelId="{7BFAF13D-DB26-40D8-A02C-BA9EFB3A071C}" type="presParOf" srcId="{FB96A6CA-BE77-4DE2-8698-AE0D9C1AE64D}" destId="{2B1317D7-CDDC-4CA4-BD13-1106D725910E}" srcOrd="28" destOrd="0" presId="urn:microsoft.com/office/officeart/2005/8/layout/cycle8"/>
    <dgm:cxn modelId="{1A0ED500-2883-4618-84D7-115BEE347D55}" type="presParOf" srcId="{FB96A6CA-BE77-4DE2-8698-AE0D9C1AE64D}" destId="{E99ABA6B-6AE5-4862-92BE-2C7E3617E55B}" srcOrd="29" destOrd="0" presId="urn:microsoft.com/office/officeart/2005/8/layout/cycle8"/>
    <dgm:cxn modelId="{D9BD64B5-1497-4E3C-96A7-3B119D3F36FE}" type="presParOf" srcId="{FB96A6CA-BE77-4DE2-8698-AE0D9C1AE64D}" destId="{BC251873-480E-4D60-BED3-44BA4A224020}" srcOrd="30" destOrd="0" presId="urn:microsoft.com/office/officeart/2005/8/layout/cycle8"/>
    <dgm:cxn modelId="{F1E84D0B-9BAF-4217-A07B-08DE2DFA3362}" type="presParOf" srcId="{FB96A6CA-BE77-4DE2-8698-AE0D9C1AE64D}" destId="{335AAAF9-3C60-439E-B190-54C75175F892}" srcOrd="31" destOrd="0" presId="urn:microsoft.com/office/officeart/2005/8/layout/cycle8"/>
    <dgm:cxn modelId="{14D69246-A14B-4237-BAD9-9EA6CBB3C9D5}" type="presParOf" srcId="{FB96A6CA-BE77-4DE2-8698-AE0D9C1AE64D}" destId="{ACAFDDBD-8CCA-45A2-900A-389E0D8C34E7}" srcOrd="32" destOrd="0" presId="urn:microsoft.com/office/officeart/2005/8/layout/cycle8"/>
    <dgm:cxn modelId="{4EA2C52D-A7C0-485A-B7C5-98B2289C9907}" type="presParOf" srcId="{FB96A6CA-BE77-4DE2-8698-AE0D9C1AE64D}" destId="{1818A8DD-9DC2-42BF-8913-2C9F66B4932B}" srcOrd="33" destOrd="0" presId="urn:microsoft.com/office/officeart/2005/8/layout/cycle8"/>
    <dgm:cxn modelId="{3FD98EB7-640B-4FDD-B340-8E91A00ED55D}" type="presParOf" srcId="{FB96A6CA-BE77-4DE2-8698-AE0D9C1AE64D}" destId="{973DAEE2-B926-493E-AA28-34A417AAFDBC}" srcOrd="34" destOrd="0" presId="urn:microsoft.com/office/officeart/2005/8/layout/cycle8"/>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组合 1"/>
      <dsp:cNvGrpSpPr/>
    </dsp:nvGrpSpPr>
    <dsp:grpSpPr>
      <a:xfrm>
        <a:off x="0" y="0"/>
        <a:ext cx="2599690" cy="2599690"/>
        <a:chOff x="0" y="0"/>
        <a:chExt cx="2599690" cy="2599690"/>
      </a:xfrm>
    </dsp:grpSpPr>
    <dsp:sp modelId="{C1B85F15-6D96-476D-A043-72935F469A98}">
      <dsp:nvSpPr>
        <dsp:cNvPr id="3" name="饼形 2"/>
        <dsp:cNvSpPr/>
      </dsp:nvSpPr>
      <dsp:spPr bwMode="white">
        <a:xfrm>
          <a:off x="1200331" y="158581"/>
          <a:ext cx="2183740" cy="2183740"/>
        </a:xfrm>
        <a:prstGeom prst="pie">
          <a:avLst>
            <a:gd name="adj1" fmla="val 16200000"/>
            <a:gd name="adj2" fmla="val 19285715"/>
          </a:avLst>
        </a:prstGeom>
      </dsp:spPr>
      <dsp:style>
        <a:lnRef idx="2">
          <a:schemeClr val="lt1"/>
        </a:lnRef>
        <a:fillRef idx="1">
          <a:schemeClr val="accent1"/>
        </a:fillRef>
        <a:effectRef idx="0">
          <a:scrgbClr r="0" g="0" b="0"/>
        </a:effectRef>
        <a:fontRef idx="minor">
          <a:schemeClr val="lt1"/>
        </a:fontRef>
      </dsp:style>
      <dsp:txBody>
        <a:bodyPr lIns="12700" tIns="12700" rIns="12700" bIns="12700" anchor="ctr"/>
        <a:lstStyle>
          <a:lvl1pPr algn="ctr">
            <a:defRPr sz="10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US" altLang="zh-CN"/>
            <a:t>IT</a:t>
          </a:r>
          <a:r>
            <a:rPr lang="zh-CN" altLang="en-US"/>
            <a:t>资产入库</a:t>
          </a:r>
        </a:p>
      </dsp:txBody>
      <dsp:txXfrm>
        <a:off x="1200331" y="158581"/>
        <a:ext cx="2183740" cy="2183740"/>
      </dsp:txXfrm>
    </dsp:sp>
    <dsp:sp modelId="{A459499C-DB3A-44FD-AC13-7A1C52680C41}">
      <dsp:nvSpPr>
        <dsp:cNvPr id="4" name="饼形 3"/>
        <dsp:cNvSpPr/>
      </dsp:nvSpPr>
      <dsp:spPr bwMode="white">
        <a:xfrm>
          <a:off x="1228408" y="193677"/>
          <a:ext cx="2183740" cy="2183740"/>
        </a:xfrm>
        <a:prstGeom prst="pie">
          <a:avLst>
            <a:gd name="adj1" fmla="val 19285715"/>
            <a:gd name="adj2" fmla="val 771428"/>
          </a:avLst>
        </a:prstGeom>
      </dsp:spPr>
      <dsp:style>
        <a:lnRef idx="2">
          <a:schemeClr val="lt1"/>
        </a:lnRef>
        <a:fillRef idx="1">
          <a:schemeClr val="accent1"/>
        </a:fillRef>
        <a:effectRef idx="0">
          <a:scrgbClr r="0" g="0" b="0"/>
        </a:effectRef>
        <a:fontRef idx="minor">
          <a:schemeClr val="lt1"/>
        </a:fontRef>
      </dsp:style>
      <dsp:txBody>
        <a:bodyPr lIns="12700" tIns="12700" rIns="12700" bIns="12700" anchor="ctr"/>
        <a:lstStyle>
          <a:lvl1pPr algn="ctr">
            <a:defRPr sz="10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US" altLang="zh-CN"/>
            <a:t>IT</a:t>
          </a:r>
          <a:r>
            <a:rPr lang="zh-CN" altLang="en-US"/>
            <a:t>资产调拨</a:t>
          </a:r>
        </a:p>
      </dsp:txBody>
      <dsp:txXfrm>
        <a:off x="1228408" y="193677"/>
        <a:ext cx="2183740" cy="2183740"/>
      </dsp:txXfrm>
    </dsp:sp>
    <dsp:sp modelId="{1FEDA0D7-8A70-4934-A481-79011882DEE4}">
      <dsp:nvSpPr>
        <dsp:cNvPr id="5" name="饼形 4"/>
        <dsp:cNvSpPr/>
      </dsp:nvSpPr>
      <dsp:spPr bwMode="white">
        <a:xfrm>
          <a:off x="1218269" y="237872"/>
          <a:ext cx="2183740" cy="2183740"/>
        </a:xfrm>
        <a:prstGeom prst="pie">
          <a:avLst>
            <a:gd name="adj1" fmla="val 771428"/>
            <a:gd name="adj2" fmla="val 3857142"/>
          </a:avLst>
        </a:prstGeom>
      </dsp:spPr>
      <dsp:style>
        <a:lnRef idx="2">
          <a:schemeClr val="lt1"/>
        </a:lnRef>
        <a:fillRef idx="1">
          <a:schemeClr val="accent1"/>
        </a:fillRef>
        <a:effectRef idx="0">
          <a:scrgbClr r="0" g="0" b="0"/>
        </a:effectRef>
        <a:fontRef idx="minor">
          <a:schemeClr val="lt1"/>
        </a:fontRef>
      </dsp:style>
      <dsp:txBody>
        <a:bodyPr lIns="12700" tIns="12700" rIns="12700" bIns="12700" anchor="ctr"/>
        <a:lstStyle>
          <a:lvl1pPr algn="ctr">
            <a:defRPr sz="10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US" altLang="zh-CN"/>
            <a:t>IT</a:t>
          </a:r>
          <a:r>
            <a:rPr lang="zh-CN" altLang="en-US"/>
            <a:t>资产领用</a:t>
          </a:r>
        </a:p>
      </dsp:txBody>
      <dsp:txXfrm>
        <a:off x="1218269" y="237872"/>
        <a:ext cx="2183740" cy="2183740"/>
      </dsp:txXfrm>
    </dsp:sp>
    <dsp:sp modelId="{5A6DCA70-9060-4537-A18A-E7E7ECD331CE}">
      <dsp:nvSpPr>
        <dsp:cNvPr id="6" name="饼形 5"/>
        <dsp:cNvSpPr/>
      </dsp:nvSpPr>
      <dsp:spPr bwMode="white">
        <a:xfrm>
          <a:off x="1177714" y="257369"/>
          <a:ext cx="2183740" cy="2183740"/>
        </a:xfrm>
        <a:prstGeom prst="pie">
          <a:avLst>
            <a:gd name="adj1" fmla="val 3857226"/>
            <a:gd name="adj2" fmla="val 6942857"/>
          </a:avLst>
        </a:prstGeom>
      </dsp:spPr>
      <dsp:style>
        <a:lnRef idx="2">
          <a:schemeClr val="lt1"/>
        </a:lnRef>
        <a:fillRef idx="1">
          <a:schemeClr val="accent1"/>
        </a:fillRef>
        <a:effectRef idx="0">
          <a:scrgbClr r="0" g="0" b="0"/>
        </a:effectRef>
        <a:fontRef idx="minor">
          <a:schemeClr val="lt1"/>
        </a:fontRef>
      </dsp:style>
      <dsp:txBody>
        <a:bodyPr lIns="12700" tIns="12700" rIns="12700" bIns="12700" anchor="ctr"/>
        <a:lstStyle>
          <a:lvl1pPr algn="ctr">
            <a:defRPr sz="10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US" altLang="zh-CN"/>
            <a:t>IT</a:t>
          </a:r>
          <a:r>
            <a:rPr lang="zh-CN" altLang="en-US"/>
            <a:t>资产维护</a:t>
          </a:r>
        </a:p>
      </dsp:txBody>
      <dsp:txXfrm>
        <a:off x="1177714" y="257369"/>
        <a:ext cx="2183740" cy="2183740"/>
      </dsp:txXfrm>
    </dsp:sp>
    <dsp:sp modelId="{C6ECF57B-8897-4899-837C-3930C616D5EA}">
      <dsp:nvSpPr>
        <dsp:cNvPr id="7" name="饼形 6"/>
        <dsp:cNvSpPr/>
      </dsp:nvSpPr>
      <dsp:spPr bwMode="white">
        <a:xfrm>
          <a:off x="1137158" y="237872"/>
          <a:ext cx="2183740" cy="2183740"/>
        </a:xfrm>
        <a:prstGeom prst="pie">
          <a:avLst>
            <a:gd name="adj1" fmla="val 6942857"/>
            <a:gd name="adj2" fmla="val 10028574"/>
          </a:avLst>
        </a:prstGeom>
      </dsp:spPr>
      <dsp:style>
        <a:lnRef idx="2">
          <a:schemeClr val="lt1"/>
        </a:lnRef>
        <a:fillRef idx="1">
          <a:schemeClr val="accent1"/>
        </a:fillRef>
        <a:effectRef idx="0">
          <a:scrgbClr r="0" g="0" b="0"/>
        </a:effectRef>
        <a:fontRef idx="minor">
          <a:schemeClr val="lt1"/>
        </a:fontRef>
      </dsp:style>
      <dsp:txBody>
        <a:bodyPr lIns="12700" tIns="12700" rIns="12700" bIns="12700" anchor="ctr"/>
        <a:lstStyle>
          <a:lvl1pPr algn="ctr">
            <a:defRPr sz="10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US" altLang="zh-CN"/>
            <a:t>IT</a:t>
          </a:r>
          <a:r>
            <a:rPr lang="zh-CN" altLang="en-US"/>
            <a:t>资产折旧</a:t>
          </a:r>
        </a:p>
      </dsp:txBody>
      <dsp:txXfrm>
        <a:off x="1137158" y="237872"/>
        <a:ext cx="2183740" cy="2183740"/>
      </dsp:txXfrm>
    </dsp:sp>
    <dsp:sp modelId="{EBB4A770-C52A-4F3B-8155-83D332F6F3AF}">
      <dsp:nvSpPr>
        <dsp:cNvPr id="8" name="饼形 7"/>
        <dsp:cNvSpPr/>
      </dsp:nvSpPr>
      <dsp:spPr bwMode="white">
        <a:xfrm>
          <a:off x="1127020" y="193677"/>
          <a:ext cx="2183740" cy="2183740"/>
        </a:xfrm>
        <a:prstGeom prst="pie">
          <a:avLst>
            <a:gd name="adj1" fmla="val 10028574"/>
            <a:gd name="adj2" fmla="val 13114284"/>
          </a:avLst>
        </a:prstGeom>
      </dsp:spPr>
      <dsp:style>
        <a:lnRef idx="2">
          <a:schemeClr val="lt1"/>
        </a:lnRef>
        <a:fillRef idx="1">
          <a:schemeClr val="accent1"/>
        </a:fillRef>
        <a:effectRef idx="0">
          <a:scrgbClr r="0" g="0" b="0"/>
        </a:effectRef>
        <a:fontRef idx="minor">
          <a:schemeClr val="lt1"/>
        </a:fontRef>
      </dsp:style>
      <dsp:txBody>
        <a:bodyPr lIns="12700" tIns="12700" rIns="12700" bIns="12700" anchor="ctr"/>
        <a:lstStyle>
          <a:lvl1pPr algn="ctr">
            <a:defRPr sz="10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US" altLang="zh-CN"/>
            <a:t>IT</a:t>
          </a:r>
          <a:r>
            <a:rPr lang="zh-CN" altLang="en-US"/>
            <a:t>资产报废</a:t>
          </a:r>
        </a:p>
      </dsp:txBody>
      <dsp:txXfrm>
        <a:off x="1127020" y="193677"/>
        <a:ext cx="2183740" cy="2183740"/>
      </dsp:txXfrm>
    </dsp:sp>
    <dsp:sp modelId="{1A324310-9767-404D-ADB5-D471A60B8ECB}">
      <dsp:nvSpPr>
        <dsp:cNvPr id="9" name="饼形 8"/>
        <dsp:cNvSpPr/>
      </dsp:nvSpPr>
      <dsp:spPr bwMode="white">
        <a:xfrm>
          <a:off x="1155096" y="158581"/>
          <a:ext cx="2183740" cy="2183740"/>
        </a:xfrm>
        <a:prstGeom prst="pie">
          <a:avLst>
            <a:gd name="adj1" fmla="val 13114284"/>
            <a:gd name="adj2" fmla="val 16200000"/>
          </a:avLst>
        </a:prstGeom>
      </dsp:spPr>
      <dsp:style>
        <a:lnRef idx="2">
          <a:schemeClr val="lt1"/>
        </a:lnRef>
        <a:fillRef idx="1">
          <a:schemeClr val="accent1"/>
        </a:fillRef>
        <a:effectRef idx="0">
          <a:scrgbClr r="0" g="0" b="0"/>
        </a:effectRef>
        <a:fontRef idx="minor">
          <a:schemeClr val="lt1"/>
        </a:fontRef>
      </dsp:style>
      <dsp:txBody>
        <a:bodyPr lIns="12700" tIns="12700" rIns="12700" bIns="12700" anchor="ctr"/>
        <a:lstStyle>
          <a:lvl1pPr algn="ctr">
            <a:defRPr sz="10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US" altLang="zh-CN"/>
            <a:t>IT</a:t>
          </a:r>
          <a:r>
            <a:rPr lang="zh-CN" altLang="en-US"/>
            <a:t>资产采购</a:t>
          </a:r>
        </a:p>
      </dsp:txBody>
      <dsp:txXfrm>
        <a:off x="1155096" y="158581"/>
        <a:ext cx="2183740" cy="2183740"/>
      </dsp:txXfrm>
    </dsp:sp>
    <dsp:sp modelId="{2B1317D7-CDDC-4CA4-BD13-1106D725910E}">
      <dsp:nvSpPr>
        <dsp:cNvPr id="10" name="环形箭头 9"/>
        <dsp:cNvSpPr/>
      </dsp:nvSpPr>
      <dsp:spPr bwMode="white">
        <a:xfrm>
          <a:off x="1080116" y="38475"/>
          <a:ext cx="2423951" cy="2423951"/>
        </a:xfrm>
        <a:prstGeom prst="circularArrow">
          <a:avLst>
            <a:gd name="adj1" fmla="val 5000"/>
            <a:gd name="adj2" fmla="val 360000"/>
            <a:gd name="adj3" fmla="val 18925355"/>
            <a:gd name="adj4" fmla="val 16200342"/>
            <a:gd name="adj5" fmla="val 5500"/>
          </a:avLst>
        </a:prstGeom>
      </dsp:spPr>
      <dsp:style>
        <a:lnRef idx="0">
          <a:schemeClr val="accent1">
            <a:tint val="60000"/>
          </a:schemeClr>
        </a:lnRef>
        <a:fillRef idx="1">
          <a:schemeClr val="accent1">
            <a:tint val="60000"/>
          </a:schemeClr>
        </a:fillRef>
        <a:effectRef idx="0">
          <a:scrgbClr r="0" g="0" b="0"/>
        </a:effectRef>
        <a:fontRef idx="minor">
          <a:schemeClr val="lt1"/>
        </a:fontRef>
      </dsp:style>
      <dsp:txXfrm>
        <a:off x="1080116" y="38475"/>
        <a:ext cx="2423951" cy="2423951"/>
      </dsp:txXfrm>
    </dsp:sp>
    <dsp:sp modelId="{E99ABA6B-6AE5-4862-92BE-2C7E3617E55B}">
      <dsp:nvSpPr>
        <dsp:cNvPr id="11" name="环形箭头 10"/>
        <dsp:cNvSpPr/>
      </dsp:nvSpPr>
      <dsp:spPr bwMode="white">
        <a:xfrm>
          <a:off x="1108370" y="73727"/>
          <a:ext cx="2423951" cy="2423951"/>
        </a:xfrm>
        <a:prstGeom prst="circularArrow">
          <a:avLst>
            <a:gd name="adj1" fmla="val 5000"/>
            <a:gd name="adj2" fmla="val 360000"/>
            <a:gd name="adj3" fmla="val 411272"/>
            <a:gd name="adj4" fmla="val 19285776"/>
            <a:gd name="adj5" fmla="val 5500"/>
          </a:avLst>
        </a:prstGeom>
      </dsp:spPr>
      <dsp:style>
        <a:lnRef idx="0">
          <a:schemeClr val="accent1">
            <a:tint val="60000"/>
          </a:schemeClr>
        </a:lnRef>
        <a:fillRef idx="1">
          <a:schemeClr val="accent1">
            <a:tint val="60000"/>
          </a:schemeClr>
        </a:fillRef>
        <a:effectRef idx="0">
          <a:scrgbClr r="0" g="0" b="0"/>
        </a:effectRef>
        <a:fontRef idx="minor">
          <a:schemeClr val="lt1"/>
        </a:fontRef>
      </dsp:style>
      <dsp:txXfrm>
        <a:off x="1108370" y="73727"/>
        <a:ext cx="2423951" cy="2423951"/>
      </dsp:txXfrm>
    </dsp:sp>
    <dsp:sp modelId="{BC251873-480E-4D60-BED3-44BA4A224020}">
      <dsp:nvSpPr>
        <dsp:cNvPr id="12" name="环形箭头 11"/>
        <dsp:cNvSpPr/>
      </dsp:nvSpPr>
      <dsp:spPr bwMode="white">
        <a:xfrm>
          <a:off x="1098195" y="117819"/>
          <a:ext cx="2423951" cy="2423951"/>
        </a:xfrm>
        <a:prstGeom prst="circularArrow">
          <a:avLst>
            <a:gd name="adj1" fmla="val 5000"/>
            <a:gd name="adj2" fmla="val 360000"/>
            <a:gd name="adj3" fmla="val 3496628"/>
            <a:gd name="adj4" fmla="val 770764"/>
            <a:gd name="adj5" fmla="val 5500"/>
          </a:avLst>
        </a:prstGeom>
      </dsp:spPr>
      <dsp:style>
        <a:lnRef idx="0">
          <a:schemeClr val="accent1">
            <a:tint val="60000"/>
          </a:schemeClr>
        </a:lnRef>
        <a:fillRef idx="1">
          <a:schemeClr val="accent1">
            <a:tint val="60000"/>
          </a:schemeClr>
        </a:fillRef>
        <a:effectRef idx="0">
          <a:scrgbClr r="0" g="0" b="0"/>
        </a:effectRef>
        <a:fontRef idx="minor">
          <a:schemeClr val="lt1"/>
        </a:fontRef>
      </dsp:style>
      <dsp:txXfrm>
        <a:off x="1098195" y="117819"/>
        <a:ext cx="2423951" cy="2423951"/>
      </dsp:txXfrm>
    </dsp:sp>
    <dsp:sp modelId="{335AAAF9-3C60-439E-B190-54C75175F892}">
      <dsp:nvSpPr>
        <dsp:cNvPr id="13" name="环形箭头 12"/>
        <dsp:cNvSpPr/>
      </dsp:nvSpPr>
      <dsp:spPr bwMode="white">
        <a:xfrm>
          <a:off x="1057608" y="137207"/>
          <a:ext cx="2423951" cy="2423951"/>
        </a:xfrm>
        <a:prstGeom prst="circularArrow">
          <a:avLst>
            <a:gd name="adj1" fmla="val 5000"/>
            <a:gd name="adj2" fmla="val 360000"/>
            <a:gd name="adj3" fmla="val 6582573"/>
            <a:gd name="adj4" fmla="val 3857426"/>
            <a:gd name="adj5" fmla="val 5500"/>
          </a:avLst>
        </a:prstGeom>
      </dsp:spPr>
      <dsp:style>
        <a:lnRef idx="0">
          <a:schemeClr val="accent1">
            <a:tint val="60000"/>
          </a:schemeClr>
        </a:lnRef>
        <a:fillRef idx="1">
          <a:schemeClr val="accent1">
            <a:tint val="60000"/>
          </a:schemeClr>
        </a:fillRef>
        <a:effectRef idx="0">
          <a:scrgbClr r="0" g="0" b="0"/>
        </a:effectRef>
        <a:fontRef idx="minor">
          <a:schemeClr val="lt1"/>
        </a:fontRef>
      </dsp:style>
      <dsp:txXfrm>
        <a:off x="1057608" y="137207"/>
        <a:ext cx="2423951" cy="2423951"/>
      </dsp:txXfrm>
    </dsp:sp>
    <dsp:sp modelId="{ACAFDDBD-8CCA-45A2-900A-389E0D8C34E7}">
      <dsp:nvSpPr>
        <dsp:cNvPr id="14" name="环形箭头 13"/>
        <dsp:cNvSpPr/>
      </dsp:nvSpPr>
      <dsp:spPr bwMode="white">
        <a:xfrm>
          <a:off x="1017021" y="117819"/>
          <a:ext cx="2423951" cy="2423951"/>
        </a:xfrm>
        <a:prstGeom prst="circularArrow">
          <a:avLst>
            <a:gd name="adj1" fmla="val 5000"/>
            <a:gd name="adj2" fmla="val 360000"/>
            <a:gd name="adj3" fmla="val 9669235"/>
            <a:gd name="adj4" fmla="val 6943371"/>
            <a:gd name="adj5" fmla="val 5500"/>
          </a:avLst>
        </a:prstGeom>
      </dsp:spPr>
      <dsp:style>
        <a:lnRef idx="0">
          <a:schemeClr val="accent1">
            <a:tint val="60000"/>
          </a:schemeClr>
        </a:lnRef>
        <a:fillRef idx="1">
          <a:schemeClr val="accent1">
            <a:tint val="60000"/>
          </a:schemeClr>
        </a:fillRef>
        <a:effectRef idx="0">
          <a:scrgbClr r="0" g="0" b="0"/>
        </a:effectRef>
        <a:fontRef idx="minor">
          <a:schemeClr val="lt1"/>
        </a:fontRef>
      </dsp:style>
      <dsp:txXfrm>
        <a:off x="1017021" y="117819"/>
        <a:ext cx="2423951" cy="2423951"/>
      </dsp:txXfrm>
    </dsp:sp>
    <dsp:sp modelId="{1818A8DD-9DC2-42BF-8913-2C9F66B4932B}">
      <dsp:nvSpPr>
        <dsp:cNvPr id="15" name="环形箭头 14"/>
        <dsp:cNvSpPr/>
      </dsp:nvSpPr>
      <dsp:spPr bwMode="white">
        <a:xfrm>
          <a:off x="1006846" y="73727"/>
          <a:ext cx="2423951" cy="2423951"/>
        </a:xfrm>
        <a:prstGeom prst="circularArrow">
          <a:avLst>
            <a:gd name="adj1" fmla="val 5000"/>
            <a:gd name="adj2" fmla="val 360000"/>
            <a:gd name="adj3" fmla="val 12754223"/>
            <a:gd name="adj4" fmla="val 10028727"/>
            <a:gd name="adj5" fmla="val 5500"/>
          </a:avLst>
        </a:prstGeom>
      </dsp:spPr>
      <dsp:style>
        <a:lnRef idx="0">
          <a:schemeClr val="accent1">
            <a:tint val="60000"/>
          </a:schemeClr>
        </a:lnRef>
        <a:fillRef idx="1">
          <a:schemeClr val="accent1">
            <a:tint val="60000"/>
          </a:schemeClr>
        </a:fillRef>
        <a:effectRef idx="0">
          <a:scrgbClr r="0" g="0" b="0"/>
        </a:effectRef>
        <a:fontRef idx="minor">
          <a:schemeClr val="lt1"/>
        </a:fontRef>
      </dsp:style>
      <dsp:txXfrm>
        <a:off x="1006846" y="73727"/>
        <a:ext cx="2423951" cy="2423951"/>
      </dsp:txXfrm>
    </dsp:sp>
    <dsp:sp modelId="{973DAEE2-B926-493E-AA28-34A417AAFDBC}">
      <dsp:nvSpPr>
        <dsp:cNvPr id="16" name="环形箭头 15"/>
        <dsp:cNvSpPr/>
      </dsp:nvSpPr>
      <dsp:spPr bwMode="white">
        <a:xfrm>
          <a:off x="1035099" y="38475"/>
          <a:ext cx="2423951" cy="2423951"/>
        </a:xfrm>
        <a:prstGeom prst="circularArrow">
          <a:avLst>
            <a:gd name="adj1" fmla="val 5000"/>
            <a:gd name="adj2" fmla="val 360000"/>
            <a:gd name="adj3" fmla="val 15839657"/>
            <a:gd name="adj4" fmla="val 13114644"/>
            <a:gd name="adj5" fmla="val 5500"/>
          </a:avLst>
        </a:prstGeom>
      </dsp:spPr>
      <dsp:style>
        <a:lnRef idx="0">
          <a:schemeClr val="accent1">
            <a:tint val="60000"/>
          </a:schemeClr>
        </a:lnRef>
        <a:fillRef idx="1">
          <a:schemeClr val="accent1">
            <a:tint val="60000"/>
          </a:schemeClr>
        </a:fillRef>
        <a:effectRef idx="0">
          <a:scrgbClr r="0" g="0" b="0"/>
        </a:effectRef>
        <a:fontRef idx="minor">
          <a:schemeClr val="lt1"/>
        </a:fontRef>
      </dsp:style>
      <dsp:txXfrm>
        <a:off x="1035099" y="38475"/>
        <a:ext cx="2423951" cy="2423951"/>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ar" val="1"/>
      <dgm:param type="vertAlign" val="mid"/>
      <dgm:param type="horzAlign" val="ctr"/>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srcNode" val="dummy1a"/>
                  <dgm:param type="dstNode" val="dummy1b"/>
                  <dgm:param type="begSty" val="arr"/>
                  <dgm:param type="endSty" val="noArr"/>
                  <dgm:param type="connRout" val="longCurve"/>
                  <dgm:param type="begPts" val="tL"/>
                  <dgm:param type="endPts" val="tR"/>
                </dgm:alg>
              </dgm:if>
              <dgm:else name="Name175">
                <dgm:alg type="conn">
                  <dgm:param type="srcNode" val="dummy1a"/>
                  <dgm:param type="dstNode" val="dummy1b"/>
                  <dgm:param type="begSty" val="noArr"/>
                  <dgm:param type="endSty" val="arr"/>
                  <dgm:param type="connRout" val="longCurve"/>
                  <dgm:param type="begPts" val="tL"/>
                  <dgm:param type="endPts" val="t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srcNode" val="dummy1a"/>
                  <dgm:param type="dstNode" val="dummy1b"/>
                  <dgm:param type="begSty" val="noArr"/>
                  <dgm:param type="endSty" val="arr"/>
                  <dgm:param type="connRout" val="curve"/>
                  <dgm:param type="begPts" val="tL"/>
                  <dgm:param type="endPts" val="tL"/>
                </dgm:alg>
              </dgm:if>
              <dgm:else name="Name180">
                <dgm:alg type="conn">
                  <dgm:param type="srcNode" val="dummy1a"/>
                  <dgm:param type="dstNode" val="dummy1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srcNode" val="dummy2a"/>
              <dgm:param type="dstNode" val="dummy2b"/>
              <dgm:param type="begSty" val="noArr"/>
              <dgm:param type="endSty" val="arr"/>
              <dgm:param type="connRout" val="curve"/>
              <dgm:param type="begPts" val="tL"/>
              <dgm:param type="endPts" val="tL"/>
            </dgm:alg>
          </dgm:if>
          <dgm:else name="Name185">
            <dgm:alg type="conn">
              <dgm:param type="srcNode" val="dummy2a"/>
              <dgm:param type="dstNode" val="dummy2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srcNode" val="dummy3a"/>
              <dgm:param type="dstNode" val="dummy3b"/>
              <dgm:param type="begSty" val="noArr"/>
              <dgm:param type="endSty" val="arr"/>
              <dgm:param type="connRout" val="curve"/>
              <dgm:param type="begPts" val="tL"/>
              <dgm:param type="endPts" val="tL"/>
            </dgm:alg>
          </dgm:if>
          <dgm:else name="Name189">
            <dgm:alg type="conn">
              <dgm:param type="srcNode" val="dummy3a"/>
              <dgm:param type="dstNode" val="dummy3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srcNode" val="dummy4a"/>
              <dgm:param type="dstNode" val="dummy4b"/>
              <dgm:param type="begSty" val="noArr"/>
              <dgm:param type="endSty" val="arr"/>
              <dgm:param type="connRout" val="curve"/>
              <dgm:param type="begPts" val="tL"/>
              <dgm:param type="endPts" val="tL"/>
            </dgm:alg>
          </dgm:if>
          <dgm:else name="Name193">
            <dgm:alg type="conn">
              <dgm:param type="srcNode" val="dummy4a"/>
              <dgm:param type="dstNode" val="dummy4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srcNode" val="dummy5a"/>
              <dgm:param type="dstNode" val="dummy5b"/>
              <dgm:param type="begSty" val="noArr"/>
              <dgm:param type="endSty" val="arr"/>
              <dgm:param type="connRout" val="curve"/>
              <dgm:param type="begPts" val="tL"/>
              <dgm:param type="endPts" val="tL"/>
            </dgm:alg>
          </dgm:if>
          <dgm:else name="Name197">
            <dgm:alg type="conn">
              <dgm:param type="srcNode" val="dummy5a"/>
              <dgm:param type="dstNode" val="dummy5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srcNode" val="dummy6a"/>
              <dgm:param type="dstNode" val="dummy6b"/>
              <dgm:param type="begSty" val="noArr"/>
              <dgm:param type="endSty" val="arr"/>
              <dgm:param type="connRout" val="curve"/>
              <dgm:param type="begPts" val="tL"/>
              <dgm:param type="endPts" val="tL"/>
            </dgm:alg>
          </dgm:if>
          <dgm:else name="Name201">
            <dgm:alg type="conn">
              <dgm:param type="srcNode" val="dummy6a"/>
              <dgm:param type="dstNode" val="dummy6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srcNode" val="dummy7a"/>
              <dgm:param type="dstNode" val="dummy7b"/>
              <dgm:param type="begSty" val="noArr"/>
              <dgm:param type="endSty" val="arr"/>
              <dgm:param type="connRout" val="curve"/>
              <dgm:param type="begPts" val="tL"/>
              <dgm:param type="endPts" val="tL"/>
            </dgm:alg>
          </dgm:if>
          <dgm:else name="Name205">
            <dgm:alg type="conn">
              <dgm:param type="srcNode" val="dummy7a"/>
              <dgm:param type="dstNode" val="dummy7b"/>
              <dgm:param type="begSty" val="arr"/>
              <dgm:param type="endSty" val="noArr"/>
              <dgm:param type="connRout" val="curve"/>
              <dgm:param type="begPts" val="tL"/>
              <dgm:param type="endPts" val="tL"/>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8"/>
    <customShpInfo spid="_x0000_s2052"/>
    <customShpInfo spid="_x0000_s2055"/>
    <customShpInfo spid="_x0000_s2051"/>
    <customShpInfo spid="_x0000_s2050"/>
    <customShpInfo spid="_x0000_s2059"/>
    <customShpInfo spid="_x0000_s2053"/>
    <customShpInfo spid="_x0000_s2056"/>
    <customShpInfo spid="_x0000_s2060"/>
    <customShpInfo spid="_x0000_s2057"/>
    <customShpInfo spid="_x0000_s205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4816</Words>
  <Characters>5013</Characters>
  <Lines>39</Lines>
  <Paragraphs>10</Paragraphs>
  <TotalTime>0</TotalTime>
  <ScaleCrop>false</ScaleCrop>
  <LinksUpToDate>false</LinksUpToDate>
  <CharactersWithSpaces>5061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2010-05-05T03:11:00Z</dcterms:created>
  <dc:creator>sunbo</dc:creator>
  <cp:lastModifiedBy>申伶</cp:lastModifiedBy>
  <dcterms:modified xsi:type="dcterms:W3CDTF">2025-01-08T04:09:38Z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00DF6A275EAF4740B2033654DF416CC6</vt:lpwstr>
  </property>
  <property fmtid="{D5CDD505-2E9C-101B-9397-08002B2CF9AE}" pid="4" name="KSOTemplateDocerSaveRecord">
    <vt:lpwstr>eyJoZGlkIjoiMjQwNTg1ZWFjZDNkOTc4ZmQ1MzA0Y2E0NjMwNDMyZmYiLCJ1c2VySWQiOiIyOTExMDIwMDIifQ==</vt:lpwstr>
  </property>
</Properties>
</file>