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E7C35">
      <w:pPr>
        <w:pStyle w:val="2"/>
      </w:pPr>
    </w:p>
    <w:p w14:paraId="7236B494">
      <w:pPr>
        <w:pStyle w:val="2"/>
      </w:pPr>
    </w:p>
    <w:p w14:paraId="596E2863">
      <w:pPr>
        <w:pStyle w:val="2"/>
      </w:pPr>
    </w:p>
    <w:p w14:paraId="4BBD222B">
      <w:pPr>
        <w:pStyle w:val="2"/>
      </w:pPr>
    </w:p>
    <w:p w14:paraId="0C19E57C">
      <w:pPr>
        <w:pStyle w:val="2"/>
      </w:pPr>
    </w:p>
    <w:p w14:paraId="05FDF9C7">
      <w:pPr>
        <w:pStyle w:val="2"/>
      </w:pPr>
    </w:p>
    <w:p w14:paraId="44E7D982">
      <w:pPr>
        <w:pStyle w:val="2"/>
      </w:pPr>
    </w:p>
    <w:p w14:paraId="39DA54E6">
      <w:pPr>
        <w:pStyle w:val="2"/>
      </w:pPr>
    </w:p>
    <w:p w14:paraId="24867B3B">
      <w:pPr>
        <w:pStyle w:val="2"/>
      </w:pPr>
    </w:p>
    <w:p w14:paraId="3098D56F">
      <w:pPr>
        <w:pStyle w:val="2"/>
      </w:pPr>
    </w:p>
    <w:p w14:paraId="52F8C241">
      <w:pPr>
        <w:pStyle w:val="2"/>
      </w:pPr>
    </w:p>
    <w:p w14:paraId="5E02D5F0">
      <w:pPr>
        <w:pStyle w:val="2"/>
      </w:pPr>
    </w:p>
    <w:p w14:paraId="5F8E5338">
      <w:pPr>
        <w:pStyle w:val="2"/>
      </w:pPr>
    </w:p>
    <w:p w14:paraId="7DEF291A">
      <w:pPr>
        <w:pStyle w:val="2"/>
      </w:pPr>
    </w:p>
    <w:p w14:paraId="0F5D073D">
      <w:pPr>
        <w:pStyle w:val="2"/>
      </w:pPr>
    </w:p>
    <w:p w14:paraId="2CBA7E8D">
      <w:pPr>
        <w:pStyle w:val="2"/>
      </w:pPr>
    </w:p>
    <w:p w14:paraId="7B47AC76">
      <w:pPr>
        <w:pStyle w:val="2"/>
      </w:pPr>
    </w:p>
    <w:p w14:paraId="4D5E683C">
      <w:pPr>
        <w:pStyle w:val="2"/>
      </w:pPr>
    </w:p>
    <w:p w14:paraId="6D91049B">
      <w:pPr>
        <w:pStyle w:val="2"/>
      </w:pPr>
    </w:p>
    <w:p w14:paraId="4378DF6D">
      <w:pPr>
        <w:pStyle w:val="2"/>
      </w:pPr>
    </w:p>
    <w:p w14:paraId="719393F1">
      <w:pPr>
        <w:pStyle w:val="2"/>
      </w:pPr>
    </w:p>
    <w:p w14:paraId="0DCACA43">
      <w:pPr>
        <w:pStyle w:val="2"/>
      </w:pPr>
    </w:p>
    <w:p w14:paraId="1E8FBBD8">
      <w:pPr>
        <w:pStyle w:val="2"/>
      </w:pPr>
    </w:p>
    <w:p w14:paraId="7FA2C721">
      <w:pPr>
        <w:pStyle w:val="2"/>
      </w:pPr>
    </w:p>
    <w:p w14:paraId="3BAB083A">
      <w:pPr>
        <w:pStyle w:val="2"/>
      </w:pPr>
    </w:p>
    <w:p w14:paraId="6FB97A21">
      <w:pPr>
        <w:pStyle w:val="2"/>
      </w:pPr>
    </w:p>
    <w:p w14:paraId="310474CB">
      <w:pPr>
        <w:pStyle w:val="2"/>
      </w:pPr>
    </w:p>
    <w:p w14:paraId="45425317">
      <w:pPr>
        <w:pStyle w:val="2"/>
      </w:pPr>
    </w:p>
    <w:p w14:paraId="34E9563D">
      <w:pPr>
        <w:pStyle w:val="2"/>
      </w:pPr>
    </w:p>
    <w:p w14:paraId="2182633B">
      <w:pPr>
        <w:pStyle w:val="2"/>
      </w:pPr>
    </w:p>
    <w:p w14:paraId="0A682FDB">
      <w:pPr>
        <w:pStyle w:val="2"/>
      </w:pPr>
    </w:p>
    <w:p w14:paraId="1A5B85E4">
      <w:pPr>
        <w:pStyle w:val="2"/>
        <w:rPr>
          <w:rFonts w:hint="eastAsia" w:eastAsia="宋体"/>
          <w:lang w:eastAsia="zh-CN"/>
        </w:rPr>
      </w:pPr>
      <w:bookmarkStart w:id="48" w:name="_GoBack"/>
      <w:r>
        <w:rPr>
          <w:rFonts w:hint="eastAsia" w:eastAsia="宋体"/>
          <w:lang w:eastAsia="zh-CN"/>
        </w:rPr>
        <w:drawing>
          <wp:inline distT="0" distB="0" distL="114300" distR="114300">
            <wp:extent cx="3853815" cy="1913890"/>
            <wp:effectExtent l="0" t="0" r="1905" b="6350"/>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10"/>
                    <a:stretch>
                      <a:fillRect/>
                    </a:stretch>
                  </pic:blipFill>
                  <pic:spPr>
                    <a:xfrm>
                      <a:off x="0" y="0"/>
                      <a:ext cx="3853815" cy="1913890"/>
                    </a:xfrm>
                    <a:prstGeom prst="rect">
                      <a:avLst/>
                    </a:prstGeom>
                  </pic:spPr>
                </pic:pic>
              </a:graphicData>
            </a:graphic>
          </wp:inline>
        </w:drawing>
      </w:r>
      <w:bookmarkEnd w:id="48"/>
    </w:p>
    <w:p w14:paraId="5578DE62">
      <w:pPr>
        <w:pStyle w:val="2"/>
      </w:pPr>
    </w:p>
    <w:p w14:paraId="5B5D0C7B">
      <w:pPr>
        <w:pStyle w:val="2"/>
      </w:pPr>
    </w:p>
    <w:p w14:paraId="0FBBB837">
      <w:pPr>
        <w:pStyle w:val="2"/>
      </w:pPr>
    </w:p>
    <w:p w14:paraId="0F2B67AA">
      <w:pPr>
        <w:pStyle w:val="2"/>
      </w:pPr>
    </w:p>
    <w:p w14:paraId="6D5EC12B">
      <w:pPr>
        <w:pStyle w:val="2"/>
      </w:pPr>
    </w:p>
    <w:p w14:paraId="1AF06B2C">
      <w:pPr>
        <w:pStyle w:val="2"/>
      </w:pPr>
    </w:p>
    <w:p w14:paraId="4F8E5B9E">
      <w:pPr>
        <w:pStyle w:val="2"/>
      </w:pPr>
    </w:p>
    <w:p w14:paraId="011E713D">
      <w:pPr>
        <w:pStyle w:val="2"/>
      </w:pPr>
    </w:p>
    <w:p w14:paraId="6701F5E1">
      <w:pPr>
        <w:pStyle w:val="2"/>
      </w:pPr>
    </w:p>
    <w:p w14:paraId="3904CD6B">
      <w:pPr>
        <w:pStyle w:val="2"/>
        <w:spacing w:line="241" w:lineRule="auto"/>
      </w:pPr>
    </w:p>
    <w:p w14:paraId="19C6A5A1">
      <w:pPr>
        <w:pStyle w:val="2"/>
        <w:spacing w:line="241" w:lineRule="auto"/>
      </w:pPr>
    </w:p>
    <w:p w14:paraId="4B7EF6E8">
      <w:pPr>
        <w:pStyle w:val="2"/>
        <w:spacing w:line="241" w:lineRule="auto"/>
      </w:pPr>
    </w:p>
    <w:p w14:paraId="725FD92C">
      <w:pPr>
        <w:pStyle w:val="2"/>
        <w:spacing w:line="241" w:lineRule="auto"/>
      </w:pPr>
    </w:p>
    <w:p w14:paraId="21512E1F">
      <w:pPr>
        <w:pStyle w:val="2"/>
        <w:spacing w:line="241" w:lineRule="auto"/>
      </w:pPr>
    </w:p>
    <w:p w14:paraId="5EB07023">
      <w:pPr>
        <w:pStyle w:val="2"/>
        <w:spacing w:line="241" w:lineRule="auto"/>
      </w:pPr>
    </w:p>
    <w:p w14:paraId="05E93FDA">
      <w:pPr>
        <w:pStyle w:val="2"/>
        <w:spacing w:line="241" w:lineRule="auto"/>
      </w:pPr>
    </w:p>
    <w:p w14:paraId="38A581BE">
      <w:pPr>
        <w:pStyle w:val="2"/>
        <w:spacing w:line="241" w:lineRule="auto"/>
      </w:pPr>
    </w:p>
    <w:p w14:paraId="794A04D1">
      <w:pPr>
        <w:pStyle w:val="2"/>
        <w:spacing w:line="241" w:lineRule="auto"/>
      </w:pPr>
    </w:p>
    <w:p w14:paraId="434D76D8">
      <w:pPr>
        <w:pStyle w:val="2"/>
        <w:spacing w:line="241" w:lineRule="auto"/>
      </w:pPr>
    </w:p>
    <w:p w14:paraId="3B3EE14A">
      <w:pPr>
        <w:pStyle w:val="2"/>
        <w:spacing w:line="241" w:lineRule="auto"/>
      </w:pPr>
    </w:p>
    <w:p w14:paraId="4EC63826">
      <w:pPr>
        <w:pStyle w:val="2"/>
        <w:spacing w:line="241" w:lineRule="auto"/>
      </w:pPr>
    </w:p>
    <w:p w14:paraId="68D3CBA8">
      <w:pPr>
        <w:pStyle w:val="2"/>
        <w:spacing w:line="241" w:lineRule="auto"/>
      </w:pPr>
    </w:p>
    <w:p w14:paraId="1EF8A29D">
      <w:pPr>
        <w:pStyle w:val="2"/>
        <w:spacing w:line="241" w:lineRule="auto"/>
      </w:pPr>
    </w:p>
    <w:p w14:paraId="0601939B">
      <w:pPr>
        <w:pStyle w:val="2"/>
        <w:spacing w:line="241" w:lineRule="auto"/>
      </w:pPr>
    </w:p>
    <w:p w14:paraId="7B0B7251">
      <w:pPr>
        <w:pStyle w:val="2"/>
        <w:spacing w:line="241" w:lineRule="auto"/>
      </w:pPr>
    </w:p>
    <w:p w14:paraId="173B327A">
      <w:pPr>
        <w:pStyle w:val="2"/>
        <w:spacing w:line="241" w:lineRule="auto"/>
      </w:pPr>
    </w:p>
    <w:p w14:paraId="3166A832">
      <w:pPr>
        <w:pStyle w:val="2"/>
        <w:spacing w:line="241" w:lineRule="auto"/>
      </w:pPr>
    </w:p>
    <w:p w14:paraId="191AD322">
      <w:pPr>
        <w:pStyle w:val="2"/>
        <w:spacing w:line="241" w:lineRule="auto"/>
      </w:pPr>
    </w:p>
    <w:p w14:paraId="7EA14C83">
      <w:pPr>
        <w:pStyle w:val="2"/>
        <w:spacing w:line="241" w:lineRule="auto"/>
      </w:pPr>
    </w:p>
    <w:p w14:paraId="740ECCBA">
      <w:pPr>
        <w:pStyle w:val="2"/>
        <w:spacing w:line="241" w:lineRule="auto"/>
      </w:pPr>
    </w:p>
    <w:p w14:paraId="47D42C93">
      <w:pPr>
        <w:spacing w:before="78" w:line="214" w:lineRule="auto"/>
        <w:ind w:left="6516"/>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0A226FED">
      <w:pPr>
        <w:spacing w:line="214" w:lineRule="auto"/>
        <w:rPr>
          <w:rFonts w:ascii="宋体" w:hAnsi="宋体" w:eastAsia="宋体" w:cs="宋体"/>
          <w:sz w:val="24"/>
          <w:szCs w:val="24"/>
        </w:rPr>
        <w:sectPr>
          <w:headerReference r:id="rId5" w:type="default"/>
          <w:pgSz w:w="11906" w:h="16158"/>
          <w:pgMar w:top="400" w:right="0" w:bottom="0" w:left="841" w:header="0" w:footer="0" w:gutter="0"/>
          <w:cols w:space="720" w:num="1"/>
        </w:sectPr>
      </w:pPr>
    </w:p>
    <w:p w14:paraId="33E913FD">
      <w:pPr>
        <w:pStyle w:val="2"/>
        <w:spacing w:line="349" w:lineRule="auto"/>
      </w:pPr>
    </w:p>
    <w:p w14:paraId="5DF345F4">
      <w:pPr>
        <w:pStyle w:val="2"/>
        <w:spacing w:line="350" w:lineRule="auto"/>
      </w:pPr>
    </w:p>
    <w:p w14:paraId="511B568B">
      <w:pPr>
        <w:spacing w:before="80" w:line="182" w:lineRule="auto"/>
        <w:rPr>
          <w:rFonts w:ascii="Segoe UI" w:hAnsi="Segoe UI" w:eastAsia="Segoe UI" w:cs="Segoe UI"/>
          <w:sz w:val="24"/>
          <w:szCs w:val="24"/>
        </w:rPr>
      </w:pPr>
      <w:r>
        <w:rPr>
          <w:rFonts w:ascii="Segoe UI" w:hAnsi="Segoe UI" w:eastAsia="Segoe UI" w:cs="Segoe UI"/>
          <w:b/>
          <w:bCs/>
          <w:color w:val="648676"/>
          <w:spacing w:val="21"/>
          <w:w w:val="115"/>
          <w:sz w:val="24"/>
          <w:szCs w:val="24"/>
        </w:rPr>
        <w:t>PREFACE</w:t>
      </w:r>
    </w:p>
    <w:p w14:paraId="465B7960">
      <w:pPr>
        <w:pStyle w:val="2"/>
        <w:spacing w:line="269" w:lineRule="auto"/>
      </w:pPr>
    </w:p>
    <w:p w14:paraId="4CB3B57F">
      <w:pPr>
        <w:pStyle w:val="2"/>
        <w:spacing w:line="269" w:lineRule="auto"/>
      </w:pPr>
    </w:p>
    <w:p w14:paraId="5C0F3CB0">
      <w:pPr>
        <w:pStyle w:val="2"/>
        <w:spacing w:line="269" w:lineRule="auto"/>
      </w:pPr>
    </w:p>
    <w:p w14:paraId="2A3D4535">
      <w:pPr>
        <w:pStyle w:val="2"/>
        <w:spacing w:line="270" w:lineRule="auto"/>
      </w:pPr>
    </w:p>
    <w:p w14:paraId="46382361">
      <w:pPr>
        <w:spacing w:before="223" w:line="178" w:lineRule="auto"/>
        <w:ind w:left="281"/>
        <w:rPr>
          <w:rFonts w:ascii="微软雅黑" w:hAnsi="微软雅黑" w:eastAsia="微软雅黑" w:cs="微软雅黑"/>
          <w:sz w:val="52"/>
          <w:szCs w:val="52"/>
        </w:rPr>
      </w:pPr>
      <w:r>
        <w:rPr>
          <w:rFonts w:ascii="微软雅黑" w:hAnsi="微软雅黑" w:eastAsia="微软雅黑" w:cs="微软雅黑"/>
          <w:color w:val="648676"/>
          <w:spacing w:val="-4"/>
          <w:sz w:val="52"/>
          <w:szCs w:val="52"/>
        </w:rPr>
        <w:t>前言</w:t>
      </w:r>
    </w:p>
    <w:p w14:paraId="03E964D8">
      <w:pPr>
        <w:pStyle w:val="2"/>
        <w:spacing w:line="264" w:lineRule="auto"/>
      </w:pPr>
    </w:p>
    <w:p w14:paraId="105B7020">
      <w:pPr>
        <w:pStyle w:val="2"/>
        <w:spacing w:line="264" w:lineRule="auto"/>
      </w:pPr>
    </w:p>
    <w:p w14:paraId="00276DB7">
      <w:pPr>
        <w:pStyle w:val="2"/>
        <w:spacing w:line="265" w:lineRule="auto"/>
      </w:pPr>
    </w:p>
    <w:p w14:paraId="152AC818">
      <w:pPr>
        <w:pStyle w:val="2"/>
        <w:spacing w:line="265" w:lineRule="auto"/>
      </w:pPr>
    </w:p>
    <w:p w14:paraId="07FDD0AC">
      <w:pPr>
        <w:spacing w:before="95" w:line="289" w:lineRule="auto"/>
        <w:ind w:left="272" w:right="90" w:firstLine="489"/>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党的十九届四中全会首次将“数据”增列为一种生产要素，要求建立健全由市场评价贡献、</w:t>
      </w:r>
      <w:r>
        <w:rPr>
          <w:rFonts w:ascii="微软雅黑" w:hAnsi="微软雅黑" w:eastAsia="微软雅黑" w:cs="微软雅黑"/>
          <w:color w:val="231F20"/>
          <w:spacing w:val="12"/>
          <w:sz w:val="22"/>
          <w:szCs w:val="22"/>
        </w:rPr>
        <w:t xml:space="preserve"> </w:t>
      </w:r>
      <w:r>
        <w:rPr>
          <w:rFonts w:ascii="微软雅黑" w:hAnsi="微软雅黑" w:eastAsia="微软雅黑" w:cs="微软雅黑"/>
          <w:color w:val="231F20"/>
          <w:spacing w:val="4"/>
          <w:sz w:val="22"/>
          <w:szCs w:val="22"/>
        </w:rPr>
        <w:t>按贡献决定报酬的机制，标志着以数据为关键要素的数字经济进入新时代。数</w:t>
      </w:r>
      <w:r>
        <w:rPr>
          <w:rFonts w:ascii="微软雅黑" w:hAnsi="微软雅黑" w:eastAsia="微软雅黑" w:cs="微软雅黑"/>
          <w:color w:val="231F20"/>
          <w:spacing w:val="3"/>
          <w:sz w:val="22"/>
          <w:szCs w:val="22"/>
        </w:rPr>
        <w:t>据要素所引发的生</w:t>
      </w:r>
      <w:r>
        <w:rPr>
          <w:rFonts w:ascii="微软雅黑" w:hAnsi="微软雅黑" w:eastAsia="微软雅黑" w:cs="微软雅黑"/>
          <w:color w:val="231F20"/>
          <w:sz w:val="22"/>
          <w:szCs w:val="22"/>
        </w:rPr>
        <w:t xml:space="preserve"> 产要素变革，正在重塑着我们的需求、生产、</w:t>
      </w:r>
      <w:r>
        <w:rPr>
          <w:rFonts w:ascii="微软雅黑" w:hAnsi="微软雅黑" w:eastAsia="微软雅黑" w:cs="微软雅黑"/>
          <w:color w:val="231F20"/>
          <w:spacing w:val="-1"/>
          <w:sz w:val="22"/>
          <w:szCs w:val="22"/>
        </w:rPr>
        <w:t>供应和消费，改变着社会的组织运行方式。</w:t>
      </w:r>
    </w:p>
    <w:p w14:paraId="758F8547">
      <w:pPr>
        <w:pStyle w:val="2"/>
        <w:spacing w:line="378" w:lineRule="auto"/>
      </w:pPr>
    </w:p>
    <w:p w14:paraId="16ABEDFD">
      <w:pPr>
        <w:spacing w:before="94" w:line="290" w:lineRule="auto"/>
        <w:ind w:left="272" w:right="16" w:firstLine="493"/>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良好的数据资产管理是释放数据要素价值的基础。数据资</w:t>
      </w:r>
      <w:r>
        <w:rPr>
          <w:rFonts w:ascii="微软雅黑" w:hAnsi="微软雅黑" w:eastAsia="微软雅黑" w:cs="微软雅黑"/>
          <w:color w:val="231F20"/>
          <w:spacing w:val="2"/>
          <w:sz w:val="22"/>
          <w:szCs w:val="22"/>
        </w:rPr>
        <w:t>产管理包含数据资源化、数据资产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化两个过程，通过数据资源化构建全面有效的、切合实际的数据资产管理</w:t>
      </w:r>
      <w:r>
        <w:rPr>
          <w:rFonts w:ascii="微软雅黑" w:hAnsi="微软雅黑" w:eastAsia="微软雅黑" w:cs="微软雅黑"/>
          <w:color w:val="231F20"/>
          <w:spacing w:val="3"/>
          <w:sz w:val="22"/>
          <w:szCs w:val="22"/>
        </w:rPr>
        <w:t>体系，提升数据质量，</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5"/>
          <w:sz w:val="22"/>
          <w:szCs w:val="22"/>
        </w:rPr>
        <w:t>保障数据安全；通过数据资产化，丰富数据资产应用场景，建立数据资产生态，持续运营数据资产，</w:t>
      </w:r>
      <w:r>
        <w:rPr>
          <w:rFonts w:ascii="微软雅黑" w:hAnsi="微软雅黑" w:eastAsia="微软雅黑" w:cs="微软雅黑"/>
          <w:color w:val="231F20"/>
          <w:spacing w:val="13"/>
          <w:sz w:val="22"/>
          <w:szCs w:val="22"/>
        </w:rPr>
        <w:t xml:space="preserve"> </w:t>
      </w:r>
      <w:r>
        <w:rPr>
          <w:rFonts w:ascii="微软雅黑" w:hAnsi="微软雅黑" w:eastAsia="微软雅黑" w:cs="微软雅黑"/>
          <w:color w:val="231F20"/>
          <w:spacing w:val="-1"/>
          <w:sz w:val="22"/>
          <w:szCs w:val="22"/>
        </w:rPr>
        <w:t>显性数据资产的业务价值、经济价值和社会价值。</w:t>
      </w:r>
    </w:p>
    <w:p w14:paraId="33BFBBC6">
      <w:pPr>
        <w:pStyle w:val="2"/>
        <w:spacing w:line="392" w:lineRule="auto"/>
      </w:pPr>
    </w:p>
    <w:p w14:paraId="3A99FE0E">
      <w:pPr>
        <w:spacing w:before="94" w:line="293" w:lineRule="auto"/>
        <w:ind w:left="272" w:firstLine="481"/>
        <w:jc w:val="both"/>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经过多年发展，我国数据资产管理逐步进入深</w:t>
      </w:r>
      <w:r>
        <w:rPr>
          <w:rFonts w:ascii="微软雅黑" w:hAnsi="微软雅黑" w:eastAsia="微软雅黑" w:cs="微软雅黑"/>
          <w:color w:val="231F20"/>
          <w:spacing w:val="-6"/>
          <w:sz w:val="22"/>
          <w:szCs w:val="22"/>
        </w:rPr>
        <w:t>化落地时期。政府部门、金融机构、通信运营商、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互联网企业等纷纷提出数字化转型路线，提出了数据资产管理框架，</w:t>
      </w:r>
      <w:r>
        <w:rPr>
          <w:rFonts w:ascii="微软雅黑" w:hAnsi="微软雅黑" w:eastAsia="微软雅黑" w:cs="微软雅黑"/>
          <w:color w:val="231F20"/>
          <w:spacing w:val="3"/>
          <w:sz w:val="22"/>
          <w:szCs w:val="22"/>
        </w:rPr>
        <w:t>在数据资源化方面积累了实</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践经验，探索开展数据流通、价值评估、资产运营等数据资产化工作。</w:t>
      </w:r>
    </w:p>
    <w:p w14:paraId="3C375E15">
      <w:pPr>
        <w:pStyle w:val="2"/>
        <w:spacing w:line="351" w:lineRule="auto"/>
      </w:pPr>
    </w:p>
    <w:p w14:paraId="3B14914A">
      <w:pPr>
        <w:spacing w:before="94" w:line="290" w:lineRule="auto"/>
        <w:ind w:left="273" w:right="85" w:firstLine="452"/>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《数据资产管理实践白皮书》（5.0）是大数据技术标准推进委员会、中国信通院云计算与大</w:t>
      </w:r>
      <w:r>
        <w:rPr>
          <w:rFonts w:ascii="微软雅黑" w:hAnsi="微软雅黑" w:eastAsia="微软雅黑" w:cs="微软雅黑"/>
          <w:color w:val="231F20"/>
          <w:spacing w:val="9"/>
          <w:sz w:val="22"/>
          <w:szCs w:val="22"/>
        </w:rPr>
        <w:t xml:space="preserve"> </w:t>
      </w:r>
      <w:r>
        <w:rPr>
          <w:rFonts w:ascii="微软雅黑" w:hAnsi="微软雅黑" w:eastAsia="微软雅黑" w:cs="微软雅黑"/>
          <w:color w:val="231F20"/>
          <w:spacing w:val="-3"/>
          <w:sz w:val="22"/>
          <w:szCs w:val="22"/>
        </w:rPr>
        <w:t>数据研究所自 2017 年以来发布的第</w:t>
      </w:r>
      <w:r>
        <w:rPr>
          <w:rFonts w:ascii="微软雅黑" w:hAnsi="微软雅黑" w:eastAsia="微软雅黑" w:cs="微软雅黑"/>
          <w:color w:val="231F20"/>
          <w:spacing w:val="-4"/>
          <w:sz w:val="22"/>
          <w:szCs w:val="22"/>
        </w:rPr>
        <w:t>五版白皮书。基于多年理论研究和案例分析，  本白皮书将以政</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府机构和企事业单位作为研究主体（侧重企业</w:t>
      </w:r>
      <w:r>
        <w:rPr>
          <w:rFonts w:ascii="微软雅黑" w:hAnsi="微软雅黑" w:eastAsia="微软雅黑" w:cs="微软雅黑"/>
          <w:color w:val="231F20"/>
          <w:sz w:val="22"/>
          <w:szCs w:val="22"/>
        </w:rPr>
        <w:t>）</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z w:val="22"/>
          <w:szCs w:val="22"/>
        </w:rPr>
        <w:t>，</w:t>
      </w:r>
      <w:r>
        <w:rPr>
          <w:rFonts w:ascii="微软雅黑" w:hAnsi="微软雅黑" w:eastAsia="微软雅黑" w:cs="微软雅黑"/>
          <w:color w:val="231F20"/>
          <w:spacing w:val="3"/>
          <w:sz w:val="22"/>
          <w:szCs w:val="22"/>
        </w:rPr>
        <w:t>以数据资产赋能业</w:t>
      </w:r>
      <w:r>
        <w:rPr>
          <w:rFonts w:ascii="微软雅黑" w:hAnsi="微软雅黑" w:eastAsia="微软雅黑" w:cs="微软雅黑"/>
          <w:color w:val="231F20"/>
          <w:spacing w:val="2"/>
          <w:sz w:val="22"/>
          <w:szCs w:val="22"/>
        </w:rPr>
        <w:t>务发展作为核心逻辑，阐述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5"/>
          <w:sz w:val="22"/>
          <w:szCs w:val="22"/>
        </w:rPr>
        <w:t>数据资产管理的概念内涵、演进历程、发展现状，  重点讨论数据资产管理的活动职能、保障措施、</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pacing w:val="-1"/>
          <w:sz w:val="22"/>
          <w:szCs w:val="22"/>
        </w:rPr>
        <w:t>实践步骤等，并对数据资产管理进行总结与展望。</w:t>
      </w:r>
    </w:p>
    <w:p w14:paraId="24899724">
      <w:pPr>
        <w:pStyle w:val="2"/>
        <w:spacing w:line="242" w:lineRule="auto"/>
      </w:pPr>
    </w:p>
    <w:p w14:paraId="5B2315C6">
      <w:pPr>
        <w:pStyle w:val="2"/>
        <w:spacing w:line="243" w:lineRule="auto"/>
      </w:pPr>
    </w:p>
    <w:p w14:paraId="123CD72F">
      <w:pPr>
        <w:pStyle w:val="2"/>
        <w:spacing w:line="243" w:lineRule="auto"/>
      </w:pPr>
    </w:p>
    <w:p w14:paraId="3F6E5658">
      <w:pPr>
        <w:pStyle w:val="2"/>
        <w:spacing w:line="243" w:lineRule="auto"/>
      </w:pPr>
    </w:p>
    <w:p w14:paraId="4156A400">
      <w:pPr>
        <w:pStyle w:val="2"/>
        <w:spacing w:line="243" w:lineRule="auto"/>
      </w:pPr>
    </w:p>
    <w:p w14:paraId="37B6B370">
      <w:pPr>
        <w:pStyle w:val="2"/>
        <w:spacing w:line="243" w:lineRule="auto"/>
      </w:pPr>
    </w:p>
    <w:p w14:paraId="095A0EA3">
      <w:pPr>
        <w:pStyle w:val="2"/>
        <w:spacing w:line="243" w:lineRule="auto"/>
      </w:pPr>
    </w:p>
    <w:p w14:paraId="45540419">
      <w:pPr>
        <w:pStyle w:val="2"/>
        <w:spacing w:line="243" w:lineRule="auto"/>
      </w:pPr>
    </w:p>
    <w:p w14:paraId="2AC2D022">
      <w:pPr>
        <w:pStyle w:val="2"/>
        <w:spacing w:line="243" w:lineRule="auto"/>
      </w:pPr>
    </w:p>
    <w:p w14:paraId="09F5E6D6">
      <w:pPr>
        <w:pStyle w:val="2"/>
        <w:spacing w:line="243" w:lineRule="auto"/>
      </w:pPr>
    </w:p>
    <w:p w14:paraId="1B450CF7">
      <w:pPr>
        <w:spacing w:before="86" w:line="219" w:lineRule="auto"/>
        <w:ind w:left="4943"/>
        <w:rPr>
          <w:rFonts w:ascii="微软雅黑" w:hAnsi="微软雅黑" w:eastAsia="微软雅黑" w:cs="微软雅黑"/>
          <w:sz w:val="20"/>
          <w:szCs w:val="20"/>
        </w:rPr>
      </w:pPr>
      <w:r>
        <w:pict>
          <v:shape id="_x0000_s1026" o:spid="_x0000_s1026" o:spt="202" type="#_x0000_t202" style="position:absolute;left:0pt;margin-left:275.9pt;margin-top:9.5pt;height:15.95pt;width:199.4pt;z-index:251660288;mso-width-relative:page;mso-height-relative:page;" filled="f" stroked="f" coordsize="21600,21600">
            <v:path/>
            <v:fill on="f" focussize="0,0"/>
            <v:stroke on="f"/>
            <v:imagedata o:title=""/>
            <o:lock v:ext="edit" aspectratio="f"/>
            <v:textbox inset="0mm,0mm,0mm,0mm">
              <w:txbxContent>
                <w:p w14:paraId="2B42A8F8">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rFonts w:ascii="微软雅黑" w:hAnsi="微软雅黑" w:eastAsia="微软雅黑" w:cs="微软雅黑"/>
          <w:color w:val="231F20"/>
          <w:sz w:val="20"/>
          <w:szCs w:val="20"/>
        </w:rPr>
        <w:t>Ⅰ</w:t>
      </w:r>
    </w:p>
    <w:p w14:paraId="0CB7ED88">
      <w:pPr>
        <w:spacing w:line="219" w:lineRule="auto"/>
        <w:rPr>
          <w:rFonts w:ascii="微软雅黑" w:hAnsi="微软雅黑" w:eastAsia="微软雅黑" w:cs="微软雅黑"/>
          <w:sz w:val="20"/>
          <w:szCs w:val="20"/>
        </w:rPr>
        <w:sectPr>
          <w:headerReference r:id="rId6" w:type="default"/>
          <w:pgSz w:w="11906" w:h="16158"/>
          <w:pgMar w:top="400" w:right="1162" w:bottom="0" w:left="979" w:header="0" w:footer="0" w:gutter="0"/>
          <w:cols w:space="720" w:num="1"/>
        </w:sectPr>
      </w:pPr>
    </w:p>
    <w:p w14:paraId="5B40DF82">
      <w:pPr>
        <w:pStyle w:val="2"/>
        <w:spacing w:line="349" w:lineRule="auto"/>
      </w:pPr>
    </w:p>
    <w:p w14:paraId="62C76A93">
      <w:pPr>
        <w:pStyle w:val="2"/>
        <w:spacing w:line="350" w:lineRule="auto"/>
      </w:pPr>
    </w:p>
    <w:p w14:paraId="63787F82">
      <w:pPr>
        <w:spacing w:before="80" w:line="182" w:lineRule="auto"/>
        <w:outlineLvl w:val="0"/>
        <w:rPr>
          <w:rFonts w:ascii="Segoe UI" w:hAnsi="Segoe UI" w:eastAsia="Segoe UI" w:cs="Segoe UI"/>
          <w:sz w:val="24"/>
          <w:szCs w:val="24"/>
        </w:rPr>
      </w:pPr>
      <w:r>
        <w:rPr>
          <w:rFonts w:ascii="Segoe UI" w:hAnsi="Segoe UI" w:eastAsia="Segoe UI" w:cs="Segoe UI"/>
          <w:b/>
          <w:bCs/>
          <w:color w:val="648676"/>
          <w:spacing w:val="36"/>
          <w:sz w:val="24"/>
          <w:szCs w:val="24"/>
        </w:rPr>
        <w:t>CATALOGUE</w:t>
      </w:r>
    </w:p>
    <w:p w14:paraId="14FC6123">
      <w:pPr>
        <w:pStyle w:val="2"/>
        <w:spacing w:before="11" w:line="249" w:lineRule="exact"/>
        <w:ind w:left="259"/>
        <w:rPr>
          <w:sz w:val="20"/>
          <w:szCs w:val="20"/>
        </w:rPr>
      </w:pPr>
      <w:r>
        <w:rPr>
          <w:color w:val="648676"/>
          <w:spacing w:val="7"/>
          <w:position w:val="2"/>
          <w:sz w:val="20"/>
          <w:szCs w:val="20"/>
        </w:rPr>
        <w:t>Figure catalog &amp; Table catalog</w:t>
      </w:r>
    </w:p>
    <w:p w14:paraId="57D53B68">
      <w:pPr>
        <w:spacing w:before="73"/>
      </w:pPr>
    </w:p>
    <w:p w14:paraId="78F75895">
      <w:pPr>
        <w:spacing w:before="73"/>
      </w:pPr>
    </w:p>
    <w:p w14:paraId="64991FA8">
      <w:pPr>
        <w:spacing w:before="73"/>
      </w:pPr>
    </w:p>
    <w:p w14:paraId="1739914B">
      <w:pPr>
        <w:sectPr>
          <w:footerReference r:id="rId7" w:type="default"/>
          <w:pgSz w:w="11906" w:h="16158"/>
          <w:pgMar w:top="400" w:right="1258" w:bottom="790" w:left="1004" w:header="0" w:footer="539" w:gutter="0"/>
          <w:cols w:equalWidth="0" w:num="1">
            <w:col w:w="9643"/>
          </w:cols>
        </w:sectPr>
      </w:pPr>
    </w:p>
    <w:p w14:paraId="0677FF94">
      <w:pPr>
        <w:spacing w:before="122" w:line="175" w:lineRule="auto"/>
        <w:ind w:left="297"/>
        <w:rPr>
          <w:rFonts w:ascii="微软雅黑" w:hAnsi="微软雅黑" w:eastAsia="微软雅黑" w:cs="微软雅黑"/>
          <w:sz w:val="52"/>
          <w:szCs w:val="52"/>
        </w:rPr>
      </w:pPr>
      <w:r>
        <w:rPr>
          <w:rFonts w:ascii="微软雅黑" w:hAnsi="微软雅黑" w:eastAsia="微软雅黑" w:cs="微软雅黑"/>
          <w:color w:val="648676"/>
          <w:spacing w:val="-28"/>
          <w:sz w:val="52"/>
          <w:szCs w:val="52"/>
          <w:u w:val="single" w:color="auto"/>
        </w:rPr>
        <w:t>目录</w:t>
      </w:r>
      <w:r>
        <w:rPr>
          <w:rFonts w:ascii="微软雅黑" w:hAnsi="微软雅黑" w:eastAsia="微软雅黑" w:cs="微软雅黑"/>
          <w:color w:val="648676"/>
          <w:sz w:val="52"/>
          <w:szCs w:val="52"/>
          <w:u w:val="single" w:color="auto"/>
        </w:rPr>
        <w:t xml:space="preserve">   </w:t>
      </w:r>
    </w:p>
    <w:p w14:paraId="5C4FF03F">
      <w:pPr>
        <w:pStyle w:val="2"/>
        <w:spacing w:line="14" w:lineRule="auto"/>
        <w:rPr>
          <w:sz w:val="2"/>
        </w:rPr>
      </w:pPr>
      <w:r>
        <w:rPr>
          <w:sz w:val="2"/>
          <w:szCs w:val="2"/>
        </w:rPr>
        <w:br w:type="column"/>
      </w:r>
    </w:p>
    <w:p w14:paraId="199D7295">
      <w:pPr>
        <w:spacing w:before="93" w:line="178" w:lineRule="auto"/>
        <w:outlineLvl w:val="0"/>
        <w:rPr>
          <w:rFonts w:ascii="微软雅黑" w:hAnsi="微软雅黑" w:eastAsia="微软雅黑" w:cs="微软雅黑"/>
          <w:sz w:val="18"/>
          <w:szCs w:val="18"/>
        </w:rPr>
      </w:pPr>
      <w:r>
        <w:rPr>
          <w:rFonts w:ascii="微软雅黑" w:hAnsi="微软雅黑" w:eastAsia="微软雅黑" w:cs="微软雅黑"/>
          <w:color w:val="648676"/>
          <w:spacing w:val="-1"/>
          <w:sz w:val="18"/>
          <w:szCs w:val="18"/>
        </w:rPr>
        <w:t>一、数据资产管理概述</w:t>
      </w:r>
    </w:p>
    <w:p w14:paraId="059F711B">
      <w:pPr>
        <w:spacing w:before="51"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2"/>
          <w:sz w:val="18"/>
          <w:szCs w:val="18"/>
        </w:rPr>
        <w:t>(一) 数据资产管理推动数据要素市场发展</w:t>
      </w:r>
    </w:p>
    <w:p w14:paraId="1E48F453">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2"/>
          <w:sz w:val="18"/>
          <w:szCs w:val="18"/>
        </w:rPr>
        <w:t>(二) 数据资产管理助力企业数字化转型</w:t>
      </w:r>
    </w:p>
    <w:p w14:paraId="309B7E85">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2"/>
          <w:sz w:val="18"/>
          <w:szCs w:val="18"/>
        </w:rPr>
        <w:t>(三) 数据资产管理的概念与内涵</w:t>
      </w:r>
    </w:p>
    <w:p w14:paraId="6D1F5FF9">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3"/>
          <w:sz w:val="18"/>
          <w:szCs w:val="18"/>
        </w:rPr>
        <w:t>(四) 数据资产管理演进</w:t>
      </w:r>
    </w:p>
    <w:p w14:paraId="5C7EF58F">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3"/>
          <w:sz w:val="18"/>
          <w:szCs w:val="18"/>
        </w:rPr>
        <w:t>(五) 数据资产管理难点</w:t>
      </w:r>
    </w:p>
    <w:p w14:paraId="0EF86A69">
      <w:pPr>
        <w:pStyle w:val="2"/>
        <w:spacing w:line="247" w:lineRule="auto"/>
      </w:pPr>
    </w:p>
    <w:p w14:paraId="19DDEC8E">
      <w:pPr>
        <w:spacing w:before="78" w:line="178" w:lineRule="auto"/>
        <w:ind w:left="4"/>
        <w:rPr>
          <w:rFonts w:ascii="微软雅黑" w:hAnsi="微软雅黑" w:eastAsia="微软雅黑" w:cs="微软雅黑"/>
          <w:sz w:val="18"/>
          <w:szCs w:val="18"/>
        </w:rPr>
      </w:pPr>
      <w:r>
        <w:rPr>
          <w:rFonts w:ascii="微软雅黑" w:hAnsi="微软雅黑" w:eastAsia="微软雅黑" w:cs="微软雅黑"/>
          <w:color w:val="648676"/>
          <w:spacing w:val="-1"/>
          <w:sz w:val="18"/>
          <w:szCs w:val="18"/>
        </w:rPr>
        <w:t>二、数据资产管理活动职能</w:t>
      </w:r>
    </w:p>
    <w:p w14:paraId="58870C2E">
      <w:pPr>
        <w:spacing w:before="51"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4"/>
          <w:sz w:val="18"/>
          <w:szCs w:val="18"/>
        </w:rPr>
        <w:t>(一) 数据模型管理</w:t>
      </w:r>
    </w:p>
    <w:p w14:paraId="4B697D8E">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4"/>
          <w:sz w:val="18"/>
          <w:szCs w:val="18"/>
        </w:rPr>
        <w:t>(二) 数据标准管理</w:t>
      </w:r>
    </w:p>
    <w:p w14:paraId="59466527">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4"/>
          <w:sz w:val="18"/>
          <w:szCs w:val="18"/>
        </w:rPr>
        <w:t>(三) 数据质量管理</w:t>
      </w:r>
    </w:p>
    <w:p w14:paraId="4F929748">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4"/>
          <w:sz w:val="18"/>
          <w:szCs w:val="18"/>
        </w:rPr>
        <w:t>(四) 主数据管理</w:t>
      </w:r>
    </w:p>
    <w:p w14:paraId="39DD86B3">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4"/>
          <w:sz w:val="18"/>
          <w:szCs w:val="18"/>
        </w:rPr>
        <w:t>(五) 数据安全管理</w:t>
      </w:r>
    </w:p>
    <w:p w14:paraId="27D68C99">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4"/>
          <w:sz w:val="18"/>
          <w:szCs w:val="18"/>
        </w:rPr>
        <w:t>(六) 元数据管理</w:t>
      </w:r>
    </w:p>
    <w:p w14:paraId="18587C87">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4"/>
          <w:sz w:val="18"/>
          <w:szCs w:val="18"/>
        </w:rPr>
        <w:t>(七) 数据开发管理</w:t>
      </w:r>
    </w:p>
    <w:p w14:paraId="415DCF78">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4"/>
          <w:sz w:val="18"/>
          <w:szCs w:val="18"/>
        </w:rPr>
        <w:t>(八) 数据资产流通</w:t>
      </w:r>
    </w:p>
    <w:p w14:paraId="65337B67">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4"/>
          <w:sz w:val="18"/>
          <w:szCs w:val="18"/>
        </w:rPr>
        <w:t>(九) 数据价值评估</w:t>
      </w:r>
    </w:p>
    <w:p w14:paraId="0B5BE3CC">
      <w:pPr>
        <w:spacing w:before="36"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4"/>
          <w:sz w:val="18"/>
          <w:szCs w:val="18"/>
        </w:rPr>
        <w:t>(十) 数据资产运营</w:t>
      </w:r>
    </w:p>
    <w:p w14:paraId="254CD6D0">
      <w:pPr>
        <w:pStyle w:val="2"/>
        <w:spacing w:line="247" w:lineRule="auto"/>
      </w:pPr>
    </w:p>
    <w:p w14:paraId="76D04297">
      <w:pPr>
        <w:spacing w:before="78" w:line="178" w:lineRule="auto"/>
        <w:ind w:left="2"/>
        <w:rPr>
          <w:rFonts w:ascii="微软雅黑" w:hAnsi="微软雅黑" w:eastAsia="微软雅黑" w:cs="微软雅黑"/>
          <w:sz w:val="18"/>
          <w:szCs w:val="18"/>
        </w:rPr>
      </w:pPr>
      <w:r>
        <w:rPr>
          <w:rFonts w:ascii="微软雅黑" w:hAnsi="微软雅黑" w:eastAsia="微软雅黑" w:cs="微软雅黑"/>
          <w:color w:val="648676"/>
          <w:spacing w:val="-1"/>
          <w:sz w:val="18"/>
          <w:szCs w:val="18"/>
        </w:rPr>
        <w:t>三、数据资产管理保障措施</w:t>
      </w:r>
    </w:p>
    <w:p w14:paraId="52ABF739">
      <w:pPr>
        <w:spacing w:before="51"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2"/>
          <w:w w:val="97"/>
          <w:sz w:val="18"/>
          <w:szCs w:val="18"/>
        </w:rPr>
        <w:t>(一)</w:t>
      </w:r>
      <w:r>
        <w:rPr>
          <w:rFonts w:ascii="微软雅黑" w:hAnsi="微软雅黑" w:eastAsia="微软雅黑" w:cs="微软雅黑"/>
          <w:color w:val="231F20"/>
          <w:spacing w:val="15"/>
          <w:w w:val="101"/>
          <w:sz w:val="18"/>
          <w:szCs w:val="18"/>
        </w:rPr>
        <w:t xml:space="preserve"> </w:t>
      </w:r>
      <w:r>
        <w:rPr>
          <w:rFonts w:ascii="微软雅黑" w:hAnsi="微软雅黑" w:eastAsia="微软雅黑" w:cs="微软雅黑"/>
          <w:color w:val="231F20"/>
          <w:spacing w:val="-2"/>
          <w:w w:val="97"/>
          <w:sz w:val="18"/>
          <w:szCs w:val="18"/>
        </w:rPr>
        <w:t>战略管理</w:t>
      </w:r>
    </w:p>
    <w:p w14:paraId="54D579D0">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4"/>
          <w:sz w:val="18"/>
          <w:szCs w:val="18"/>
        </w:rPr>
        <w:t>(二) 组织架构</w:t>
      </w:r>
    </w:p>
    <w:p w14:paraId="75851DF4">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4"/>
          <w:sz w:val="18"/>
          <w:szCs w:val="18"/>
        </w:rPr>
        <w:t>(三) 制度体系</w:t>
      </w:r>
    </w:p>
    <w:p w14:paraId="246B624F">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4"/>
          <w:sz w:val="18"/>
          <w:szCs w:val="18"/>
        </w:rPr>
        <w:t>(四) 平台工具</w:t>
      </w:r>
    </w:p>
    <w:p w14:paraId="629D8CC1">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4"/>
          <w:sz w:val="18"/>
          <w:szCs w:val="18"/>
        </w:rPr>
        <w:t>(五) 长效机制</w:t>
      </w:r>
    </w:p>
    <w:p w14:paraId="3329F7CF">
      <w:pPr>
        <w:pStyle w:val="2"/>
        <w:spacing w:line="247" w:lineRule="auto"/>
      </w:pPr>
    </w:p>
    <w:p w14:paraId="18F83738">
      <w:pPr>
        <w:spacing w:before="78" w:line="178" w:lineRule="auto"/>
        <w:ind w:left="9"/>
        <w:rPr>
          <w:rFonts w:ascii="微软雅黑" w:hAnsi="微软雅黑" w:eastAsia="微软雅黑" w:cs="微软雅黑"/>
          <w:sz w:val="18"/>
          <w:szCs w:val="18"/>
        </w:rPr>
      </w:pPr>
      <w:r>
        <w:rPr>
          <w:rFonts w:ascii="微软雅黑" w:hAnsi="微软雅黑" w:eastAsia="微软雅黑" w:cs="微软雅黑"/>
          <w:color w:val="648676"/>
          <w:spacing w:val="-2"/>
          <w:sz w:val="18"/>
          <w:szCs w:val="18"/>
        </w:rPr>
        <w:t>四、数据资产管理实践步骤</w:t>
      </w:r>
    </w:p>
    <w:p w14:paraId="3AC9448F">
      <w:pPr>
        <w:spacing w:before="52"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3"/>
          <w:sz w:val="18"/>
          <w:szCs w:val="18"/>
        </w:rPr>
        <w:t>(一) 第一阶段：统筹规划</w:t>
      </w:r>
    </w:p>
    <w:p w14:paraId="6B8FDF42">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3"/>
          <w:sz w:val="18"/>
          <w:szCs w:val="18"/>
        </w:rPr>
        <w:t>(二) 第二阶段：管理实施</w:t>
      </w:r>
    </w:p>
    <w:p w14:paraId="67DF16EE">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3"/>
          <w:sz w:val="18"/>
          <w:szCs w:val="18"/>
        </w:rPr>
        <w:t>(三) 第三阶段：稽核检查</w:t>
      </w:r>
    </w:p>
    <w:p w14:paraId="195BF04D">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3"/>
          <w:sz w:val="18"/>
          <w:szCs w:val="18"/>
        </w:rPr>
        <w:t>(四) 第四阶段：资产运营</w:t>
      </w:r>
    </w:p>
    <w:p w14:paraId="119E9AB6">
      <w:pPr>
        <w:pStyle w:val="2"/>
        <w:spacing w:line="248" w:lineRule="auto"/>
      </w:pPr>
    </w:p>
    <w:p w14:paraId="1E3E628E">
      <w:pPr>
        <w:spacing w:before="78" w:line="178" w:lineRule="auto"/>
        <w:rPr>
          <w:rFonts w:ascii="微软雅黑" w:hAnsi="微软雅黑" w:eastAsia="微软雅黑" w:cs="微软雅黑"/>
          <w:sz w:val="18"/>
          <w:szCs w:val="18"/>
        </w:rPr>
      </w:pPr>
      <w:r>
        <w:rPr>
          <w:rFonts w:ascii="微软雅黑" w:hAnsi="微软雅黑" w:eastAsia="微软雅黑" w:cs="微软雅黑"/>
          <w:color w:val="648676"/>
          <w:spacing w:val="-1"/>
          <w:sz w:val="18"/>
          <w:szCs w:val="18"/>
        </w:rPr>
        <w:t>五、数据资产管理的发展趋势</w:t>
      </w:r>
    </w:p>
    <w:p w14:paraId="4FCCEC1E">
      <w:pPr>
        <w:spacing w:before="51"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2"/>
          <w:sz w:val="18"/>
          <w:szCs w:val="18"/>
        </w:rPr>
        <w:t>(一) 管理对象：数据复杂性持续增加</w:t>
      </w:r>
    </w:p>
    <w:p w14:paraId="5B08D0B3">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2"/>
          <w:sz w:val="18"/>
          <w:szCs w:val="18"/>
        </w:rPr>
        <w:t>(二) 管理理念：从被动响应到主动赋能</w:t>
      </w:r>
    </w:p>
    <w:p w14:paraId="06514A49">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2"/>
          <w:sz w:val="18"/>
          <w:szCs w:val="18"/>
        </w:rPr>
        <w:t>(三) 组织形态：向专业化与复合型升级</w:t>
      </w:r>
    </w:p>
    <w:p w14:paraId="1EF45D27">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2"/>
          <w:sz w:val="18"/>
          <w:szCs w:val="18"/>
        </w:rPr>
        <w:t>(四) 管理方式：敏捷协同的一体化管理</w:t>
      </w:r>
    </w:p>
    <w:p w14:paraId="5B23F551">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2"/>
          <w:sz w:val="18"/>
          <w:szCs w:val="18"/>
        </w:rPr>
        <w:t>(五) 技术架构：面向云的Data F</w:t>
      </w:r>
      <w:r>
        <w:rPr>
          <w:rFonts w:ascii="微软雅黑" w:hAnsi="微软雅黑" w:eastAsia="微软雅黑" w:cs="微软雅黑"/>
          <w:color w:val="231F20"/>
          <w:spacing w:val="-3"/>
          <w:sz w:val="18"/>
          <w:szCs w:val="18"/>
        </w:rPr>
        <w:t>abric</w:t>
      </w:r>
    </w:p>
    <w:p w14:paraId="6BB7052C">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2"/>
          <w:sz w:val="18"/>
          <w:szCs w:val="18"/>
        </w:rPr>
        <w:t>(六) 管理手段：自动化与智能化广泛应用</w:t>
      </w:r>
    </w:p>
    <w:p w14:paraId="097AFB73">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2"/>
          <w:sz w:val="18"/>
          <w:szCs w:val="18"/>
        </w:rPr>
        <w:t>(七) 运营模式：构建多元化的数据生态</w:t>
      </w:r>
    </w:p>
    <w:p w14:paraId="55944035">
      <w:pPr>
        <w:spacing w:before="35" w:line="195" w:lineRule="auto"/>
        <w:ind w:left="349"/>
        <w:rPr>
          <w:rFonts w:ascii="微软雅黑" w:hAnsi="微软雅黑" w:eastAsia="微软雅黑" w:cs="微软雅黑"/>
          <w:sz w:val="18"/>
          <w:szCs w:val="18"/>
        </w:rPr>
      </w:pPr>
      <w:r>
        <w:rPr>
          <w:rFonts w:ascii="微软雅黑" w:hAnsi="微软雅黑" w:eastAsia="微软雅黑" w:cs="微软雅黑"/>
          <w:color w:val="231F20"/>
          <w:spacing w:val="-2"/>
          <w:sz w:val="18"/>
          <w:szCs w:val="18"/>
        </w:rPr>
        <w:t>(八) 数据安全：兼顾合规与发展</w:t>
      </w:r>
    </w:p>
    <w:p w14:paraId="0277A114">
      <w:pPr>
        <w:pStyle w:val="2"/>
        <w:spacing w:line="248" w:lineRule="auto"/>
      </w:pPr>
    </w:p>
    <w:p w14:paraId="446FC56B">
      <w:pPr>
        <w:spacing w:before="77" w:line="173" w:lineRule="exact"/>
        <w:ind w:left="3"/>
        <w:rPr>
          <w:rFonts w:ascii="微软雅黑" w:hAnsi="微软雅黑" w:eastAsia="微软雅黑" w:cs="微软雅黑"/>
          <w:sz w:val="18"/>
          <w:szCs w:val="18"/>
        </w:rPr>
      </w:pPr>
      <w:r>
        <w:rPr>
          <w:rFonts w:ascii="微软雅黑" w:hAnsi="微软雅黑" w:eastAsia="微软雅黑" w:cs="微软雅黑"/>
          <w:color w:val="648676"/>
          <w:spacing w:val="-1"/>
          <w:position w:val="-1"/>
          <w:sz w:val="18"/>
          <w:szCs w:val="18"/>
        </w:rPr>
        <w:t>六、数据资产管理总结与展望</w:t>
      </w:r>
    </w:p>
    <w:p w14:paraId="392769C9">
      <w:pPr>
        <w:pStyle w:val="2"/>
        <w:spacing w:line="14" w:lineRule="auto"/>
        <w:rPr>
          <w:sz w:val="2"/>
        </w:rPr>
      </w:pPr>
      <w:r>
        <w:rPr>
          <w:sz w:val="2"/>
          <w:szCs w:val="2"/>
        </w:rPr>
        <w:br w:type="column"/>
      </w:r>
    </w:p>
    <w:p w14:paraId="2F9983A9">
      <w:pPr>
        <w:pStyle w:val="2"/>
        <w:spacing w:before="118" w:line="190" w:lineRule="auto"/>
        <w:ind w:left="495"/>
        <w:rPr>
          <w:sz w:val="18"/>
          <w:szCs w:val="18"/>
        </w:rPr>
      </w:pPr>
      <w:r>
        <w:rPr>
          <w:b/>
          <w:bCs/>
          <w:color w:val="648676"/>
          <w:spacing w:val="3"/>
          <w:sz w:val="18"/>
          <w:szCs w:val="18"/>
        </w:rPr>
        <w:t>1</w:t>
      </w:r>
    </w:p>
    <w:p w14:paraId="6325E0C4">
      <w:pPr>
        <w:pStyle w:val="2"/>
        <w:spacing w:before="122" w:line="190" w:lineRule="auto"/>
        <w:ind w:left="495"/>
        <w:rPr>
          <w:sz w:val="18"/>
          <w:szCs w:val="18"/>
        </w:rPr>
      </w:pPr>
      <w:r>
        <w:rPr>
          <w:b/>
          <w:bCs/>
          <w:color w:val="231F20"/>
          <w:spacing w:val="3"/>
          <w:sz w:val="18"/>
          <w:szCs w:val="18"/>
        </w:rPr>
        <w:t>1</w:t>
      </w:r>
    </w:p>
    <w:p w14:paraId="59A84CFD">
      <w:pPr>
        <w:pStyle w:val="2"/>
        <w:spacing w:before="119" w:line="193" w:lineRule="auto"/>
        <w:ind w:left="487"/>
        <w:rPr>
          <w:sz w:val="18"/>
          <w:szCs w:val="18"/>
        </w:rPr>
      </w:pPr>
      <w:r>
        <w:rPr>
          <w:b/>
          <w:bCs/>
          <w:color w:val="231F20"/>
          <w:spacing w:val="12"/>
          <w:sz w:val="18"/>
          <w:szCs w:val="18"/>
        </w:rPr>
        <w:t>2</w:t>
      </w:r>
    </w:p>
    <w:p w14:paraId="3C466C36">
      <w:pPr>
        <w:pStyle w:val="2"/>
        <w:spacing w:before="119" w:line="193" w:lineRule="auto"/>
        <w:ind w:left="492"/>
        <w:rPr>
          <w:sz w:val="18"/>
          <w:szCs w:val="18"/>
        </w:rPr>
      </w:pPr>
      <w:r>
        <w:rPr>
          <w:b/>
          <w:bCs/>
          <w:color w:val="231F20"/>
          <w:spacing w:val="6"/>
          <w:sz w:val="18"/>
          <w:szCs w:val="18"/>
        </w:rPr>
        <w:t>3</w:t>
      </w:r>
    </w:p>
    <w:p w14:paraId="4CAA9243">
      <w:pPr>
        <w:pStyle w:val="2"/>
        <w:spacing w:before="119" w:line="193" w:lineRule="auto"/>
        <w:ind w:left="484"/>
        <w:rPr>
          <w:sz w:val="18"/>
          <w:szCs w:val="18"/>
        </w:rPr>
      </w:pPr>
      <w:r>
        <w:rPr>
          <w:b/>
          <w:bCs/>
          <w:color w:val="231F20"/>
          <w:spacing w:val="14"/>
          <w:sz w:val="18"/>
          <w:szCs w:val="18"/>
        </w:rPr>
        <w:t>6</w:t>
      </w:r>
    </w:p>
    <w:p w14:paraId="01AEC722">
      <w:pPr>
        <w:pStyle w:val="2"/>
        <w:spacing w:before="121" w:line="192" w:lineRule="auto"/>
        <w:ind w:left="485"/>
        <w:rPr>
          <w:sz w:val="18"/>
          <w:szCs w:val="18"/>
        </w:rPr>
      </w:pPr>
      <w:r>
        <w:rPr>
          <w:b/>
          <w:bCs/>
          <w:color w:val="231F20"/>
          <w:spacing w:val="14"/>
          <w:sz w:val="18"/>
          <w:szCs w:val="18"/>
        </w:rPr>
        <w:t>8</w:t>
      </w:r>
    </w:p>
    <w:p w14:paraId="4C208ED8">
      <w:pPr>
        <w:pStyle w:val="2"/>
        <w:spacing w:line="354" w:lineRule="auto"/>
      </w:pPr>
    </w:p>
    <w:p w14:paraId="2BDA2DBD">
      <w:pPr>
        <w:pStyle w:val="2"/>
        <w:spacing w:before="52" w:line="190" w:lineRule="auto"/>
        <w:jc w:val="right"/>
        <w:rPr>
          <w:sz w:val="18"/>
          <w:szCs w:val="18"/>
        </w:rPr>
      </w:pPr>
      <w:r>
        <w:rPr>
          <w:b/>
          <w:bCs/>
          <w:color w:val="648676"/>
          <w:spacing w:val="12"/>
          <w:sz w:val="18"/>
          <w:szCs w:val="18"/>
        </w:rPr>
        <w:t>11</w:t>
      </w:r>
    </w:p>
    <w:p w14:paraId="4C519F8E">
      <w:pPr>
        <w:pStyle w:val="2"/>
        <w:spacing w:before="122" w:line="190" w:lineRule="auto"/>
        <w:jc w:val="right"/>
        <w:rPr>
          <w:sz w:val="18"/>
          <w:szCs w:val="18"/>
        </w:rPr>
      </w:pPr>
      <w:r>
        <w:rPr>
          <w:b/>
          <w:bCs/>
          <w:color w:val="231F20"/>
          <w:spacing w:val="12"/>
          <w:sz w:val="18"/>
          <w:szCs w:val="18"/>
        </w:rPr>
        <w:t>11</w:t>
      </w:r>
    </w:p>
    <w:p w14:paraId="6B5B55FE">
      <w:pPr>
        <w:pStyle w:val="2"/>
        <w:spacing w:before="120" w:line="193" w:lineRule="auto"/>
        <w:jc w:val="right"/>
        <w:rPr>
          <w:sz w:val="18"/>
          <w:szCs w:val="18"/>
        </w:rPr>
      </w:pPr>
      <w:r>
        <w:rPr>
          <w:b/>
          <w:bCs/>
          <w:color w:val="231F20"/>
          <w:spacing w:val="12"/>
          <w:sz w:val="18"/>
          <w:szCs w:val="18"/>
        </w:rPr>
        <w:t>12</w:t>
      </w:r>
    </w:p>
    <w:p w14:paraId="21CCB5ED">
      <w:pPr>
        <w:pStyle w:val="2"/>
        <w:spacing w:before="119" w:line="193" w:lineRule="auto"/>
        <w:jc w:val="right"/>
        <w:rPr>
          <w:sz w:val="18"/>
          <w:szCs w:val="18"/>
        </w:rPr>
      </w:pPr>
      <w:r>
        <w:rPr>
          <w:b/>
          <w:bCs/>
          <w:color w:val="231F20"/>
          <w:spacing w:val="12"/>
          <w:sz w:val="18"/>
          <w:szCs w:val="18"/>
        </w:rPr>
        <w:t>13</w:t>
      </w:r>
    </w:p>
    <w:p w14:paraId="62D2C87E">
      <w:pPr>
        <w:pStyle w:val="2"/>
        <w:spacing w:before="122" w:line="190" w:lineRule="auto"/>
        <w:jc w:val="right"/>
        <w:rPr>
          <w:sz w:val="18"/>
          <w:szCs w:val="18"/>
        </w:rPr>
      </w:pPr>
      <w:r>
        <w:rPr>
          <w:b/>
          <w:bCs/>
          <w:color w:val="231F20"/>
          <w:spacing w:val="12"/>
          <w:sz w:val="18"/>
          <w:szCs w:val="18"/>
        </w:rPr>
        <w:t>14</w:t>
      </w:r>
    </w:p>
    <w:p w14:paraId="432DF32A">
      <w:pPr>
        <w:pStyle w:val="2"/>
        <w:spacing w:before="122" w:line="190" w:lineRule="auto"/>
        <w:jc w:val="right"/>
        <w:rPr>
          <w:sz w:val="18"/>
          <w:szCs w:val="18"/>
        </w:rPr>
      </w:pPr>
      <w:r>
        <w:rPr>
          <w:b/>
          <w:bCs/>
          <w:color w:val="231F20"/>
          <w:spacing w:val="12"/>
          <w:sz w:val="18"/>
          <w:szCs w:val="18"/>
        </w:rPr>
        <w:t>15</w:t>
      </w:r>
    </w:p>
    <w:p w14:paraId="77787898">
      <w:pPr>
        <w:pStyle w:val="2"/>
        <w:spacing w:before="122" w:line="192" w:lineRule="auto"/>
        <w:jc w:val="right"/>
        <w:rPr>
          <w:sz w:val="18"/>
          <w:szCs w:val="18"/>
        </w:rPr>
      </w:pPr>
      <w:r>
        <w:rPr>
          <w:b/>
          <w:bCs/>
          <w:color w:val="231F20"/>
          <w:spacing w:val="12"/>
          <w:sz w:val="18"/>
          <w:szCs w:val="18"/>
        </w:rPr>
        <w:t>17</w:t>
      </w:r>
    </w:p>
    <w:p w14:paraId="443D7E50">
      <w:pPr>
        <w:pStyle w:val="2"/>
        <w:spacing w:before="119" w:line="192" w:lineRule="auto"/>
        <w:jc w:val="right"/>
        <w:rPr>
          <w:sz w:val="18"/>
          <w:szCs w:val="18"/>
        </w:rPr>
      </w:pPr>
      <w:r>
        <w:rPr>
          <w:b/>
          <w:bCs/>
          <w:color w:val="231F20"/>
          <w:spacing w:val="12"/>
          <w:sz w:val="18"/>
          <w:szCs w:val="18"/>
        </w:rPr>
        <w:t>18</w:t>
      </w:r>
    </w:p>
    <w:p w14:paraId="6ACBF2E6">
      <w:pPr>
        <w:pStyle w:val="2"/>
        <w:spacing w:before="120" w:line="192" w:lineRule="auto"/>
        <w:jc w:val="right"/>
        <w:rPr>
          <w:sz w:val="18"/>
          <w:szCs w:val="18"/>
        </w:rPr>
      </w:pPr>
      <w:r>
        <w:rPr>
          <w:b/>
          <w:bCs/>
          <w:color w:val="231F20"/>
          <w:spacing w:val="12"/>
          <w:sz w:val="18"/>
          <w:szCs w:val="18"/>
        </w:rPr>
        <w:t>19</w:t>
      </w:r>
    </w:p>
    <w:p w14:paraId="55093400">
      <w:pPr>
        <w:pStyle w:val="2"/>
        <w:spacing w:before="120" w:line="193" w:lineRule="auto"/>
        <w:jc w:val="right"/>
        <w:rPr>
          <w:sz w:val="18"/>
          <w:szCs w:val="18"/>
        </w:rPr>
      </w:pPr>
      <w:r>
        <w:rPr>
          <w:b/>
          <w:bCs/>
          <w:color w:val="231F20"/>
          <w:spacing w:val="16"/>
          <w:sz w:val="18"/>
          <w:szCs w:val="18"/>
        </w:rPr>
        <w:t>21</w:t>
      </w:r>
    </w:p>
    <w:p w14:paraId="4ABCC331">
      <w:pPr>
        <w:pStyle w:val="2"/>
        <w:spacing w:before="120" w:line="193" w:lineRule="auto"/>
        <w:jc w:val="right"/>
        <w:rPr>
          <w:sz w:val="18"/>
          <w:szCs w:val="18"/>
        </w:rPr>
      </w:pPr>
      <w:r>
        <w:rPr>
          <w:b/>
          <w:bCs/>
          <w:color w:val="231F20"/>
          <w:spacing w:val="16"/>
          <w:sz w:val="18"/>
          <w:szCs w:val="18"/>
        </w:rPr>
        <w:t>24</w:t>
      </w:r>
    </w:p>
    <w:p w14:paraId="429ED837">
      <w:pPr>
        <w:pStyle w:val="2"/>
        <w:spacing w:line="351" w:lineRule="auto"/>
      </w:pPr>
    </w:p>
    <w:p w14:paraId="243185FC">
      <w:pPr>
        <w:pStyle w:val="2"/>
        <w:spacing w:before="52" w:line="193" w:lineRule="auto"/>
        <w:jc w:val="right"/>
        <w:rPr>
          <w:sz w:val="18"/>
          <w:szCs w:val="18"/>
        </w:rPr>
      </w:pPr>
      <w:r>
        <w:rPr>
          <w:b/>
          <w:bCs/>
          <w:color w:val="648676"/>
          <w:spacing w:val="16"/>
          <w:sz w:val="18"/>
          <w:szCs w:val="18"/>
        </w:rPr>
        <w:t>26</w:t>
      </w:r>
    </w:p>
    <w:p w14:paraId="5889E0A8">
      <w:pPr>
        <w:pStyle w:val="2"/>
        <w:spacing w:before="119" w:line="193" w:lineRule="auto"/>
        <w:jc w:val="right"/>
        <w:rPr>
          <w:sz w:val="18"/>
          <w:szCs w:val="18"/>
        </w:rPr>
      </w:pPr>
      <w:r>
        <w:rPr>
          <w:b/>
          <w:bCs/>
          <w:color w:val="231F20"/>
          <w:spacing w:val="16"/>
          <w:sz w:val="18"/>
          <w:szCs w:val="18"/>
        </w:rPr>
        <w:t>26</w:t>
      </w:r>
    </w:p>
    <w:p w14:paraId="5B0EC62B">
      <w:pPr>
        <w:pStyle w:val="2"/>
        <w:spacing w:before="120" w:line="195" w:lineRule="auto"/>
        <w:jc w:val="right"/>
        <w:rPr>
          <w:sz w:val="18"/>
          <w:szCs w:val="18"/>
        </w:rPr>
      </w:pPr>
      <w:r>
        <w:rPr>
          <w:b/>
          <w:bCs/>
          <w:color w:val="231F20"/>
          <w:spacing w:val="16"/>
          <w:sz w:val="18"/>
          <w:szCs w:val="18"/>
        </w:rPr>
        <w:t>27</w:t>
      </w:r>
    </w:p>
    <w:p w14:paraId="573A1561">
      <w:pPr>
        <w:pStyle w:val="2"/>
        <w:spacing w:before="118" w:line="193" w:lineRule="auto"/>
        <w:jc w:val="right"/>
        <w:rPr>
          <w:sz w:val="18"/>
          <w:szCs w:val="18"/>
        </w:rPr>
      </w:pPr>
      <w:r>
        <w:rPr>
          <w:b/>
          <w:bCs/>
          <w:color w:val="231F20"/>
          <w:spacing w:val="13"/>
          <w:sz w:val="18"/>
          <w:szCs w:val="18"/>
        </w:rPr>
        <w:t>31</w:t>
      </w:r>
    </w:p>
    <w:p w14:paraId="429E9A3A">
      <w:pPr>
        <w:pStyle w:val="2"/>
        <w:spacing w:before="119" w:line="193" w:lineRule="auto"/>
        <w:jc w:val="right"/>
        <w:rPr>
          <w:sz w:val="18"/>
          <w:szCs w:val="18"/>
        </w:rPr>
      </w:pPr>
      <w:r>
        <w:rPr>
          <w:b/>
          <w:bCs/>
          <w:color w:val="231F20"/>
          <w:spacing w:val="13"/>
          <w:sz w:val="18"/>
          <w:szCs w:val="18"/>
        </w:rPr>
        <w:t>32</w:t>
      </w:r>
    </w:p>
    <w:p w14:paraId="02AF8E1D">
      <w:pPr>
        <w:pStyle w:val="2"/>
        <w:spacing w:before="120" w:line="193" w:lineRule="auto"/>
        <w:jc w:val="right"/>
        <w:rPr>
          <w:sz w:val="18"/>
          <w:szCs w:val="18"/>
        </w:rPr>
      </w:pPr>
      <w:r>
        <w:rPr>
          <w:b/>
          <w:bCs/>
          <w:color w:val="231F20"/>
          <w:spacing w:val="13"/>
          <w:sz w:val="18"/>
          <w:szCs w:val="18"/>
        </w:rPr>
        <w:t>32</w:t>
      </w:r>
    </w:p>
    <w:p w14:paraId="6E956E38">
      <w:pPr>
        <w:pStyle w:val="2"/>
        <w:spacing w:line="351" w:lineRule="auto"/>
      </w:pPr>
    </w:p>
    <w:p w14:paraId="3EDF966B">
      <w:pPr>
        <w:pStyle w:val="2"/>
        <w:spacing w:before="52" w:line="193" w:lineRule="auto"/>
        <w:jc w:val="right"/>
        <w:rPr>
          <w:sz w:val="18"/>
          <w:szCs w:val="18"/>
        </w:rPr>
      </w:pPr>
      <w:r>
        <w:rPr>
          <w:b/>
          <w:bCs/>
          <w:color w:val="648676"/>
          <w:spacing w:val="13"/>
          <w:sz w:val="18"/>
          <w:szCs w:val="18"/>
        </w:rPr>
        <w:t>34</w:t>
      </w:r>
    </w:p>
    <w:p w14:paraId="22998F84">
      <w:pPr>
        <w:pStyle w:val="2"/>
        <w:spacing w:before="120" w:line="193" w:lineRule="auto"/>
        <w:jc w:val="right"/>
        <w:rPr>
          <w:sz w:val="18"/>
          <w:szCs w:val="18"/>
        </w:rPr>
      </w:pPr>
      <w:r>
        <w:rPr>
          <w:b/>
          <w:bCs/>
          <w:color w:val="231F20"/>
          <w:spacing w:val="13"/>
          <w:sz w:val="18"/>
          <w:szCs w:val="18"/>
        </w:rPr>
        <w:t>34</w:t>
      </w:r>
    </w:p>
    <w:p w14:paraId="21B8A69E">
      <w:pPr>
        <w:pStyle w:val="2"/>
        <w:spacing w:before="119" w:line="193" w:lineRule="auto"/>
        <w:jc w:val="right"/>
        <w:rPr>
          <w:sz w:val="18"/>
          <w:szCs w:val="18"/>
        </w:rPr>
      </w:pPr>
      <w:r>
        <w:rPr>
          <w:b/>
          <w:bCs/>
          <w:color w:val="231F20"/>
          <w:spacing w:val="13"/>
          <w:sz w:val="18"/>
          <w:szCs w:val="18"/>
        </w:rPr>
        <w:t>35</w:t>
      </w:r>
    </w:p>
    <w:p w14:paraId="080925A3">
      <w:pPr>
        <w:pStyle w:val="2"/>
        <w:spacing w:before="120" w:line="193" w:lineRule="auto"/>
        <w:jc w:val="right"/>
        <w:rPr>
          <w:sz w:val="18"/>
          <w:szCs w:val="18"/>
        </w:rPr>
      </w:pPr>
      <w:r>
        <w:rPr>
          <w:b/>
          <w:bCs/>
          <w:color w:val="231F20"/>
          <w:spacing w:val="18"/>
          <w:sz w:val="18"/>
          <w:szCs w:val="18"/>
        </w:rPr>
        <w:t>40</w:t>
      </w:r>
    </w:p>
    <w:p w14:paraId="20137F67">
      <w:pPr>
        <w:pStyle w:val="2"/>
        <w:spacing w:before="119" w:line="193" w:lineRule="auto"/>
        <w:jc w:val="right"/>
        <w:rPr>
          <w:sz w:val="18"/>
          <w:szCs w:val="18"/>
        </w:rPr>
      </w:pPr>
      <w:r>
        <w:rPr>
          <w:b/>
          <w:bCs/>
          <w:color w:val="231F20"/>
          <w:spacing w:val="18"/>
          <w:sz w:val="18"/>
          <w:szCs w:val="18"/>
        </w:rPr>
        <w:t>40</w:t>
      </w:r>
    </w:p>
    <w:p w14:paraId="68F615A8">
      <w:pPr>
        <w:pStyle w:val="2"/>
        <w:spacing w:line="351" w:lineRule="auto"/>
      </w:pPr>
    </w:p>
    <w:p w14:paraId="339333E5">
      <w:pPr>
        <w:pStyle w:val="2"/>
        <w:spacing w:before="53" w:line="193" w:lineRule="auto"/>
        <w:jc w:val="right"/>
        <w:rPr>
          <w:sz w:val="18"/>
          <w:szCs w:val="18"/>
        </w:rPr>
      </w:pPr>
      <w:r>
        <w:rPr>
          <w:b/>
          <w:bCs/>
          <w:color w:val="648676"/>
          <w:spacing w:val="18"/>
          <w:sz w:val="18"/>
          <w:szCs w:val="18"/>
        </w:rPr>
        <w:t>43</w:t>
      </w:r>
    </w:p>
    <w:p w14:paraId="4F71FD6B">
      <w:pPr>
        <w:pStyle w:val="2"/>
        <w:spacing w:before="119" w:line="193" w:lineRule="auto"/>
        <w:jc w:val="right"/>
        <w:rPr>
          <w:sz w:val="18"/>
          <w:szCs w:val="18"/>
        </w:rPr>
      </w:pPr>
      <w:r>
        <w:rPr>
          <w:b/>
          <w:bCs/>
          <w:color w:val="231F20"/>
          <w:spacing w:val="18"/>
          <w:sz w:val="18"/>
          <w:szCs w:val="18"/>
        </w:rPr>
        <w:t>43</w:t>
      </w:r>
    </w:p>
    <w:p w14:paraId="24938A47">
      <w:pPr>
        <w:pStyle w:val="2"/>
        <w:spacing w:before="123" w:line="190" w:lineRule="auto"/>
        <w:jc w:val="right"/>
        <w:rPr>
          <w:sz w:val="18"/>
          <w:szCs w:val="18"/>
        </w:rPr>
      </w:pPr>
      <w:r>
        <w:rPr>
          <w:b/>
          <w:bCs/>
          <w:color w:val="231F20"/>
          <w:spacing w:val="18"/>
          <w:sz w:val="18"/>
          <w:szCs w:val="18"/>
        </w:rPr>
        <w:t>44</w:t>
      </w:r>
    </w:p>
    <w:p w14:paraId="2DC3BEA6">
      <w:pPr>
        <w:pStyle w:val="2"/>
        <w:spacing w:before="122" w:line="190" w:lineRule="auto"/>
        <w:jc w:val="right"/>
        <w:rPr>
          <w:sz w:val="18"/>
          <w:szCs w:val="18"/>
        </w:rPr>
      </w:pPr>
      <w:r>
        <w:rPr>
          <w:b/>
          <w:bCs/>
          <w:color w:val="231F20"/>
          <w:spacing w:val="18"/>
          <w:sz w:val="18"/>
          <w:szCs w:val="18"/>
        </w:rPr>
        <w:t>44</w:t>
      </w:r>
    </w:p>
    <w:p w14:paraId="72DBA3BC">
      <w:pPr>
        <w:pStyle w:val="2"/>
        <w:spacing w:before="122" w:line="190" w:lineRule="auto"/>
        <w:jc w:val="right"/>
        <w:rPr>
          <w:sz w:val="18"/>
          <w:szCs w:val="18"/>
        </w:rPr>
      </w:pPr>
      <w:r>
        <w:rPr>
          <w:b/>
          <w:bCs/>
          <w:color w:val="231F20"/>
          <w:spacing w:val="18"/>
          <w:sz w:val="18"/>
          <w:szCs w:val="18"/>
        </w:rPr>
        <w:t>44</w:t>
      </w:r>
    </w:p>
    <w:p w14:paraId="23C9B32F">
      <w:pPr>
        <w:pStyle w:val="2"/>
        <w:spacing w:before="122" w:line="190" w:lineRule="auto"/>
        <w:jc w:val="right"/>
        <w:rPr>
          <w:sz w:val="18"/>
          <w:szCs w:val="18"/>
        </w:rPr>
      </w:pPr>
      <w:r>
        <w:rPr>
          <w:b/>
          <w:bCs/>
          <w:color w:val="231F20"/>
          <w:spacing w:val="18"/>
          <w:sz w:val="18"/>
          <w:szCs w:val="18"/>
        </w:rPr>
        <w:t>45</w:t>
      </w:r>
    </w:p>
    <w:p w14:paraId="3EF709BF">
      <w:pPr>
        <w:pStyle w:val="2"/>
        <w:spacing w:before="120" w:line="193" w:lineRule="auto"/>
        <w:jc w:val="right"/>
        <w:rPr>
          <w:sz w:val="18"/>
          <w:szCs w:val="18"/>
        </w:rPr>
      </w:pPr>
      <w:r>
        <w:rPr>
          <w:b/>
          <w:bCs/>
          <w:color w:val="231F20"/>
          <w:spacing w:val="18"/>
          <w:sz w:val="18"/>
          <w:szCs w:val="18"/>
        </w:rPr>
        <w:t>46</w:t>
      </w:r>
    </w:p>
    <w:p w14:paraId="6F570B56">
      <w:pPr>
        <w:pStyle w:val="2"/>
        <w:spacing w:before="122" w:line="192" w:lineRule="auto"/>
        <w:jc w:val="right"/>
        <w:rPr>
          <w:sz w:val="18"/>
          <w:szCs w:val="18"/>
        </w:rPr>
      </w:pPr>
      <w:r>
        <w:rPr>
          <w:b/>
          <w:bCs/>
          <w:color w:val="231F20"/>
          <w:spacing w:val="18"/>
          <w:sz w:val="18"/>
          <w:szCs w:val="18"/>
        </w:rPr>
        <w:t>47</w:t>
      </w:r>
    </w:p>
    <w:p w14:paraId="3DFF7D75">
      <w:pPr>
        <w:pStyle w:val="2"/>
        <w:spacing w:before="120" w:line="192" w:lineRule="auto"/>
        <w:jc w:val="right"/>
        <w:rPr>
          <w:sz w:val="18"/>
          <w:szCs w:val="18"/>
        </w:rPr>
      </w:pPr>
      <w:r>
        <w:rPr>
          <w:b/>
          <w:bCs/>
          <w:color w:val="231F20"/>
          <w:spacing w:val="18"/>
          <w:sz w:val="18"/>
          <w:szCs w:val="18"/>
        </w:rPr>
        <w:t>47</w:t>
      </w:r>
    </w:p>
    <w:p w14:paraId="37715592">
      <w:pPr>
        <w:pStyle w:val="2"/>
        <w:spacing w:line="350" w:lineRule="auto"/>
      </w:pPr>
    </w:p>
    <w:p w14:paraId="2C79194F">
      <w:pPr>
        <w:pStyle w:val="2"/>
        <w:spacing w:before="52" w:line="175" w:lineRule="auto"/>
        <w:jc w:val="right"/>
        <w:rPr>
          <w:sz w:val="18"/>
          <w:szCs w:val="18"/>
        </w:rPr>
      </w:pPr>
      <w:r>
        <w:rPr>
          <w:b/>
          <w:bCs/>
          <w:color w:val="648676"/>
          <w:spacing w:val="18"/>
          <w:sz w:val="18"/>
          <w:szCs w:val="18"/>
        </w:rPr>
        <w:t>48</w:t>
      </w:r>
    </w:p>
    <w:p w14:paraId="0E606AE8">
      <w:pPr>
        <w:spacing w:line="175" w:lineRule="auto"/>
        <w:rPr>
          <w:sz w:val="18"/>
          <w:szCs w:val="18"/>
        </w:rPr>
        <w:sectPr>
          <w:type w:val="continuous"/>
          <w:pgSz w:w="11906" w:h="16158"/>
          <w:pgMar w:top="400" w:right="1258" w:bottom="790" w:left="1004" w:header="0" w:footer="539" w:gutter="0"/>
          <w:cols w:equalWidth="0" w:num="3">
            <w:col w:w="3767" w:space="100"/>
            <w:col w:w="4957" w:space="100"/>
            <w:col w:w="720"/>
          </w:cols>
        </w:sectPr>
      </w:pPr>
    </w:p>
    <w:p w14:paraId="41BCAFAD">
      <w:pPr>
        <w:spacing w:before="17"/>
      </w:pPr>
    </w:p>
    <w:p w14:paraId="0DE40137">
      <w:pPr>
        <w:spacing w:before="16"/>
      </w:pPr>
    </w:p>
    <w:p w14:paraId="499181EE">
      <w:pPr>
        <w:spacing w:before="16"/>
      </w:pPr>
    </w:p>
    <w:p w14:paraId="186DA5E4">
      <w:pPr>
        <w:spacing w:before="16"/>
      </w:pPr>
    </w:p>
    <w:p w14:paraId="47016D63">
      <w:pPr>
        <w:spacing w:before="16"/>
      </w:pPr>
    </w:p>
    <w:p w14:paraId="502B0845">
      <w:pPr>
        <w:spacing w:before="16"/>
      </w:pPr>
    </w:p>
    <w:p w14:paraId="564401E6">
      <w:pPr>
        <w:spacing w:before="16"/>
      </w:pPr>
    </w:p>
    <w:p w14:paraId="62991379">
      <w:pPr>
        <w:spacing w:before="16"/>
      </w:pPr>
    </w:p>
    <w:p w14:paraId="7C555F04">
      <w:pPr>
        <w:spacing w:before="16"/>
      </w:pPr>
    </w:p>
    <w:p w14:paraId="5AF76EF9">
      <w:pPr>
        <w:sectPr>
          <w:footerReference r:id="rId8" w:type="default"/>
          <w:pgSz w:w="11906" w:h="16158"/>
          <w:pgMar w:top="400" w:right="1440" w:bottom="400" w:left="1785" w:header="0" w:footer="0" w:gutter="0"/>
          <w:cols w:equalWidth="0" w:num="1">
            <w:col w:w="8680"/>
          </w:cols>
        </w:sectPr>
      </w:pPr>
    </w:p>
    <w:p w14:paraId="34D618A2">
      <w:pPr>
        <w:spacing w:before="21" w:line="175" w:lineRule="auto"/>
        <w:ind w:left="49"/>
        <w:rPr>
          <w:rFonts w:ascii="微软雅黑" w:hAnsi="微软雅黑" w:eastAsia="微软雅黑" w:cs="微软雅黑"/>
          <w:sz w:val="36"/>
          <w:szCs w:val="36"/>
        </w:rPr>
      </w:pPr>
      <w:bookmarkStart w:id="0" w:name="bookmark1"/>
      <w:bookmarkEnd w:id="0"/>
      <w:r>
        <w:rPr>
          <w:rFonts w:ascii="微软雅黑" w:hAnsi="微软雅黑" w:eastAsia="微软雅黑" w:cs="微软雅黑"/>
          <w:color w:val="648676"/>
          <w:spacing w:val="-8"/>
          <w:sz w:val="36"/>
          <w:szCs w:val="36"/>
          <w:u w:val="single" w:color="auto"/>
        </w:rPr>
        <w:t>图目录</w:t>
      </w:r>
      <w:r>
        <w:rPr>
          <w:rFonts w:ascii="微软雅黑" w:hAnsi="微软雅黑" w:eastAsia="微软雅黑" w:cs="微软雅黑"/>
          <w:color w:val="648676"/>
          <w:sz w:val="36"/>
          <w:szCs w:val="36"/>
          <w:u w:val="single" w:color="auto"/>
        </w:rPr>
        <w:t xml:space="preserve">    </w:t>
      </w:r>
    </w:p>
    <w:p w14:paraId="70CB4340">
      <w:pPr>
        <w:pStyle w:val="2"/>
        <w:spacing w:line="249" w:lineRule="auto"/>
      </w:pPr>
    </w:p>
    <w:p w14:paraId="6EE2BFB3">
      <w:pPr>
        <w:pStyle w:val="2"/>
        <w:spacing w:line="249" w:lineRule="auto"/>
      </w:pPr>
    </w:p>
    <w:p w14:paraId="076CB52F">
      <w:pPr>
        <w:pStyle w:val="2"/>
        <w:spacing w:line="249" w:lineRule="auto"/>
      </w:pPr>
    </w:p>
    <w:p w14:paraId="4030ED55">
      <w:pPr>
        <w:pStyle w:val="2"/>
        <w:spacing w:line="249" w:lineRule="auto"/>
      </w:pPr>
    </w:p>
    <w:p w14:paraId="57C7673B">
      <w:pPr>
        <w:pStyle w:val="2"/>
        <w:spacing w:line="249" w:lineRule="auto"/>
      </w:pPr>
    </w:p>
    <w:p w14:paraId="2A41B3A9">
      <w:pPr>
        <w:pStyle w:val="2"/>
        <w:spacing w:line="249" w:lineRule="auto"/>
      </w:pPr>
    </w:p>
    <w:p w14:paraId="553DCB71">
      <w:pPr>
        <w:pStyle w:val="2"/>
        <w:spacing w:line="249" w:lineRule="auto"/>
      </w:pPr>
    </w:p>
    <w:p w14:paraId="06317FEC">
      <w:pPr>
        <w:pStyle w:val="2"/>
        <w:spacing w:line="249" w:lineRule="auto"/>
      </w:pPr>
    </w:p>
    <w:p w14:paraId="66C504CE">
      <w:pPr>
        <w:pStyle w:val="2"/>
        <w:spacing w:line="249" w:lineRule="auto"/>
      </w:pPr>
    </w:p>
    <w:p w14:paraId="7A91E275">
      <w:pPr>
        <w:pStyle w:val="2"/>
        <w:spacing w:line="249" w:lineRule="auto"/>
      </w:pPr>
    </w:p>
    <w:p w14:paraId="5B2E7277">
      <w:pPr>
        <w:pStyle w:val="2"/>
        <w:spacing w:line="249" w:lineRule="auto"/>
      </w:pPr>
    </w:p>
    <w:p w14:paraId="2EA2C036">
      <w:pPr>
        <w:pStyle w:val="2"/>
        <w:spacing w:line="249" w:lineRule="auto"/>
      </w:pPr>
    </w:p>
    <w:p w14:paraId="24F77877">
      <w:pPr>
        <w:pStyle w:val="2"/>
        <w:spacing w:line="249" w:lineRule="auto"/>
      </w:pPr>
    </w:p>
    <w:p w14:paraId="5CE6E86D">
      <w:pPr>
        <w:pStyle w:val="2"/>
        <w:spacing w:line="249" w:lineRule="auto"/>
      </w:pPr>
    </w:p>
    <w:p w14:paraId="266B33B2">
      <w:pPr>
        <w:pStyle w:val="2"/>
        <w:spacing w:line="249" w:lineRule="auto"/>
      </w:pPr>
    </w:p>
    <w:p w14:paraId="2048E677">
      <w:pPr>
        <w:pStyle w:val="2"/>
        <w:spacing w:line="250" w:lineRule="auto"/>
      </w:pPr>
    </w:p>
    <w:p w14:paraId="1A967047">
      <w:pPr>
        <w:pStyle w:val="2"/>
        <w:spacing w:line="250" w:lineRule="auto"/>
      </w:pPr>
    </w:p>
    <w:p w14:paraId="5A8D7061">
      <w:pPr>
        <w:pStyle w:val="2"/>
        <w:spacing w:line="250" w:lineRule="auto"/>
      </w:pPr>
    </w:p>
    <w:p w14:paraId="1AC3EF2D">
      <w:pPr>
        <w:pStyle w:val="2"/>
        <w:spacing w:line="250" w:lineRule="auto"/>
      </w:pPr>
    </w:p>
    <w:p w14:paraId="6BC53988">
      <w:pPr>
        <w:pStyle w:val="2"/>
        <w:spacing w:line="250" w:lineRule="auto"/>
      </w:pPr>
    </w:p>
    <w:p w14:paraId="350255EE">
      <w:pPr>
        <w:pStyle w:val="2"/>
        <w:spacing w:line="250" w:lineRule="auto"/>
      </w:pPr>
    </w:p>
    <w:p w14:paraId="312A54EF">
      <w:pPr>
        <w:pStyle w:val="2"/>
        <w:spacing w:line="250" w:lineRule="auto"/>
      </w:pPr>
    </w:p>
    <w:p w14:paraId="4A268A22">
      <w:pPr>
        <w:pStyle w:val="2"/>
        <w:spacing w:line="250" w:lineRule="auto"/>
      </w:pPr>
    </w:p>
    <w:p w14:paraId="11EF8107">
      <w:pPr>
        <w:pStyle w:val="2"/>
        <w:spacing w:line="250" w:lineRule="auto"/>
      </w:pPr>
    </w:p>
    <w:p w14:paraId="487FF4D9">
      <w:pPr>
        <w:pStyle w:val="2"/>
        <w:spacing w:line="250" w:lineRule="auto"/>
      </w:pPr>
    </w:p>
    <w:p w14:paraId="6F4E3BD1">
      <w:pPr>
        <w:spacing w:before="154" w:line="178" w:lineRule="auto"/>
        <w:ind w:left="35"/>
        <w:rPr>
          <w:rFonts w:ascii="微软雅黑" w:hAnsi="微软雅黑" w:eastAsia="微软雅黑" w:cs="微软雅黑"/>
          <w:sz w:val="36"/>
          <w:szCs w:val="36"/>
        </w:rPr>
      </w:pPr>
      <w:r>
        <w:rPr>
          <w:rFonts w:ascii="微软雅黑" w:hAnsi="微软雅黑" w:eastAsia="微软雅黑" w:cs="微软雅黑"/>
          <w:color w:val="648676"/>
          <w:spacing w:val="-3"/>
          <w:sz w:val="36"/>
          <w:szCs w:val="36"/>
          <w:u w:val="single" w:color="auto"/>
        </w:rPr>
        <w:t>表目录</w:t>
      </w:r>
      <w:r>
        <w:rPr>
          <w:rFonts w:ascii="微软雅黑" w:hAnsi="微软雅黑" w:eastAsia="微软雅黑" w:cs="微软雅黑"/>
          <w:color w:val="648676"/>
          <w:sz w:val="36"/>
          <w:szCs w:val="36"/>
          <w:u w:val="single" w:color="auto"/>
        </w:rPr>
        <w:t xml:space="preserve">    </w:t>
      </w:r>
    </w:p>
    <w:p w14:paraId="659D4163">
      <w:pPr>
        <w:pStyle w:val="2"/>
        <w:spacing w:line="14" w:lineRule="auto"/>
        <w:rPr>
          <w:sz w:val="2"/>
        </w:rPr>
      </w:pPr>
      <w:r>
        <w:rPr>
          <w:sz w:val="2"/>
          <w:szCs w:val="2"/>
        </w:rPr>
        <w:br w:type="column"/>
      </w:r>
    </w:p>
    <w:sdt>
      <w:sdtPr>
        <w:rPr>
          <w:rFonts w:ascii="微软雅黑" w:hAnsi="微软雅黑" w:eastAsia="微软雅黑" w:cs="微软雅黑"/>
          <w:sz w:val="18"/>
          <w:szCs w:val="18"/>
        </w:rPr>
        <w:id w:val="147457500"/>
        <w:docPartObj>
          <w:docPartGallery w:val="Table of Contents"/>
          <w:docPartUnique/>
        </w:docPartObj>
      </w:sdtPr>
      <w:sdtEndPr>
        <w:rPr>
          <w:rFonts w:ascii="Arial" w:hAnsi="Arial" w:eastAsia="Arial" w:cs="Arial"/>
          <w:sz w:val="18"/>
          <w:szCs w:val="18"/>
        </w:rPr>
      </w:sdtEndPr>
      <w:sdtContent>
        <w:p w14:paraId="4C1B64A5">
          <w:pPr>
            <w:pStyle w:val="2"/>
            <w:spacing w:line="197" w:lineRule="auto"/>
            <w:ind w:left="18"/>
            <w:rPr>
              <w:sz w:val="18"/>
              <w:szCs w:val="18"/>
            </w:rPr>
          </w:pPr>
          <w:bookmarkStart w:id="1" w:name="bookmark2"/>
          <w:bookmarkEnd w:id="1"/>
          <w:r>
            <w:fldChar w:fldCharType="begin"/>
          </w:r>
          <w:r>
            <w:instrText xml:space="preserve"> HYPERLINK \l "bookmark2" </w:instrText>
          </w:r>
          <w:r>
            <w:fldChar w:fldCharType="separate"/>
          </w:r>
          <w:r>
            <w:rPr>
              <w:rFonts w:ascii="微软雅黑" w:hAnsi="微软雅黑" w:eastAsia="微软雅黑" w:cs="微软雅黑"/>
              <w:color w:val="231F20"/>
              <w:sz w:val="18"/>
              <w:szCs w:val="18"/>
            </w:rPr>
            <w:t>图</w:t>
          </w:r>
          <w:r>
            <w:rPr>
              <w:rFonts w:ascii="微软雅黑" w:hAnsi="微软雅黑" w:eastAsia="微软雅黑" w:cs="微软雅黑"/>
              <w:color w:val="231F20"/>
              <w:spacing w:val="17"/>
              <w:w w:val="101"/>
              <w:sz w:val="18"/>
              <w:szCs w:val="18"/>
            </w:rPr>
            <w:t xml:space="preserve"> </w:t>
          </w:r>
          <w:r>
            <w:rPr>
              <w:rFonts w:ascii="微软雅黑" w:hAnsi="微软雅黑" w:eastAsia="微软雅黑" w:cs="微软雅黑"/>
              <w:color w:val="231F20"/>
              <w:sz w:val="18"/>
              <w:szCs w:val="18"/>
            </w:rPr>
            <w:t xml:space="preserve">1 数据资产管理推动数据要素市场构建  </w:t>
          </w:r>
          <w:r>
            <w:rPr>
              <w:rFonts w:ascii="微软雅黑" w:hAnsi="微软雅黑" w:eastAsia="微软雅黑" w:cs="微软雅黑"/>
              <w:color w:val="231F20"/>
              <w:spacing w:val="-1"/>
              <w:sz w:val="18"/>
              <w:szCs w:val="18"/>
            </w:rPr>
            <w:t xml:space="preserve">                                         </w:t>
          </w:r>
          <w:r>
            <w:rPr>
              <w:b/>
              <w:bCs/>
              <w:color w:val="231F20"/>
              <w:spacing w:val="-1"/>
              <w:sz w:val="18"/>
              <w:szCs w:val="18"/>
            </w:rPr>
            <w:t>2</w:t>
          </w:r>
          <w:r>
            <w:rPr>
              <w:b/>
              <w:bCs/>
              <w:color w:val="231F20"/>
              <w:spacing w:val="-1"/>
              <w:sz w:val="18"/>
              <w:szCs w:val="18"/>
            </w:rPr>
            <w:fldChar w:fldCharType="end"/>
          </w:r>
        </w:p>
        <w:p w14:paraId="2F1552A3">
          <w:pPr>
            <w:pStyle w:val="2"/>
            <w:spacing w:before="29" w:line="199" w:lineRule="auto"/>
            <w:ind w:left="18"/>
            <w:rPr>
              <w:sz w:val="18"/>
              <w:szCs w:val="18"/>
            </w:rPr>
          </w:pPr>
          <w:bookmarkStart w:id="2" w:name="bookmark3"/>
          <w:bookmarkEnd w:id="2"/>
          <w:r>
            <w:fldChar w:fldCharType="begin"/>
          </w:r>
          <w:r>
            <w:instrText xml:space="preserve"> HYPERLINK \l "bookmark3" </w:instrText>
          </w:r>
          <w:r>
            <w:fldChar w:fldCharType="separate"/>
          </w:r>
          <w:r>
            <w:rPr>
              <w:rFonts w:ascii="微软雅黑" w:hAnsi="微软雅黑" w:eastAsia="微软雅黑" w:cs="微软雅黑"/>
              <w:color w:val="231F20"/>
              <w:spacing w:val="-1"/>
              <w:sz w:val="18"/>
              <w:szCs w:val="18"/>
            </w:rPr>
            <w:t xml:space="preserve">图 2 数据资产管理助力企业数字化转型                                               </w:t>
          </w:r>
          <w:r>
            <w:rPr>
              <w:b/>
              <w:bCs/>
              <w:color w:val="231F20"/>
              <w:spacing w:val="-1"/>
              <w:sz w:val="18"/>
              <w:szCs w:val="18"/>
            </w:rPr>
            <w:t>3</w:t>
          </w:r>
          <w:r>
            <w:rPr>
              <w:b/>
              <w:bCs/>
              <w:color w:val="231F20"/>
              <w:spacing w:val="-1"/>
              <w:sz w:val="18"/>
              <w:szCs w:val="18"/>
            </w:rPr>
            <w:fldChar w:fldCharType="end"/>
          </w:r>
        </w:p>
        <w:p w14:paraId="312E4888">
          <w:pPr>
            <w:pStyle w:val="2"/>
            <w:spacing w:before="30" w:line="199" w:lineRule="auto"/>
            <w:ind w:left="18"/>
            <w:rPr>
              <w:sz w:val="18"/>
              <w:szCs w:val="18"/>
            </w:rPr>
          </w:pPr>
          <w:bookmarkStart w:id="3" w:name="bookmark4"/>
          <w:bookmarkEnd w:id="3"/>
          <w:r>
            <w:fldChar w:fldCharType="begin"/>
          </w:r>
          <w:r>
            <w:instrText xml:space="preserve"> HYPERLINK \l "bookmark4" </w:instrText>
          </w:r>
          <w:r>
            <w:fldChar w:fldCharType="separate"/>
          </w:r>
          <w:r>
            <w:rPr>
              <w:rFonts w:ascii="微软雅黑" w:hAnsi="微软雅黑" w:eastAsia="微软雅黑" w:cs="微软雅黑"/>
              <w:color w:val="231F20"/>
              <w:spacing w:val="-1"/>
              <w:sz w:val="18"/>
              <w:szCs w:val="18"/>
            </w:rPr>
            <w:t xml:space="preserve">图 3 数据资产管理架构                                                                       </w:t>
          </w:r>
          <w:r>
            <w:rPr>
              <w:b/>
              <w:bCs/>
              <w:color w:val="231F20"/>
              <w:spacing w:val="-1"/>
              <w:sz w:val="18"/>
              <w:szCs w:val="18"/>
            </w:rPr>
            <w:t>5</w:t>
          </w:r>
          <w:r>
            <w:rPr>
              <w:b/>
              <w:bCs/>
              <w:color w:val="231F20"/>
              <w:spacing w:val="-1"/>
              <w:sz w:val="18"/>
              <w:szCs w:val="18"/>
            </w:rPr>
            <w:fldChar w:fldCharType="end"/>
          </w:r>
        </w:p>
        <w:p w14:paraId="050EB214">
          <w:pPr>
            <w:pStyle w:val="2"/>
            <w:spacing w:before="30" w:line="199" w:lineRule="auto"/>
            <w:ind w:left="18"/>
            <w:rPr>
              <w:sz w:val="18"/>
              <w:szCs w:val="18"/>
            </w:rPr>
          </w:pPr>
          <w:bookmarkStart w:id="4" w:name="bookmark5"/>
          <w:bookmarkEnd w:id="4"/>
          <w:r>
            <w:fldChar w:fldCharType="begin"/>
          </w:r>
          <w:r>
            <w:instrText xml:space="preserve"> HYPERLINK \l "bookmark5" </w:instrText>
          </w:r>
          <w:r>
            <w:fldChar w:fldCharType="separate"/>
          </w:r>
          <w:r>
            <w:rPr>
              <w:rFonts w:ascii="微软雅黑" w:hAnsi="微软雅黑" w:eastAsia="微软雅黑" w:cs="微软雅黑"/>
              <w:color w:val="231F20"/>
              <w:spacing w:val="-1"/>
              <w:sz w:val="18"/>
              <w:szCs w:val="18"/>
            </w:rPr>
            <w:t xml:space="preserve">图 4 数据资产管理难点                                                                       </w:t>
          </w:r>
          <w:r>
            <w:rPr>
              <w:b/>
              <w:bCs/>
              <w:color w:val="231F20"/>
              <w:spacing w:val="-1"/>
              <w:sz w:val="18"/>
              <w:szCs w:val="18"/>
            </w:rPr>
            <w:t>8</w:t>
          </w:r>
          <w:r>
            <w:rPr>
              <w:b/>
              <w:bCs/>
              <w:color w:val="231F20"/>
              <w:spacing w:val="-1"/>
              <w:sz w:val="18"/>
              <w:szCs w:val="18"/>
            </w:rPr>
            <w:fldChar w:fldCharType="end"/>
          </w:r>
        </w:p>
        <w:p w14:paraId="11F9D4BD">
          <w:pPr>
            <w:pStyle w:val="2"/>
            <w:spacing w:before="30" w:line="199" w:lineRule="auto"/>
            <w:ind w:left="18"/>
            <w:rPr>
              <w:sz w:val="18"/>
              <w:szCs w:val="18"/>
            </w:rPr>
          </w:pPr>
          <w:bookmarkStart w:id="5" w:name="bookmark6"/>
          <w:bookmarkEnd w:id="5"/>
          <w:r>
            <w:fldChar w:fldCharType="begin"/>
          </w:r>
          <w:r>
            <w:instrText xml:space="preserve"> HYPERLINK \l "bookmark6" </w:instrText>
          </w:r>
          <w:r>
            <w:fldChar w:fldCharType="separate"/>
          </w:r>
          <w:r>
            <w:rPr>
              <w:rFonts w:ascii="微软雅黑" w:hAnsi="微软雅黑" w:eastAsia="微软雅黑" w:cs="微软雅黑"/>
              <w:color w:val="231F20"/>
              <w:sz w:val="18"/>
              <w:szCs w:val="18"/>
            </w:rPr>
            <w:t xml:space="preserve">图 5 华为一体化数据建模示例                                                    </w:t>
          </w:r>
          <w:r>
            <w:rPr>
              <w:rFonts w:ascii="微软雅黑" w:hAnsi="微软雅黑" w:eastAsia="微软雅黑" w:cs="微软雅黑"/>
              <w:color w:val="231F20"/>
              <w:spacing w:val="-1"/>
              <w:sz w:val="18"/>
              <w:szCs w:val="18"/>
            </w:rPr>
            <w:t xml:space="preserve">        </w:t>
          </w:r>
          <w:r>
            <w:rPr>
              <w:b/>
              <w:bCs/>
              <w:color w:val="231F20"/>
              <w:spacing w:val="-1"/>
              <w:sz w:val="18"/>
              <w:szCs w:val="18"/>
            </w:rPr>
            <w:t>12</w:t>
          </w:r>
          <w:r>
            <w:rPr>
              <w:b/>
              <w:bCs/>
              <w:color w:val="231F20"/>
              <w:spacing w:val="-1"/>
              <w:sz w:val="18"/>
              <w:szCs w:val="18"/>
            </w:rPr>
            <w:fldChar w:fldCharType="end"/>
          </w:r>
        </w:p>
        <w:p w14:paraId="3E68B721">
          <w:pPr>
            <w:pStyle w:val="2"/>
            <w:spacing w:before="30" w:line="199" w:lineRule="auto"/>
            <w:ind w:left="18"/>
            <w:rPr>
              <w:sz w:val="18"/>
              <w:szCs w:val="18"/>
            </w:rPr>
          </w:pPr>
          <w:bookmarkStart w:id="6" w:name="bookmark7"/>
          <w:bookmarkEnd w:id="6"/>
          <w:r>
            <w:fldChar w:fldCharType="begin"/>
          </w:r>
          <w:r>
            <w:instrText xml:space="preserve"> HYPERLINK \l "bookmark7" </w:instrText>
          </w:r>
          <w:r>
            <w:fldChar w:fldCharType="separate"/>
          </w:r>
          <w:r>
            <w:rPr>
              <w:rFonts w:ascii="微软雅黑" w:hAnsi="微软雅黑" w:eastAsia="微软雅黑" w:cs="微软雅黑"/>
              <w:color w:val="231F20"/>
              <w:sz w:val="18"/>
              <w:szCs w:val="18"/>
            </w:rPr>
            <w:t xml:space="preserve">图 6 数据全流程质量校验管控                                                    </w:t>
          </w:r>
          <w:r>
            <w:rPr>
              <w:rFonts w:ascii="微软雅黑" w:hAnsi="微软雅黑" w:eastAsia="微软雅黑" w:cs="微软雅黑"/>
              <w:color w:val="231F20"/>
              <w:spacing w:val="-1"/>
              <w:sz w:val="18"/>
              <w:szCs w:val="18"/>
            </w:rPr>
            <w:t xml:space="preserve">        </w:t>
          </w:r>
          <w:r>
            <w:rPr>
              <w:b/>
              <w:bCs/>
              <w:color w:val="231F20"/>
              <w:spacing w:val="-1"/>
              <w:sz w:val="18"/>
              <w:szCs w:val="18"/>
            </w:rPr>
            <w:t>14</w:t>
          </w:r>
          <w:r>
            <w:rPr>
              <w:b/>
              <w:bCs/>
              <w:color w:val="231F20"/>
              <w:spacing w:val="-1"/>
              <w:sz w:val="18"/>
              <w:szCs w:val="18"/>
            </w:rPr>
            <w:fldChar w:fldCharType="end"/>
          </w:r>
        </w:p>
        <w:p w14:paraId="4087C6A4">
          <w:pPr>
            <w:pStyle w:val="2"/>
            <w:spacing w:before="30" w:line="199" w:lineRule="auto"/>
            <w:ind w:left="18"/>
            <w:rPr>
              <w:sz w:val="18"/>
              <w:szCs w:val="18"/>
            </w:rPr>
          </w:pPr>
          <w:bookmarkStart w:id="7" w:name="bookmark8"/>
          <w:bookmarkEnd w:id="7"/>
          <w:r>
            <w:fldChar w:fldCharType="begin"/>
          </w:r>
          <w:r>
            <w:instrText xml:space="preserve"> HYPERLINK \l "bookmark8" </w:instrText>
          </w:r>
          <w:r>
            <w:fldChar w:fldCharType="separate"/>
          </w:r>
          <w:r>
            <w:rPr>
              <w:rFonts w:ascii="微软雅黑" w:hAnsi="微软雅黑" w:eastAsia="微软雅黑" w:cs="微软雅黑"/>
              <w:color w:val="231F20"/>
              <w:sz w:val="18"/>
              <w:szCs w:val="18"/>
            </w:rPr>
            <w:t xml:space="preserve">图 7  数据安全分类分级流程与结果                                                    </w:t>
          </w:r>
          <w:r>
            <w:rPr>
              <w:b/>
              <w:bCs/>
              <w:color w:val="231F20"/>
              <w:sz w:val="18"/>
              <w:szCs w:val="18"/>
            </w:rPr>
            <w:t>16</w:t>
          </w:r>
          <w:r>
            <w:rPr>
              <w:b/>
              <w:bCs/>
              <w:color w:val="231F20"/>
              <w:sz w:val="18"/>
              <w:szCs w:val="18"/>
            </w:rPr>
            <w:fldChar w:fldCharType="end"/>
          </w:r>
        </w:p>
        <w:p w14:paraId="0776EDC1">
          <w:pPr>
            <w:pStyle w:val="2"/>
            <w:spacing w:before="29" w:line="199" w:lineRule="auto"/>
            <w:ind w:left="18"/>
            <w:rPr>
              <w:sz w:val="18"/>
              <w:szCs w:val="18"/>
            </w:rPr>
          </w:pPr>
          <w:bookmarkStart w:id="8" w:name="bookmark9"/>
          <w:bookmarkEnd w:id="8"/>
          <w:r>
            <w:fldChar w:fldCharType="begin"/>
          </w:r>
          <w:r>
            <w:instrText xml:space="preserve"> HYPERLINK \l "bookmark9" </w:instrText>
          </w:r>
          <w:r>
            <w:fldChar w:fldCharType="separate"/>
          </w:r>
          <w:r>
            <w:rPr>
              <w:rFonts w:ascii="微软雅黑" w:hAnsi="微软雅黑" w:eastAsia="微软雅黑" w:cs="微软雅黑"/>
              <w:color w:val="231F20"/>
              <w:sz w:val="18"/>
              <w:szCs w:val="18"/>
            </w:rPr>
            <w:t xml:space="preserve">图 8 工商银行数据开发流程示例                             </w:t>
          </w:r>
          <w:r>
            <w:rPr>
              <w:rFonts w:ascii="微软雅黑" w:hAnsi="微软雅黑" w:eastAsia="微软雅黑" w:cs="微软雅黑"/>
              <w:color w:val="231F20"/>
              <w:spacing w:val="-1"/>
              <w:sz w:val="18"/>
              <w:szCs w:val="18"/>
            </w:rPr>
            <w:t xml:space="preserve">                            </w:t>
          </w:r>
          <w:r>
            <w:rPr>
              <w:b/>
              <w:bCs/>
              <w:color w:val="231F20"/>
              <w:spacing w:val="-1"/>
              <w:sz w:val="18"/>
              <w:szCs w:val="18"/>
            </w:rPr>
            <w:t>18</w:t>
          </w:r>
          <w:r>
            <w:rPr>
              <w:b/>
              <w:bCs/>
              <w:color w:val="231F20"/>
              <w:spacing w:val="-1"/>
              <w:sz w:val="18"/>
              <w:szCs w:val="18"/>
            </w:rPr>
            <w:fldChar w:fldCharType="end"/>
          </w:r>
        </w:p>
        <w:p w14:paraId="31418381">
          <w:pPr>
            <w:pStyle w:val="2"/>
            <w:spacing w:before="30" w:line="199" w:lineRule="auto"/>
            <w:ind w:left="18"/>
            <w:rPr>
              <w:sz w:val="18"/>
              <w:szCs w:val="18"/>
            </w:rPr>
          </w:pPr>
          <w:bookmarkStart w:id="9" w:name="bookmark10"/>
          <w:bookmarkEnd w:id="9"/>
          <w:r>
            <w:fldChar w:fldCharType="begin"/>
          </w:r>
          <w:r>
            <w:instrText xml:space="preserve"> HYPERLINK \l "bookmark10" </w:instrText>
          </w:r>
          <w:r>
            <w:fldChar w:fldCharType="separate"/>
          </w:r>
          <w:r>
            <w:rPr>
              <w:rFonts w:ascii="微软雅黑" w:hAnsi="微软雅黑" w:eastAsia="微软雅黑" w:cs="微软雅黑"/>
              <w:color w:val="231F20"/>
              <w:sz w:val="18"/>
              <w:szCs w:val="18"/>
            </w:rPr>
            <w:t xml:space="preserve">图 9 数据共享、数据开放、数据交易的区别                 </w:t>
          </w:r>
          <w:r>
            <w:rPr>
              <w:rFonts w:ascii="微软雅黑" w:hAnsi="微软雅黑" w:eastAsia="微软雅黑" w:cs="微软雅黑"/>
              <w:color w:val="231F20"/>
              <w:spacing w:val="-1"/>
              <w:sz w:val="18"/>
              <w:szCs w:val="18"/>
            </w:rPr>
            <w:t xml:space="preserve">                       </w:t>
          </w:r>
          <w:r>
            <w:rPr>
              <w:b/>
              <w:bCs/>
              <w:color w:val="231F20"/>
              <w:spacing w:val="-1"/>
              <w:sz w:val="18"/>
              <w:szCs w:val="18"/>
            </w:rPr>
            <w:t>19</w:t>
          </w:r>
          <w:r>
            <w:rPr>
              <w:b/>
              <w:bCs/>
              <w:color w:val="231F20"/>
              <w:spacing w:val="-1"/>
              <w:sz w:val="18"/>
              <w:szCs w:val="18"/>
            </w:rPr>
            <w:fldChar w:fldCharType="end"/>
          </w:r>
        </w:p>
        <w:p w14:paraId="360648EF">
          <w:pPr>
            <w:pStyle w:val="2"/>
            <w:spacing w:before="30" w:line="199" w:lineRule="auto"/>
            <w:ind w:left="18"/>
            <w:rPr>
              <w:sz w:val="18"/>
              <w:szCs w:val="18"/>
            </w:rPr>
          </w:pPr>
          <w:bookmarkStart w:id="10" w:name="bookmark11"/>
          <w:bookmarkEnd w:id="10"/>
          <w:r>
            <w:fldChar w:fldCharType="begin"/>
          </w:r>
          <w:r>
            <w:instrText xml:space="preserve"> HYPERLINK \l "bookmark11" </w:instrText>
          </w:r>
          <w:r>
            <w:fldChar w:fldCharType="separate"/>
          </w:r>
          <w:r>
            <w:rPr>
              <w:rFonts w:ascii="微软雅黑" w:hAnsi="微软雅黑" w:eastAsia="微软雅黑" w:cs="微软雅黑"/>
              <w:color w:val="231F20"/>
              <w:sz w:val="18"/>
              <w:szCs w:val="18"/>
            </w:rPr>
            <w:t>图</w:t>
          </w:r>
          <w:r>
            <w:rPr>
              <w:rFonts w:ascii="微软雅黑" w:hAnsi="微软雅黑" w:eastAsia="微软雅黑" w:cs="微软雅黑"/>
              <w:color w:val="231F20"/>
              <w:spacing w:val="18"/>
              <w:sz w:val="18"/>
              <w:szCs w:val="18"/>
            </w:rPr>
            <w:t xml:space="preserve"> </w:t>
          </w:r>
          <w:r>
            <w:rPr>
              <w:rFonts w:ascii="微软雅黑" w:hAnsi="微软雅黑" w:eastAsia="微软雅黑" w:cs="微软雅黑"/>
              <w:color w:val="231F20"/>
              <w:sz w:val="18"/>
              <w:szCs w:val="18"/>
            </w:rPr>
            <w:t xml:space="preserve">10 数据资产交易标的物形式示意图                </w:t>
          </w:r>
          <w:r>
            <w:rPr>
              <w:rFonts w:ascii="微软雅黑" w:hAnsi="微软雅黑" w:eastAsia="微软雅黑" w:cs="微软雅黑"/>
              <w:color w:val="231F20"/>
              <w:spacing w:val="-1"/>
              <w:sz w:val="18"/>
              <w:szCs w:val="18"/>
            </w:rPr>
            <w:t xml:space="preserve">                                </w:t>
          </w:r>
          <w:r>
            <w:rPr>
              <w:b/>
              <w:bCs/>
              <w:color w:val="231F20"/>
              <w:spacing w:val="-1"/>
              <w:sz w:val="18"/>
              <w:szCs w:val="18"/>
            </w:rPr>
            <w:t>21</w:t>
          </w:r>
          <w:r>
            <w:rPr>
              <w:b/>
              <w:bCs/>
              <w:color w:val="231F20"/>
              <w:spacing w:val="-1"/>
              <w:sz w:val="18"/>
              <w:szCs w:val="18"/>
            </w:rPr>
            <w:fldChar w:fldCharType="end"/>
          </w:r>
        </w:p>
        <w:p w14:paraId="39A84B66">
          <w:pPr>
            <w:pStyle w:val="2"/>
            <w:spacing w:before="30" w:line="199" w:lineRule="auto"/>
            <w:ind w:left="18"/>
            <w:rPr>
              <w:sz w:val="18"/>
              <w:szCs w:val="18"/>
            </w:rPr>
          </w:pPr>
          <w:bookmarkStart w:id="11" w:name="bookmark12"/>
          <w:bookmarkEnd w:id="11"/>
          <w:r>
            <w:fldChar w:fldCharType="begin"/>
          </w:r>
          <w:r>
            <w:instrText xml:space="preserve"> HYPERLINK \l "bookmark12" </w:instrText>
          </w:r>
          <w:r>
            <w:fldChar w:fldCharType="separate"/>
          </w:r>
          <w:r>
            <w:rPr>
              <w:rFonts w:ascii="微软雅黑" w:hAnsi="微软雅黑" w:eastAsia="微软雅黑" w:cs="微软雅黑"/>
              <w:color w:val="231F20"/>
              <w:sz w:val="18"/>
              <w:szCs w:val="18"/>
            </w:rPr>
            <w:t>图</w:t>
          </w:r>
          <w:r>
            <w:rPr>
              <w:rFonts w:ascii="微软雅黑" w:hAnsi="微软雅黑" w:eastAsia="微软雅黑" w:cs="微软雅黑"/>
              <w:color w:val="231F20"/>
              <w:spacing w:val="18"/>
              <w:sz w:val="18"/>
              <w:szCs w:val="18"/>
            </w:rPr>
            <w:t xml:space="preserve"> </w:t>
          </w:r>
          <w:r>
            <w:rPr>
              <w:rFonts w:ascii="微软雅黑" w:hAnsi="微软雅黑" w:eastAsia="微软雅黑" w:cs="微软雅黑"/>
              <w:color w:val="231F20"/>
              <w:sz w:val="18"/>
              <w:szCs w:val="18"/>
            </w:rPr>
            <w:t xml:space="preserve">11 数据战略管理流程与要点                                 </w:t>
          </w:r>
          <w:r>
            <w:rPr>
              <w:rFonts w:ascii="微软雅黑" w:hAnsi="微软雅黑" w:eastAsia="微软雅黑" w:cs="微软雅黑"/>
              <w:color w:val="231F20"/>
              <w:spacing w:val="-1"/>
              <w:sz w:val="18"/>
              <w:szCs w:val="18"/>
            </w:rPr>
            <w:t xml:space="preserve">                         </w:t>
          </w:r>
          <w:r>
            <w:rPr>
              <w:b/>
              <w:bCs/>
              <w:color w:val="231F20"/>
              <w:spacing w:val="-1"/>
              <w:sz w:val="18"/>
              <w:szCs w:val="18"/>
            </w:rPr>
            <w:t>26</w:t>
          </w:r>
          <w:r>
            <w:rPr>
              <w:b/>
              <w:bCs/>
              <w:color w:val="231F20"/>
              <w:spacing w:val="-1"/>
              <w:sz w:val="18"/>
              <w:szCs w:val="18"/>
            </w:rPr>
            <w:fldChar w:fldCharType="end"/>
          </w:r>
        </w:p>
        <w:p w14:paraId="00A121C3">
          <w:pPr>
            <w:pStyle w:val="2"/>
            <w:spacing w:before="30" w:line="199" w:lineRule="auto"/>
            <w:ind w:left="18"/>
            <w:rPr>
              <w:sz w:val="18"/>
              <w:szCs w:val="18"/>
            </w:rPr>
          </w:pPr>
          <w:bookmarkStart w:id="12" w:name="bookmark13"/>
          <w:bookmarkEnd w:id="12"/>
          <w:r>
            <w:fldChar w:fldCharType="begin"/>
          </w:r>
          <w:r>
            <w:instrText xml:space="preserve"> HYPERLINK \l "bookmark13" </w:instrText>
          </w:r>
          <w:r>
            <w:fldChar w:fldCharType="separate"/>
          </w:r>
          <w:r>
            <w:rPr>
              <w:rFonts w:ascii="微软雅黑" w:hAnsi="微软雅黑" w:eastAsia="微软雅黑" w:cs="微软雅黑"/>
              <w:color w:val="231F20"/>
              <w:sz w:val="18"/>
              <w:szCs w:val="18"/>
            </w:rPr>
            <w:t>图</w:t>
          </w:r>
          <w:r>
            <w:rPr>
              <w:rFonts w:ascii="微软雅黑" w:hAnsi="微软雅黑" w:eastAsia="微软雅黑" w:cs="微软雅黑"/>
              <w:color w:val="231F20"/>
              <w:spacing w:val="18"/>
              <w:sz w:val="18"/>
              <w:szCs w:val="18"/>
            </w:rPr>
            <w:t xml:space="preserve"> </w:t>
          </w:r>
          <w:r>
            <w:rPr>
              <w:rFonts w:ascii="微软雅黑" w:hAnsi="微软雅黑" w:eastAsia="微软雅黑" w:cs="微软雅黑"/>
              <w:color w:val="231F20"/>
              <w:sz w:val="18"/>
              <w:szCs w:val="18"/>
            </w:rPr>
            <w:t xml:space="preserve">12 集中式数据资产管理组织架构                                       </w:t>
          </w:r>
          <w:r>
            <w:rPr>
              <w:rFonts w:ascii="微软雅黑" w:hAnsi="微软雅黑" w:eastAsia="微软雅黑" w:cs="微软雅黑"/>
              <w:color w:val="231F20"/>
              <w:spacing w:val="-1"/>
              <w:sz w:val="18"/>
              <w:szCs w:val="18"/>
            </w:rPr>
            <w:t xml:space="preserve">            </w:t>
          </w:r>
          <w:r>
            <w:rPr>
              <w:b/>
              <w:bCs/>
              <w:color w:val="231F20"/>
              <w:spacing w:val="-1"/>
              <w:sz w:val="18"/>
              <w:szCs w:val="18"/>
            </w:rPr>
            <w:t>28</w:t>
          </w:r>
          <w:r>
            <w:rPr>
              <w:b/>
              <w:bCs/>
              <w:color w:val="231F20"/>
              <w:spacing w:val="-1"/>
              <w:sz w:val="18"/>
              <w:szCs w:val="18"/>
            </w:rPr>
            <w:fldChar w:fldCharType="end"/>
          </w:r>
        </w:p>
        <w:p w14:paraId="598AAF92">
          <w:pPr>
            <w:pStyle w:val="2"/>
            <w:spacing w:before="30" w:line="199" w:lineRule="auto"/>
            <w:ind w:left="18"/>
            <w:rPr>
              <w:sz w:val="18"/>
              <w:szCs w:val="18"/>
            </w:rPr>
          </w:pPr>
          <w:bookmarkStart w:id="13" w:name="bookmark14"/>
          <w:bookmarkEnd w:id="13"/>
          <w:r>
            <w:fldChar w:fldCharType="begin"/>
          </w:r>
          <w:r>
            <w:instrText xml:space="preserve"> HYPERLINK \l "bookmark14" </w:instrText>
          </w:r>
          <w:r>
            <w:fldChar w:fldCharType="separate"/>
          </w:r>
          <w:r>
            <w:rPr>
              <w:rFonts w:ascii="微软雅黑" w:hAnsi="微软雅黑" w:eastAsia="微软雅黑" w:cs="微软雅黑"/>
              <w:color w:val="231F20"/>
              <w:sz w:val="18"/>
              <w:szCs w:val="18"/>
            </w:rPr>
            <w:t>图</w:t>
          </w:r>
          <w:r>
            <w:rPr>
              <w:rFonts w:ascii="微软雅黑" w:hAnsi="微软雅黑" w:eastAsia="微软雅黑" w:cs="微软雅黑"/>
              <w:color w:val="231F20"/>
              <w:spacing w:val="18"/>
              <w:sz w:val="18"/>
              <w:szCs w:val="18"/>
            </w:rPr>
            <w:t xml:space="preserve"> </w:t>
          </w:r>
          <w:r>
            <w:rPr>
              <w:rFonts w:ascii="微软雅黑" w:hAnsi="微软雅黑" w:eastAsia="微软雅黑" w:cs="微软雅黑"/>
              <w:color w:val="231F20"/>
              <w:sz w:val="18"/>
              <w:szCs w:val="18"/>
            </w:rPr>
            <w:t xml:space="preserve">13 联邦式数据资产管理组织架构                                       </w:t>
          </w:r>
          <w:r>
            <w:rPr>
              <w:rFonts w:ascii="微软雅黑" w:hAnsi="微软雅黑" w:eastAsia="微软雅黑" w:cs="微软雅黑"/>
              <w:color w:val="231F20"/>
              <w:spacing w:val="-1"/>
              <w:sz w:val="18"/>
              <w:szCs w:val="18"/>
            </w:rPr>
            <w:t xml:space="preserve">            </w:t>
          </w:r>
          <w:r>
            <w:rPr>
              <w:b/>
              <w:bCs/>
              <w:color w:val="231F20"/>
              <w:spacing w:val="-1"/>
              <w:sz w:val="18"/>
              <w:szCs w:val="18"/>
            </w:rPr>
            <w:t>28</w:t>
          </w:r>
          <w:r>
            <w:rPr>
              <w:b/>
              <w:bCs/>
              <w:color w:val="231F20"/>
              <w:spacing w:val="-1"/>
              <w:sz w:val="18"/>
              <w:szCs w:val="18"/>
            </w:rPr>
            <w:fldChar w:fldCharType="end"/>
          </w:r>
        </w:p>
        <w:p w14:paraId="10B74AE4">
          <w:pPr>
            <w:pStyle w:val="2"/>
            <w:spacing w:before="30" w:line="199" w:lineRule="auto"/>
            <w:ind w:left="18"/>
            <w:rPr>
              <w:sz w:val="18"/>
              <w:szCs w:val="18"/>
            </w:rPr>
          </w:pPr>
          <w:bookmarkStart w:id="14" w:name="bookmark15"/>
          <w:bookmarkEnd w:id="14"/>
          <w:r>
            <w:fldChar w:fldCharType="begin"/>
          </w:r>
          <w:r>
            <w:instrText xml:space="preserve"> HYPERLINK \l "bookmark15" </w:instrText>
          </w:r>
          <w:r>
            <w:fldChar w:fldCharType="separate"/>
          </w:r>
          <w:r>
            <w:rPr>
              <w:rFonts w:ascii="微软雅黑" w:hAnsi="微软雅黑" w:eastAsia="微软雅黑" w:cs="微软雅黑"/>
              <w:color w:val="231F20"/>
              <w:sz w:val="18"/>
              <w:szCs w:val="18"/>
            </w:rPr>
            <w:t>图</w:t>
          </w:r>
          <w:r>
            <w:rPr>
              <w:rFonts w:ascii="微软雅黑" w:hAnsi="微软雅黑" w:eastAsia="微软雅黑" w:cs="微软雅黑"/>
              <w:color w:val="231F20"/>
              <w:spacing w:val="18"/>
              <w:sz w:val="18"/>
              <w:szCs w:val="18"/>
            </w:rPr>
            <w:t xml:space="preserve"> </w:t>
          </w:r>
          <w:r>
            <w:rPr>
              <w:rFonts w:ascii="微软雅黑" w:hAnsi="微软雅黑" w:eastAsia="微软雅黑" w:cs="微软雅黑"/>
              <w:color w:val="231F20"/>
              <w:sz w:val="18"/>
              <w:szCs w:val="18"/>
            </w:rPr>
            <w:t xml:space="preserve">14数据资产管理制度体系架构           </w:t>
          </w:r>
          <w:r>
            <w:rPr>
              <w:rFonts w:ascii="微软雅黑" w:hAnsi="微软雅黑" w:eastAsia="微软雅黑" w:cs="微软雅黑"/>
              <w:color w:val="231F20"/>
              <w:spacing w:val="-1"/>
              <w:sz w:val="18"/>
              <w:szCs w:val="18"/>
            </w:rPr>
            <w:t xml:space="preserve">                                             </w:t>
          </w:r>
          <w:r>
            <w:rPr>
              <w:b/>
              <w:bCs/>
              <w:color w:val="231F20"/>
              <w:spacing w:val="-1"/>
              <w:sz w:val="18"/>
              <w:szCs w:val="18"/>
            </w:rPr>
            <w:t>31</w:t>
          </w:r>
          <w:r>
            <w:rPr>
              <w:b/>
              <w:bCs/>
              <w:color w:val="231F20"/>
              <w:spacing w:val="-1"/>
              <w:sz w:val="18"/>
              <w:szCs w:val="18"/>
            </w:rPr>
            <w:fldChar w:fldCharType="end"/>
          </w:r>
        </w:p>
        <w:p w14:paraId="48A51CF9">
          <w:pPr>
            <w:pStyle w:val="2"/>
            <w:spacing w:before="30" w:line="199" w:lineRule="auto"/>
            <w:ind w:left="18"/>
            <w:rPr>
              <w:sz w:val="18"/>
              <w:szCs w:val="18"/>
            </w:rPr>
          </w:pPr>
          <w:bookmarkStart w:id="15" w:name="bookmark16"/>
          <w:bookmarkEnd w:id="15"/>
          <w:r>
            <w:fldChar w:fldCharType="begin"/>
          </w:r>
          <w:r>
            <w:instrText xml:space="preserve"> HYPERLINK \l "bookmark16" </w:instrText>
          </w:r>
          <w:r>
            <w:fldChar w:fldCharType="separate"/>
          </w:r>
          <w:r>
            <w:rPr>
              <w:rFonts w:ascii="微软雅黑" w:hAnsi="微软雅黑" w:eastAsia="微软雅黑" w:cs="微软雅黑"/>
              <w:color w:val="231F20"/>
              <w:spacing w:val="-1"/>
              <w:sz w:val="18"/>
              <w:szCs w:val="18"/>
            </w:rPr>
            <w:t>图</w:t>
          </w:r>
          <w:r>
            <w:rPr>
              <w:rFonts w:ascii="微软雅黑" w:hAnsi="微软雅黑" w:eastAsia="微软雅黑" w:cs="微软雅黑"/>
              <w:color w:val="231F20"/>
              <w:spacing w:val="36"/>
              <w:sz w:val="18"/>
              <w:szCs w:val="18"/>
            </w:rPr>
            <w:t xml:space="preserve"> </w:t>
          </w:r>
          <w:r>
            <w:rPr>
              <w:rFonts w:ascii="微软雅黑" w:hAnsi="微软雅黑" w:eastAsia="微软雅黑" w:cs="微软雅黑"/>
              <w:color w:val="231F20"/>
              <w:spacing w:val="-1"/>
              <w:sz w:val="18"/>
              <w:szCs w:val="18"/>
            </w:rPr>
            <w:t xml:space="preserve">15 数据资产管理长效机制                                                              </w:t>
          </w:r>
          <w:r>
            <w:rPr>
              <w:b/>
              <w:bCs/>
              <w:color w:val="231F20"/>
              <w:spacing w:val="-1"/>
              <w:sz w:val="18"/>
              <w:szCs w:val="18"/>
            </w:rPr>
            <w:t>33</w:t>
          </w:r>
          <w:r>
            <w:rPr>
              <w:b/>
              <w:bCs/>
              <w:color w:val="231F20"/>
              <w:spacing w:val="-1"/>
              <w:sz w:val="18"/>
              <w:szCs w:val="18"/>
            </w:rPr>
            <w:fldChar w:fldCharType="end"/>
          </w:r>
        </w:p>
        <w:p w14:paraId="4D7ED9AD">
          <w:pPr>
            <w:pStyle w:val="2"/>
            <w:spacing w:before="30" w:line="199" w:lineRule="auto"/>
            <w:ind w:left="18"/>
            <w:rPr>
              <w:sz w:val="18"/>
              <w:szCs w:val="18"/>
            </w:rPr>
          </w:pPr>
          <w:bookmarkStart w:id="16" w:name="bookmark17"/>
          <w:bookmarkEnd w:id="16"/>
          <w:r>
            <w:fldChar w:fldCharType="begin"/>
          </w:r>
          <w:r>
            <w:instrText xml:space="preserve"> HYPERLINK \l "bookmark17" </w:instrText>
          </w:r>
          <w:r>
            <w:fldChar w:fldCharType="separate"/>
          </w:r>
          <w:r>
            <w:rPr>
              <w:rFonts w:ascii="微软雅黑" w:hAnsi="微软雅黑" w:eastAsia="微软雅黑" w:cs="微软雅黑"/>
              <w:color w:val="231F20"/>
              <w:spacing w:val="-1"/>
              <w:sz w:val="18"/>
              <w:szCs w:val="18"/>
            </w:rPr>
            <w:t>图</w:t>
          </w:r>
          <w:r>
            <w:rPr>
              <w:rFonts w:ascii="微软雅黑" w:hAnsi="微软雅黑" w:eastAsia="微软雅黑" w:cs="微软雅黑"/>
              <w:color w:val="231F20"/>
              <w:spacing w:val="36"/>
              <w:sz w:val="18"/>
              <w:szCs w:val="18"/>
            </w:rPr>
            <w:t xml:space="preserve"> </w:t>
          </w:r>
          <w:r>
            <w:rPr>
              <w:rFonts w:ascii="微软雅黑" w:hAnsi="微软雅黑" w:eastAsia="微软雅黑" w:cs="微软雅黑"/>
              <w:color w:val="231F20"/>
              <w:spacing w:val="-1"/>
              <w:sz w:val="18"/>
              <w:szCs w:val="18"/>
            </w:rPr>
            <w:t xml:space="preserve">16 数据资产管理实践步骤                                                              </w:t>
          </w:r>
          <w:r>
            <w:rPr>
              <w:b/>
              <w:bCs/>
              <w:color w:val="231F20"/>
              <w:spacing w:val="-1"/>
              <w:sz w:val="18"/>
              <w:szCs w:val="18"/>
            </w:rPr>
            <w:t>34</w:t>
          </w:r>
          <w:r>
            <w:rPr>
              <w:b/>
              <w:bCs/>
              <w:color w:val="231F20"/>
              <w:spacing w:val="-1"/>
              <w:sz w:val="18"/>
              <w:szCs w:val="18"/>
            </w:rPr>
            <w:fldChar w:fldCharType="end"/>
          </w:r>
        </w:p>
        <w:p w14:paraId="13FD8931">
          <w:pPr>
            <w:pStyle w:val="2"/>
            <w:spacing w:before="30" w:line="199" w:lineRule="auto"/>
            <w:ind w:left="18"/>
            <w:rPr>
              <w:sz w:val="18"/>
              <w:szCs w:val="18"/>
            </w:rPr>
          </w:pPr>
          <w:bookmarkStart w:id="17" w:name="bookmark18"/>
          <w:bookmarkEnd w:id="17"/>
          <w:r>
            <w:fldChar w:fldCharType="begin"/>
          </w:r>
          <w:r>
            <w:instrText xml:space="preserve"> HYPERLINK \l "bookmark18" </w:instrText>
          </w:r>
          <w:r>
            <w:fldChar w:fldCharType="separate"/>
          </w:r>
          <w:r>
            <w:rPr>
              <w:rFonts w:ascii="微软雅黑" w:hAnsi="微软雅黑" w:eastAsia="微软雅黑" w:cs="微软雅黑"/>
              <w:color w:val="231F20"/>
              <w:spacing w:val="-1"/>
              <w:sz w:val="18"/>
              <w:szCs w:val="18"/>
            </w:rPr>
            <w:t>图</w:t>
          </w:r>
          <w:r>
            <w:rPr>
              <w:rFonts w:ascii="微软雅黑" w:hAnsi="微软雅黑" w:eastAsia="微软雅黑" w:cs="微软雅黑"/>
              <w:color w:val="231F20"/>
              <w:spacing w:val="36"/>
              <w:sz w:val="18"/>
              <w:szCs w:val="18"/>
            </w:rPr>
            <w:t xml:space="preserve"> </w:t>
          </w:r>
          <w:r>
            <w:rPr>
              <w:rFonts w:ascii="微软雅黑" w:hAnsi="微软雅黑" w:eastAsia="微软雅黑" w:cs="微软雅黑"/>
              <w:color w:val="231F20"/>
              <w:spacing w:val="-1"/>
              <w:sz w:val="18"/>
              <w:szCs w:val="18"/>
            </w:rPr>
            <w:t xml:space="preserve">17 数据资产项目管理要点                                                              </w:t>
          </w:r>
          <w:r>
            <w:rPr>
              <w:b/>
              <w:bCs/>
              <w:color w:val="231F20"/>
              <w:spacing w:val="-1"/>
              <w:sz w:val="18"/>
              <w:szCs w:val="18"/>
            </w:rPr>
            <w:t>37</w:t>
          </w:r>
          <w:r>
            <w:rPr>
              <w:b/>
              <w:bCs/>
              <w:color w:val="231F20"/>
              <w:spacing w:val="-1"/>
              <w:sz w:val="18"/>
              <w:szCs w:val="18"/>
            </w:rPr>
            <w:fldChar w:fldCharType="end"/>
          </w:r>
        </w:p>
        <w:p w14:paraId="6EAD4CF0">
          <w:pPr>
            <w:pStyle w:val="2"/>
            <w:spacing w:before="30" w:line="199" w:lineRule="auto"/>
            <w:ind w:left="18"/>
            <w:rPr>
              <w:sz w:val="18"/>
              <w:szCs w:val="18"/>
            </w:rPr>
          </w:pPr>
          <w:bookmarkStart w:id="18" w:name="bookmark19"/>
          <w:bookmarkEnd w:id="18"/>
          <w:r>
            <w:fldChar w:fldCharType="begin"/>
          </w:r>
          <w:r>
            <w:instrText xml:space="preserve"> HYPERLINK \l "bookmark19" </w:instrText>
          </w:r>
          <w:r>
            <w:fldChar w:fldCharType="separate"/>
          </w:r>
          <w:r>
            <w:rPr>
              <w:rFonts w:ascii="微软雅黑" w:hAnsi="微软雅黑" w:eastAsia="微软雅黑" w:cs="微软雅黑"/>
              <w:color w:val="231F20"/>
              <w:sz w:val="18"/>
              <w:szCs w:val="18"/>
            </w:rPr>
            <w:t>图</w:t>
          </w:r>
          <w:r>
            <w:rPr>
              <w:rFonts w:ascii="微软雅黑" w:hAnsi="微软雅黑" w:eastAsia="微软雅黑" w:cs="微软雅黑"/>
              <w:color w:val="231F20"/>
              <w:spacing w:val="18"/>
              <w:sz w:val="18"/>
              <w:szCs w:val="18"/>
            </w:rPr>
            <w:t xml:space="preserve"> </w:t>
          </w:r>
          <w:r>
            <w:rPr>
              <w:rFonts w:ascii="微软雅黑" w:hAnsi="微软雅黑" w:eastAsia="微软雅黑" w:cs="微软雅黑"/>
              <w:color w:val="231F20"/>
              <w:sz w:val="18"/>
              <w:szCs w:val="18"/>
            </w:rPr>
            <w:t xml:space="preserve">18 敏捷式数据资产管理示意图          </w:t>
          </w:r>
          <w:r>
            <w:rPr>
              <w:rFonts w:ascii="微软雅黑" w:hAnsi="微软雅黑" w:eastAsia="微软雅黑" w:cs="微软雅黑"/>
              <w:color w:val="231F20"/>
              <w:spacing w:val="-1"/>
              <w:sz w:val="18"/>
              <w:szCs w:val="18"/>
            </w:rPr>
            <w:t xml:space="preserve">                                             </w:t>
          </w:r>
          <w:r>
            <w:rPr>
              <w:b/>
              <w:bCs/>
              <w:color w:val="231F20"/>
              <w:spacing w:val="-1"/>
              <w:sz w:val="18"/>
              <w:szCs w:val="18"/>
            </w:rPr>
            <w:t>39</w:t>
          </w:r>
          <w:r>
            <w:rPr>
              <w:b/>
              <w:bCs/>
              <w:color w:val="231F20"/>
              <w:spacing w:val="-1"/>
              <w:sz w:val="18"/>
              <w:szCs w:val="18"/>
            </w:rPr>
            <w:fldChar w:fldCharType="end"/>
          </w:r>
        </w:p>
        <w:p w14:paraId="56C9F637">
          <w:pPr>
            <w:pStyle w:val="2"/>
            <w:spacing w:before="30" w:line="199" w:lineRule="auto"/>
            <w:ind w:left="18"/>
            <w:rPr>
              <w:sz w:val="18"/>
              <w:szCs w:val="18"/>
            </w:rPr>
          </w:pPr>
          <w:bookmarkStart w:id="19" w:name="bookmark20"/>
          <w:bookmarkEnd w:id="19"/>
          <w:r>
            <w:fldChar w:fldCharType="begin"/>
          </w:r>
          <w:r>
            <w:instrText xml:space="preserve"> HYPERLINK \l "bookmark20" </w:instrText>
          </w:r>
          <w:r>
            <w:fldChar w:fldCharType="separate"/>
          </w:r>
          <w:r>
            <w:rPr>
              <w:rFonts w:ascii="微软雅黑" w:hAnsi="微软雅黑" w:eastAsia="微软雅黑" w:cs="微软雅黑"/>
              <w:color w:val="231F20"/>
              <w:sz w:val="18"/>
              <w:szCs w:val="18"/>
            </w:rPr>
            <w:t>图</w:t>
          </w:r>
          <w:r>
            <w:rPr>
              <w:rFonts w:ascii="微软雅黑" w:hAnsi="微软雅黑" w:eastAsia="微软雅黑" w:cs="微软雅黑"/>
              <w:color w:val="231F20"/>
              <w:spacing w:val="18"/>
              <w:w w:val="101"/>
              <w:sz w:val="18"/>
              <w:szCs w:val="18"/>
            </w:rPr>
            <w:t xml:space="preserve"> </w:t>
          </w:r>
          <w:r>
            <w:rPr>
              <w:rFonts w:ascii="微软雅黑" w:hAnsi="微软雅黑" w:eastAsia="微软雅黑" w:cs="微软雅黑"/>
              <w:color w:val="231F20"/>
              <w:sz w:val="18"/>
              <w:szCs w:val="18"/>
            </w:rPr>
            <w:t xml:space="preserve">19 数据复杂性持续增加                           </w:t>
          </w:r>
          <w:r>
            <w:rPr>
              <w:rFonts w:ascii="微软雅黑" w:hAnsi="微软雅黑" w:eastAsia="微软雅黑" w:cs="微软雅黑"/>
              <w:color w:val="231F20"/>
              <w:spacing w:val="-1"/>
              <w:sz w:val="18"/>
              <w:szCs w:val="18"/>
            </w:rPr>
            <w:t xml:space="preserve">                                      </w:t>
          </w:r>
          <w:r>
            <w:rPr>
              <w:b/>
              <w:bCs/>
              <w:color w:val="231F20"/>
              <w:spacing w:val="-1"/>
              <w:sz w:val="18"/>
              <w:szCs w:val="18"/>
            </w:rPr>
            <w:t>43</w:t>
          </w:r>
          <w:r>
            <w:rPr>
              <w:b/>
              <w:bCs/>
              <w:color w:val="231F20"/>
              <w:spacing w:val="-1"/>
              <w:sz w:val="18"/>
              <w:szCs w:val="18"/>
            </w:rPr>
            <w:fldChar w:fldCharType="end"/>
          </w:r>
        </w:p>
        <w:p w14:paraId="20F12FFF">
          <w:pPr>
            <w:pStyle w:val="2"/>
            <w:spacing w:before="30" w:line="184" w:lineRule="auto"/>
            <w:ind w:left="18"/>
            <w:rPr>
              <w:sz w:val="18"/>
              <w:szCs w:val="18"/>
            </w:rPr>
          </w:pPr>
          <w:bookmarkStart w:id="20" w:name="bookmark21"/>
          <w:bookmarkEnd w:id="20"/>
          <w:r>
            <w:fldChar w:fldCharType="begin"/>
          </w:r>
          <w:r>
            <w:instrText xml:space="preserve"> HYPERLINK \l "bookmark21" </w:instrText>
          </w:r>
          <w:r>
            <w:fldChar w:fldCharType="separate"/>
          </w:r>
          <w:r>
            <w:rPr>
              <w:rFonts w:ascii="微软雅黑" w:hAnsi="微软雅黑" w:eastAsia="微软雅黑" w:cs="微软雅黑"/>
              <w:color w:val="231F20"/>
              <w:spacing w:val="-1"/>
              <w:sz w:val="18"/>
              <w:szCs w:val="18"/>
            </w:rPr>
            <w:t xml:space="preserve">图 20 DataOps：敏捷协同的一体化管理 </w:t>
          </w:r>
          <w:r>
            <w:rPr>
              <w:rFonts w:ascii="微软雅黑" w:hAnsi="微软雅黑" w:eastAsia="微软雅黑" w:cs="微软雅黑"/>
              <w:color w:val="231F20"/>
              <w:spacing w:val="-2"/>
              <w:sz w:val="18"/>
              <w:szCs w:val="18"/>
            </w:rPr>
            <w:t xml:space="preserve">                                             </w:t>
          </w:r>
          <w:r>
            <w:rPr>
              <w:b/>
              <w:bCs/>
              <w:color w:val="231F20"/>
              <w:spacing w:val="-2"/>
              <w:sz w:val="18"/>
              <w:szCs w:val="18"/>
            </w:rPr>
            <w:t>45</w:t>
          </w:r>
          <w:r>
            <w:rPr>
              <w:b/>
              <w:bCs/>
              <w:color w:val="231F20"/>
              <w:spacing w:val="-2"/>
              <w:sz w:val="18"/>
              <w:szCs w:val="18"/>
            </w:rPr>
            <w:fldChar w:fldCharType="end"/>
          </w:r>
        </w:p>
      </w:sdtContent>
    </w:sdt>
    <w:p w14:paraId="3D8B2AC0">
      <w:pPr>
        <w:pStyle w:val="2"/>
        <w:spacing w:line="277" w:lineRule="auto"/>
      </w:pPr>
    </w:p>
    <w:p w14:paraId="63E66F2F">
      <w:pPr>
        <w:pStyle w:val="2"/>
        <w:spacing w:line="277" w:lineRule="auto"/>
      </w:pPr>
    </w:p>
    <w:p w14:paraId="5004B5FF">
      <w:pPr>
        <w:pStyle w:val="2"/>
        <w:spacing w:line="277" w:lineRule="auto"/>
      </w:pPr>
    </w:p>
    <w:p w14:paraId="229CFDC6">
      <w:pPr>
        <w:pStyle w:val="2"/>
        <w:spacing w:line="277" w:lineRule="auto"/>
      </w:pPr>
    </w:p>
    <w:sdt>
      <w:sdtPr>
        <w:rPr>
          <w:rFonts w:ascii="微软雅黑" w:hAnsi="微软雅黑" w:eastAsia="微软雅黑" w:cs="微软雅黑"/>
          <w:sz w:val="18"/>
          <w:szCs w:val="18"/>
        </w:rPr>
        <w:id w:val="147470836"/>
        <w:docPartObj>
          <w:docPartGallery w:val="Table of Contents"/>
          <w:docPartUnique/>
        </w:docPartObj>
      </w:sdtPr>
      <w:sdtEndPr>
        <w:rPr>
          <w:rFonts w:ascii="Arial" w:hAnsi="Arial" w:eastAsia="Arial" w:cs="Arial"/>
          <w:sz w:val="18"/>
          <w:szCs w:val="18"/>
        </w:rPr>
      </w:sdtEndPr>
      <w:sdtContent>
        <w:p w14:paraId="10F29F95">
          <w:pPr>
            <w:pStyle w:val="2"/>
            <w:spacing w:before="78" w:line="199" w:lineRule="auto"/>
            <w:rPr>
              <w:sz w:val="18"/>
              <w:szCs w:val="18"/>
            </w:rPr>
          </w:pPr>
          <w:bookmarkStart w:id="21" w:name="bookmark22"/>
          <w:bookmarkEnd w:id="21"/>
          <w:r>
            <w:fldChar w:fldCharType="begin"/>
          </w:r>
          <w:r>
            <w:instrText xml:space="preserve"> HYPERLINK \l "bookmark22" </w:instrText>
          </w:r>
          <w:r>
            <w:fldChar w:fldCharType="separate"/>
          </w:r>
          <w:r>
            <w:rPr>
              <w:rFonts w:ascii="微软雅黑" w:hAnsi="微软雅黑" w:eastAsia="微软雅黑" w:cs="微软雅黑"/>
              <w:color w:val="231F20"/>
              <w:sz w:val="18"/>
              <w:szCs w:val="18"/>
            </w:rPr>
            <w:t>表</w:t>
          </w:r>
          <w:r>
            <w:rPr>
              <w:rFonts w:ascii="微软雅黑" w:hAnsi="微软雅黑" w:eastAsia="微软雅黑" w:cs="微软雅黑"/>
              <w:color w:val="231F20"/>
              <w:spacing w:val="25"/>
              <w:sz w:val="18"/>
              <w:szCs w:val="18"/>
            </w:rPr>
            <w:t xml:space="preserve"> </w:t>
          </w:r>
          <w:r>
            <w:rPr>
              <w:rFonts w:ascii="微软雅黑" w:hAnsi="微软雅黑" w:eastAsia="微软雅黑" w:cs="微软雅黑"/>
              <w:color w:val="231F20"/>
              <w:sz w:val="18"/>
              <w:szCs w:val="18"/>
            </w:rPr>
            <w:t xml:space="preserve">1 我国涉及自然人、法人和非法人数据权益的法规及其定义            </w:t>
          </w:r>
          <w:r>
            <w:rPr>
              <w:b/>
              <w:bCs/>
              <w:color w:val="231F20"/>
              <w:sz w:val="18"/>
              <w:szCs w:val="18"/>
            </w:rPr>
            <w:t>4</w:t>
          </w:r>
          <w:r>
            <w:rPr>
              <w:b/>
              <w:bCs/>
              <w:color w:val="231F20"/>
              <w:sz w:val="18"/>
              <w:szCs w:val="18"/>
            </w:rPr>
            <w:fldChar w:fldCharType="end"/>
          </w:r>
        </w:p>
        <w:p w14:paraId="35F8F9C6">
          <w:pPr>
            <w:pStyle w:val="2"/>
            <w:spacing w:before="30" w:line="199" w:lineRule="auto"/>
            <w:rPr>
              <w:sz w:val="18"/>
              <w:szCs w:val="18"/>
            </w:rPr>
          </w:pPr>
          <w:bookmarkStart w:id="22" w:name="bookmark23"/>
          <w:bookmarkEnd w:id="22"/>
          <w:r>
            <w:fldChar w:fldCharType="begin"/>
          </w:r>
          <w:r>
            <w:instrText xml:space="preserve"> HYPERLINK \l "bookmark23" </w:instrText>
          </w:r>
          <w:r>
            <w:fldChar w:fldCharType="separate"/>
          </w:r>
          <w:r>
            <w:rPr>
              <w:rFonts w:ascii="微软雅黑" w:hAnsi="微软雅黑" w:eastAsia="微软雅黑" w:cs="微软雅黑"/>
              <w:color w:val="231F20"/>
              <w:sz w:val="18"/>
              <w:szCs w:val="18"/>
            </w:rPr>
            <w:t>表 2</w:t>
          </w:r>
          <w:r>
            <w:rPr>
              <w:rFonts w:ascii="微软雅黑" w:hAnsi="微软雅黑" w:eastAsia="微软雅黑" w:cs="微软雅黑"/>
              <w:color w:val="231F20"/>
              <w:spacing w:val="34"/>
              <w:sz w:val="18"/>
              <w:szCs w:val="18"/>
            </w:rPr>
            <w:t xml:space="preserve"> </w:t>
          </w:r>
          <w:r>
            <w:rPr>
              <w:rFonts w:ascii="微软雅黑" w:hAnsi="微软雅黑" w:eastAsia="微软雅黑" w:cs="微软雅黑"/>
              <w:color w:val="231F20"/>
              <w:sz w:val="18"/>
              <w:szCs w:val="18"/>
            </w:rPr>
            <w:t xml:space="preserve">国内外关于数据价值评估研究总结                                              </w:t>
          </w:r>
          <w:r>
            <w:rPr>
              <w:b/>
              <w:bCs/>
              <w:color w:val="231F20"/>
              <w:sz w:val="18"/>
              <w:szCs w:val="18"/>
            </w:rPr>
            <w:t>20</w:t>
          </w:r>
          <w:r>
            <w:rPr>
              <w:b/>
              <w:bCs/>
              <w:color w:val="231F20"/>
              <w:sz w:val="18"/>
              <w:szCs w:val="18"/>
            </w:rPr>
            <w:fldChar w:fldCharType="end"/>
          </w:r>
        </w:p>
        <w:p w14:paraId="1299BB86">
          <w:pPr>
            <w:pStyle w:val="2"/>
            <w:spacing w:before="30" w:line="200" w:lineRule="auto"/>
            <w:rPr>
              <w:sz w:val="18"/>
              <w:szCs w:val="18"/>
            </w:rPr>
          </w:pPr>
          <w:bookmarkStart w:id="23" w:name="bookmark24"/>
          <w:bookmarkEnd w:id="23"/>
          <w:r>
            <w:fldChar w:fldCharType="begin"/>
          </w:r>
          <w:r>
            <w:instrText xml:space="preserve"> HYPERLINK \l "bookmark24" </w:instrText>
          </w:r>
          <w:r>
            <w:fldChar w:fldCharType="separate"/>
          </w:r>
          <w:r>
            <w:rPr>
              <w:rFonts w:ascii="微软雅黑" w:hAnsi="微软雅黑" w:eastAsia="微软雅黑" w:cs="微软雅黑"/>
              <w:color w:val="231F20"/>
              <w:spacing w:val="1"/>
              <w:sz w:val="18"/>
              <w:szCs w:val="18"/>
            </w:rPr>
            <w:t xml:space="preserve">表 3 集中式管理与联邦式管理比较    </w:t>
          </w:r>
          <w:r>
            <w:rPr>
              <w:rFonts w:ascii="微软雅黑" w:hAnsi="微软雅黑" w:eastAsia="微软雅黑" w:cs="微软雅黑"/>
              <w:color w:val="231F20"/>
              <w:sz w:val="18"/>
              <w:szCs w:val="18"/>
            </w:rPr>
            <w:t xml:space="preserve">                                                 </w:t>
          </w:r>
          <w:r>
            <w:rPr>
              <w:b/>
              <w:bCs/>
              <w:color w:val="231F20"/>
              <w:sz w:val="18"/>
              <w:szCs w:val="18"/>
            </w:rPr>
            <w:t>28</w:t>
          </w:r>
          <w:r>
            <w:rPr>
              <w:b/>
              <w:bCs/>
              <w:color w:val="231F20"/>
              <w:sz w:val="18"/>
              <w:szCs w:val="18"/>
            </w:rPr>
            <w:fldChar w:fldCharType="end"/>
          </w:r>
        </w:p>
        <w:p w14:paraId="693FEBC6">
          <w:pPr>
            <w:pStyle w:val="2"/>
            <w:spacing w:before="28" w:line="199" w:lineRule="auto"/>
            <w:rPr>
              <w:sz w:val="18"/>
              <w:szCs w:val="18"/>
            </w:rPr>
          </w:pPr>
          <w:bookmarkStart w:id="24" w:name="bookmark25"/>
          <w:bookmarkEnd w:id="24"/>
          <w:r>
            <w:fldChar w:fldCharType="begin"/>
          </w:r>
          <w:r>
            <w:instrText xml:space="preserve"> HYPERLINK \l "bookmark25" </w:instrText>
          </w:r>
          <w:r>
            <w:fldChar w:fldCharType="separate"/>
          </w:r>
          <w:r>
            <w:rPr>
              <w:rFonts w:ascii="微软雅黑" w:hAnsi="微软雅黑" w:eastAsia="微软雅黑" w:cs="微软雅黑"/>
              <w:color w:val="231F20"/>
              <w:spacing w:val="1"/>
              <w:sz w:val="18"/>
              <w:szCs w:val="18"/>
            </w:rPr>
            <w:t xml:space="preserve">表 4 数据资产管理复合人才能力表    </w:t>
          </w:r>
          <w:r>
            <w:rPr>
              <w:rFonts w:ascii="微软雅黑" w:hAnsi="微软雅黑" w:eastAsia="微软雅黑" w:cs="微软雅黑"/>
              <w:color w:val="231F20"/>
              <w:sz w:val="18"/>
              <w:szCs w:val="18"/>
            </w:rPr>
            <w:t xml:space="preserve">                                                 </w:t>
          </w:r>
          <w:r>
            <w:rPr>
              <w:b/>
              <w:bCs/>
              <w:color w:val="231F20"/>
              <w:sz w:val="18"/>
              <w:szCs w:val="18"/>
            </w:rPr>
            <w:t>29</w:t>
          </w:r>
          <w:r>
            <w:rPr>
              <w:b/>
              <w:bCs/>
              <w:color w:val="231F20"/>
              <w:sz w:val="18"/>
              <w:szCs w:val="18"/>
            </w:rPr>
            <w:fldChar w:fldCharType="end"/>
          </w:r>
        </w:p>
        <w:p w14:paraId="61436203">
          <w:pPr>
            <w:pStyle w:val="2"/>
            <w:spacing w:before="30" w:line="199" w:lineRule="auto"/>
            <w:rPr>
              <w:sz w:val="18"/>
              <w:szCs w:val="18"/>
            </w:rPr>
          </w:pPr>
          <w:bookmarkStart w:id="25" w:name="bookmark26"/>
          <w:bookmarkEnd w:id="25"/>
          <w:r>
            <w:fldChar w:fldCharType="begin"/>
          </w:r>
          <w:r>
            <w:instrText xml:space="preserve"> HYPERLINK \l "bookmark26" </w:instrText>
          </w:r>
          <w:r>
            <w:fldChar w:fldCharType="separate"/>
          </w:r>
          <w:r>
            <w:rPr>
              <w:rFonts w:ascii="微软雅黑" w:hAnsi="微软雅黑" w:eastAsia="微软雅黑" w:cs="微软雅黑"/>
              <w:color w:val="231F20"/>
              <w:spacing w:val="1"/>
              <w:sz w:val="18"/>
              <w:szCs w:val="18"/>
            </w:rPr>
            <w:t xml:space="preserve">表 5 数据资产管理能力评估维度及要点               </w:t>
          </w:r>
          <w:r>
            <w:rPr>
              <w:rFonts w:ascii="微软雅黑" w:hAnsi="微软雅黑" w:eastAsia="微软雅黑" w:cs="微软雅黑"/>
              <w:color w:val="231F20"/>
              <w:sz w:val="18"/>
              <w:szCs w:val="18"/>
            </w:rPr>
            <w:t xml:space="preserve">                               </w:t>
          </w:r>
          <w:r>
            <w:rPr>
              <w:b/>
              <w:bCs/>
              <w:color w:val="231F20"/>
              <w:sz w:val="18"/>
              <w:szCs w:val="18"/>
            </w:rPr>
            <w:t>34</w:t>
          </w:r>
          <w:r>
            <w:rPr>
              <w:b/>
              <w:bCs/>
              <w:color w:val="231F20"/>
              <w:sz w:val="18"/>
              <w:szCs w:val="18"/>
            </w:rPr>
            <w:fldChar w:fldCharType="end"/>
          </w:r>
        </w:p>
        <w:p w14:paraId="3F3036AA">
          <w:pPr>
            <w:pStyle w:val="2"/>
            <w:spacing w:before="31" w:line="199" w:lineRule="exact"/>
            <w:rPr>
              <w:sz w:val="18"/>
              <w:szCs w:val="18"/>
            </w:rPr>
          </w:pPr>
          <w:bookmarkStart w:id="26" w:name="bookmark27"/>
          <w:bookmarkEnd w:id="26"/>
          <w:r>
            <w:fldChar w:fldCharType="begin"/>
          </w:r>
          <w:r>
            <w:instrText xml:space="preserve"> HYPERLINK \l "bookmark27" </w:instrText>
          </w:r>
          <w:r>
            <w:fldChar w:fldCharType="separate"/>
          </w:r>
          <w:r>
            <w:rPr>
              <w:rFonts w:ascii="微软雅黑" w:hAnsi="微软雅黑" w:eastAsia="微软雅黑" w:cs="微软雅黑"/>
              <w:color w:val="231F20"/>
              <w:spacing w:val="1"/>
              <w:sz w:val="18"/>
              <w:szCs w:val="18"/>
            </w:rPr>
            <w:t xml:space="preserve">表 6 数据资产标准规范体系示例                         </w:t>
          </w:r>
          <w:r>
            <w:rPr>
              <w:rFonts w:ascii="微软雅黑" w:hAnsi="微软雅黑" w:eastAsia="微软雅黑" w:cs="微软雅黑"/>
              <w:color w:val="231F20"/>
              <w:sz w:val="18"/>
              <w:szCs w:val="18"/>
            </w:rPr>
            <w:t xml:space="preserve">                               </w:t>
          </w:r>
          <w:r>
            <w:rPr>
              <w:b/>
              <w:bCs/>
              <w:color w:val="231F20"/>
              <w:sz w:val="18"/>
              <w:szCs w:val="18"/>
            </w:rPr>
            <w:t>35</w:t>
          </w:r>
          <w:r>
            <w:rPr>
              <w:b/>
              <w:bCs/>
              <w:color w:val="231F20"/>
              <w:sz w:val="18"/>
              <w:szCs w:val="18"/>
            </w:rPr>
            <w:fldChar w:fldCharType="end"/>
          </w:r>
        </w:p>
      </w:sdtContent>
    </w:sdt>
    <w:p w14:paraId="6623BEF4">
      <w:pPr>
        <w:spacing w:line="199" w:lineRule="exact"/>
        <w:rPr>
          <w:sz w:val="18"/>
          <w:szCs w:val="18"/>
        </w:rPr>
        <w:sectPr>
          <w:type w:val="continuous"/>
          <w:pgSz w:w="11906" w:h="16158"/>
          <w:pgMar w:top="400" w:right="1440" w:bottom="400" w:left="1785" w:header="0" w:footer="0" w:gutter="0"/>
          <w:cols w:equalWidth="0" w:num="2">
            <w:col w:w="2425" w:space="100"/>
            <w:col w:w="6156"/>
          </w:cols>
        </w:sectPr>
      </w:pPr>
    </w:p>
    <w:p w14:paraId="63F5C36C">
      <w:pPr>
        <w:pStyle w:val="2"/>
        <w:spacing w:line="259" w:lineRule="auto"/>
      </w:pPr>
    </w:p>
    <w:p w14:paraId="0FFC0C0A">
      <w:pPr>
        <w:pStyle w:val="2"/>
        <w:spacing w:line="259" w:lineRule="auto"/>
      </w:pPr>
    </w:p>
    <w:p w14:paraId="29B03AC1">
      <w:pPr>
        <w:pStyle w:val="2"/>
        <w:spacing w:line="259" w:lineRule="auto"/>
      </w:pPr>
    </w:p>
    <w:p w14:paraId="54B00FCA">
      <w:pPr>
        <w:pStyle w:val="2"/>
        <w:spacing w:line="260" w:lineRule="auto"/>
      </w:pPr>
    </w:p>
    <w:p w14:paraId="5CE72A2E">
      <w:pPr>
        <w:pStyle w:val="2"/>
        <w:spacing w:line="260" w:lineRule="auto"/>
      </w:pPr>
      <w:r>
        <w:pict>
          <v:shape id="_x0000_s1027" o:spid="_x0000_s1027" style="position:absolute;left:0pt;margin-left:1.75pt;margin-top:5.05pt;height:0.75pt;width:413.9pt;z-index:251662336;mso-width-relative:page;mso-height-relative:page;" filled="f" stroked="t" coordsize="8277,15" path="m0,7l8277,7e">
            <v:fill on="f" focussize="0,0"/>
            <v:stroke weight="0.71pt" color="#231F20" miterlimit="4" joinstyle="miter"/>
            <v:imagedata o:title=""/>
            <o:lock v:ext="edit"/>
          </v:shape>
        </w:pict>
      </w:r>
    </w:p>
    <w:p w14:paraId="579B559F">
      <w:pPr>
        <w:spacing w:before="120" w:line="179" w:lineRule="auto"/>
        <w:ind w:left="34"/>
        <w:rPr>
          <w:rFonts w:ascii="微软雅黑" w:hAnsi="微软雅黑" w:eastAsia="微软雅黑" w:cs="微软雅黑"/>
          <w:sz w:val="28"/>
          <w:szCs w:val="28"/>
        </w:rPr>
      </w:pPr>
      <w:r>
        <w:rPr>
          <w:rFonts w:ascii="微软雅黑" w:hAnsi="微软雅黑" w:eastAsia="微软雅黑" w:cs="微软雅黑"/>
          <w:color w:val="231F20"/>
          <w:spacing w:val="2"/>
          <w:sz w:val="28"/>
          <w:szCs w:val="28"/>
        </w:rPr>
        <w:t>版权声明</w:t>
      </w:r>
    </w:p>
    <w:p w14:paraId="75EE6563">
      <w:pPr>
        <w:pStyle w:val="2"/>
        <w:spacing w:line="256" w:lineRule="auto"/>
      </w:pPr>
    </w:p>
    <w:p w14:paraId="04CE19D3">
      <w:pPr>
        <w:spacing w:before="86" w:line="250" w:lineRule="auto"/>
        <w:ind w:left="32" w:right="373" w:firstLine="2"/>
        <w:jc w:val="both"/>
        <w:rPr>
          <w:rFonts w:ascii="微软雅黑" w:hAnsi="微软雅黑" w:eastAsia="微软雅黑" w:cs="微软雅黑"/>
          <w:sz w:val="20"/>
          <w:szCs w:val="20"/>
        </w:rPr>
      </w:pPr>
      <w:r>
        <w:rPr>
          <w:rFonts w:ascii="微软雅黑" w:hAnsi="微软雅黑" w:eastAsia="微软雅黑" w:cs="微软雅黑"/>
          <w:color w:val="231F20"/>
          <w:spacing w:val="13"/>
          <w:sz w:val="20"/>
          <w:szCs w:val="20"/>
        </w:rPr>
        <w:t>本报告版权属于</w:t>
      </w:r>
      <w:r>
        <w:rPr>
          <w:rFonts w:ascii="微软雅黑" w:hAnsi="微软雅黑" w:eastAsia="微软雅黑" w:cs="微软雅黑"/>
          <w:color w:val="231F20"/>
          <w:sz w:val="20"/>
          <w:szCs w:val="20"/>
        </w:rPr>
        <w:t>CCSA</w:t>
      </w:r>
      <w:r>
        <w:rPr>
          <w:rFonts w:ascii="微软雅黑" w:hAnsi="微软雅黑" w:eastAsia="微软雅黑" w:cs="微软雅黑"/>
          <w:color w:val="231F20"/>
          <w:spacing w:val="36"/>
          <w:w w:val="101"/>
          <w:sz w:val="20"/>
          <w:szCs w:val="20"/>
        </w:rPr>
        <w:t xml:space="preserve"> </w:t>
      </w:r>
      <w:r>
        <w:rPr>
          <w:rFonts w:ascii="微软雅黑" w:hAnsi="微软雅黑" w:eastAsia="微软雅黑" w:cs="微软雅黑"/>
          <w:color w:val="231F20"/>
          <w:sz w:val="20"/>
          <w:szCs w:val="20"/>
        </w:rPr>
        <w:t>TC</w:t>
      </w:r>
      <w:r>
        <w:rPr>
          <w:rFonts w:ascii="微软雅黑" w:hAnsi="微软雅黑" w:eastAsia="微软雅黑" w:cs="微软雅黑"/>
          <w:color w:val="231F20"/>
          <w:spacing w:val="13"/>
          <w:sz w:val="20"/>
          <w:szCs w:val="20"/>
        </w:rPr>
        <w:t>601大数据技术标准推进</w:t>
      </w:r>
      <w:r>
        <w:rPr>
          <w:rFonts w:ascii="微软雅黑" w:hAnsi="微软雅黑" w:eastAsia="微软雅黑" w:cs="微软雅黑"/>
          <w:color w:val="231F20"/>
          <w:spacing w:val="12"/>
          <w:sz w:val="20"/>
          <w:szCs w:val="20"/>
        </w:rPr>
        <w:t>委员会、中国信息通信研究院，并受法</w:t>
      </w:r>
      <w:r>
        <w:rPr>
          <w:rFonts w:ascii="微软雅黑" w:hAnsi="微软雅黑" w:eastAsia="微软雅黑" w:cs="微软雅黑"/>
          <w:color w:val="231F20"/>
          <w:sz w:val="20"/>
          <w:szCs w:val="20"/>
        </w:rPr>
        <w:t xml:space="preserve"> </w:t>
      </w:r>
      <w:r>
        <w:rPr>
          <w:rFonts w:ascii="微软雅黑" w:hAnsi="微软雅黑" w:eastAsia="微软雅黑" w:cs="微软雅黑"/>
          <w:color w:val="231F20"/>
          <w:spacing w:val="15"/>
          <w:sz w:val="20"/>
          <w:szCs w:val="20"/>
        </w:rPr>
        <w:t>律保护。转载、摘编或利用其它方式使用本报告文字或者观点的，应注明“来源：</w:t>
      </w:r>
      <w:r>
        <w:rPr>
          <w:rFonts w:ascii="微软雅黑" w:hAnsi="微软雅黑" w:eastAsia="微软雅黑" w:cs="微软雅黑"/>
          <w:color w:val="231F20"/>
          <w:sz w:val="20"/>
          <w:szCs w:val="20"/>
        </w:rPr>
        <w:t>CCSA</w:t>
      </w:r>
      <w:r>
        <w:rPr>
          <w:rFonts w:ascii="微软雅黑" w:hAnsi="微软雅黑" w:eastAsia="微软雅黑" w:cs="微软雅黑"/>
          <w:color w:val="231F20"/>
          <w:spacing w:val="8"/>
          <w:sz w:val="20"/>
          <w:szCs w:val="20"/>
        </w:rPr>
        <w:t xml:space="preserve"> </w:t>
      </w:r>
      <w:r>
        <w:rPr>
          <w:rFonts w:ascii="微软雅黑" w:hAnsi="微软雅黑" w:eastAsia="微软雅黑" w:cs="微软雅黑"/>
          <w:color w:val="231F20"/>
          <w:sz w:val="20"/>
          <w:szCs w:val="20"/>
        </w:rPr>
        <w:t>TC</w:t>
      </w:r>
      <w:r>
        <w:rPr>
          <w:rFonts w:ascii="微软雅黑" w:hAnsi="微软雅黑" w:eastAsia="微软雅黑" w:cs="微软雅黑"/>
          <w:color w:val="231F20"/>
          <w:spacing w:val="2"/>
          <w:sz w:val="20"/>
          <w:szCs w:val="20"/>
        </w:rPr>
        <w:t>601大数据技术标准推进委员会、中国信息通信研究院”。违反</w:t>
      </w:r>
      <w:r>
        <w:rPr>
          <w:rFonts w:ascii="微软雅黑" w:hAnsi="微软雅黑" w:eastAsia="微软雅黑" w:cs="微软雅黑"/>
          <w:color w:val="231F20"/>
          <w:spacing w:val="1"/>
          <w:sz w:val="20"/>
          <w:szCs w:val="20"/>
        </w:rPr>
        <w:t>上述声明者，本院将追究其</w:t>
      </w:r>
      <w:r>
        <w:rPr>
          <w:rFonts w:ascii="微软雅黑" w:hAnsi="微软雅黑" w:eastAsia="微软雅黑" w:cs="微软雅黑"/>
          <w:color w:val="231F20"/>
          <w:sz w:val="20"/>
          <w:szCs w:val="20"/>
        </w:rPr>
        <w:t xml:space="preserve"> </w:t>
      </w:r>
      <w:r>
        <w:rPr>
          <w:rFonts w:ascii="微软雅黑" w:hAnsi="微软雅黑" w:eastAsia="微软雅黑" w:cs="微软雅黑"/>
          <w:color w:val="231F20"/>
          <w:spacing w:val="-3"/>
          <w:sz w:val="20"/>
          <w:szCs w:val="20"/>
        </w:rPr>
        <w:t>相关法律责任。</w:t>
      </w:r>
    </w:p>
    <w:p w14:paraId="72663855">
      <w:pPr>
        <w:pStyle w:val="2"/>
        <w:spacing w:line="310" w:lineRule="auto"/>
      </w:pPr>
      <w:r>
        <w:pict>
          <v:shape id="_x0000_s1028" o:spid="_x0000_s1028" style="position:absolute;left:0pt;margin-left:1.75pt;margin-top:6.85pt;height:0.75pt;width:413.9pt;z-index:251663360;mso-width-relative:page;mso-height-relative:page;" filled="f" stroked="t" coordsize="8277,15" path="m0,7l8277,7e">
            <v:fill on="f" focussize="0,0"/>
            <v:stroke weight="0.71pt" color="#231F20" miterlimit="4" joinstyle="miter"/>
            <v:imagedata o:title=""/>
            <o:lock v:ext="edit"/>
          </v:shape>
        </w:pict>
      </w:r>
    </w:p>
    <w:p w14:paraId="22012F6B">
      <w:pPr>
        <w:pStyle w:val="2"/>
        <w:spacing w:line="310" w:lineRule="auto"/>
      </w:pPr>
    </w:p>
    <w:p w14:paraId="2E61B94D">
      <w:pPr>
        <w:spacing w:before="79" w:line="184" w:lineRule="auto"/>
        <w:jc w:val="right"/>
        <w:rPr>
          <w:rFonts w:hint="eastAsia" w:ascii="宋体" w:hAnsi="宋体" w:eastAsia="宋体" w:cs="宋体"/>
          <w:sz w:val="24"/>
          <w:szCs w:val="24"/>
          <w:lang w:eastAsia="zh-CN"/>
        </w:rPr>
      </w:pPr>
      <w:r>
        <w:pict>
          <v:shape id="_x0000_s1029" o:spid="_x0000_s1029" o:spt="202" type="#_x0000_t202" style="position:absolute;left:0pt;margin-left:203.9pt;margin-top:-2.25pt;height:14.5pt;width:10.45pt;z-index:251664384;mso-width-relative:page;mso-height-relative:page;" filled="f" stroked="f" coordsize="21600,21600">
            <v:path/>
            <v:fill on="f" focussize="0,0"/>
            <v:stroke on="f"/>
            <v:imagedata o:title=""/>
            <o:lock v:ext="edit" aspectratio="f"/>
            <v:textbox inset="0mm,0mm,0mm,0mm">
              <w:txbxContent>
                <w:p w14:paraId="27C1AE5A">
                  <w:pPr>
                    <w:spacing w:before="19" w:line="175" w:lineRule="auto"/>
                    <w:jc w:val="right"/>
                    <w:rPr>
                      <w:rFonts w:ascii="微软雅黑" w:hAnsi="微软雅黑" w:eastAsia="微软雅黑" w:cs="微软雅黑"/>
                      <w:sz w:val="20"/>
                      <w:szCs w:val="20"/>
                    </w:rPr>
                  </w:pPr>
                  <w:r>
                    <w:rPr>
                      <w:rFonts w:ascii="微软雅黑" w:hAnsi="微软雅黑" w:eastAsia="微软雅黑" w:cs="微软雅黑"/>
                      <w:color w:val="231F20"/>
                      <w:spacing w:val="-32"/>
                      <w:sz w:val="20"/>
                      <w:szCs w:val="20"/>
                    </w:rPr>
                    <w:t>Ⅲ</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35E32004">
      <w:pPr>
        <w:spacing w:line="184" w:lineRule="auto"/>
        <w:rPr>
          <w:rFonts w:ascii="宋体" w:hAnsi="宋体" w:eastAsia="宋体" w:cs="宋体"/>
          <w:sz w:val="24"/>
          <w:szCs w:val="24"/>
        </w:rPr>
        <w:sectPr>
          <w:type w:val="continuous"/>
          <w:pgSz w:w="11906" w:h="16158"/>
          <w:pgMar w:top="400" w:right="1440" w:bottom="400" w:left="1785" w:header="0" w:footer="0" w:gutter="0"/>
          <w:cols w:equalWidth="0" w:num="1">
            <w:col w:w="8680"/>
          </w:cols>
        </w:sectPr>
      </w:pPr>
    </w:p>
    <w:p w14:paraId="0EA0FB4D">
      <w:pPr>
        <w:pStyle w:val="2"/>
        <w:spacing w:line="349" w:lineRule="auto"/>
      </w:pPr>
    </w:p>
    <w:p w14:paraId="5165DF58">
      <w:pPr>
        <w:pStyle w:val="2"/>
        <w:spacing w:line="350" w:lineRule="auto"/>
      </w:pPr>
    </w:p>
    <w:p w14:paraId="4CE73DD2">
      <w:pPr>
        <w:spacing w:before="80" w:line="182" w:lineRule="auto"/>
        <w:rPr>
          <w:rFonts w:ascii="Segoe UI" w:hAnsi="Segoe UI" w:eastAsia="Segoe UI" w:cs="Segoe UI"/>
          <w:sz w:val="24"/>
          <w:szCs w:val="24"/>
        </w:rPr>
      </w:pPr>
      <w:r>
        <w:rPr>
          <w:rFonts w:ascii="Segoe UI" w:hAnsi="Segoe UI" w:eastAsia="Segoe UI" w:cs="Segoe UI"/>
          <w:b/>
          <w:bCs/>
          <w:color w:val="648676"/>
          <w:spacing w:val="29"/>
          <w:w w:val="108"/>
          <w:sz w:val="24"/>
          <w:szCs w:val="24"/>
        </w:rPr>
        <w:t>CHAPTER -1</w:t>
      </w:r>
    </w:p>
    <w:p w14:paraId="0FBAD841">
      <w:pPr>
        <w:spacing w:before="55" w:line="178" w:lineRule="auto"/>
        <w:ind w:left="422"/>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数据资产管理概述</w:t>
      </w:r>
    </w:p>
    <w:p w14:paraId="58976BCF">
      <w:pPr>
        <w:pStyle w:val="2"/>
        <w:spacing w:line="256" w:lineRule="auto"/>
      </w:pPr>
    </w:p>
    <w:p w14:paraId="4AF5A99B">
      <w:pPr>
        <w:pStyle w:val="2"/>
        <w:spacing w:line="256" w:lineRule="auto"/>
      </w:pPr>
    </w:p>
    <w:p w14:paraId="32485D6B">
      <w:pPr>
        <w:pStyle w:val="2"/>
        <w:spacing w:line="257" w:lineRule="auto"/>
      </w:pPr>
    </w:p>
    <w:p w14:paraId="657841C7">
      <w:pPr>
        <w:spacing w:before="223" w:line="178" w:lineRule="auto"/>
        <w:ind w:left="254"/>
        <w:outlineLvl w:val="0"/>
        <w:rPr>
          <w:rFonts w:ascii="微软雅黑" w:hAnsi="微软雅黑" w:eastAsia="微软雅黑" w:cs="微软雅黑"/>
          <w:sz w:val="52"/>
          <w:szCs w:val="52"/>
        </w:rPr>
      </w:pPr>
      <w:bookmarkStart w:id="27" w:name="bookmark28"/>
      <w:bookmarkEnd w:id="27"/>
      <w:bookmarkStart w:id="28" w:name="bookmark4"/>
      <w:bookmarkEnd w:id="28"/>
      <w:r>
        <w:rPr>
          <w:rFonts w:ascii="微软雅黑" w:hAnsi="微软雅黑" w:eastAsia="微软雅黑" w:cs="微软雅黑"/>
          <w:color w:val="648676"/>
          <w:spacing w:val="-3"/>
          <w:sz w:val="52"/>
          <w:szCs w:val="52"/>
        </w:rPr>
        <w:t>一、数据资产管理概述</w:t>
      </w:r>
    </w:p>
    <w:p w14:paraId="6D4ED04E">
      <w:pPr>
        <w:pStyle w:val="2"/>
        <w:spacing w:line="265" w:lineRule="auto"/>
      </w:pPr>
    </w:p>
    <w:p w14:paraId="0B69B4AB">
      <w:pPr>
        <w:pStyle w:val="2"/>
        <w:spacing w:line="265" w:lineRule="auto"/>
      </w:pPr>
    </w:p>
    <w:p w14:paraId="7CFA4964">
      <w:pPr>
        <w:pStyle w:val="2"/>
        <w:spacing w:line="265" w:lineRule="auto"/>
      </w:pPr>
    </w:p>
    <w:p w14:paraId="6084D765">
      <w:pPr>
        <w:pStyle w:val="2"/>
        <w:spacing w:line="265" w:lineRule="auto"/>
      </w:pPr>
    </w:p>
    <w:p w14:paraId="496A4C62">
      <w:pPr>
        <w:spacing w:before="94" w:line="282" w:lineRule="auto"/>
        <w:ind w:left="249" w:right="151" w:firstLine="491"/>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随着数据的重要性日益显著，数据资产管理成为激发组织数据</w:t>
      </w:r>
      <w:r>
        <w:rPr>
          <w:rFonts w:ascii="微软雅黑" w:hAnsi="微软雅黑" w:eastAsia="微软雅黑" w:cs="微软雅黑"/>
          <w:color w:val="231F20"/>
          <w:spacing w:val="2"/>
          <w:sz w:val="22"/>
          <w:szCs w:val="22"/>
        </w:rPr>
        <w:t>要素活力、加速数据价值释放</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5"/>
          <w:sz w:val="22"/>
          <w:szCs w:val="22"/>
        </w:rPr>
        <w:t>的关键。本章首先从数据要素市场发展与企业数字化转型的视角出发，阐述数据资产管理的重要性，</w:t>
      </w:r>
      <w:r>
        <w:rPr>
          <w:rFonts w:ascii="微软雅黑" w:hAnsi="微软雅黑" w:eastAsia="微软雅黑" w:cs="微软雅黑"/>
          <w:color w:val="231F20"/>
          <w:spacing w:val="12"/>
          <w:sz w:val="22"/>
          <w:szCs w:val="22"/>
        </w:rPr>
        <w:t xml:space="preserve"> </w:t>
      </w:r>
      <w:r>
        <w:rPr>
          <w:rFonts w:ascii="微软雅黑" w:hAnsi="微软雅黑" w:eastAsia="微软雅黑" w:cs="微软雅黑"/>
          <w:color w:val="231F20"/>
          <w:spacing w:val="4"/>
          <w:sz w:val="22"/>
          <w:szCs w:val="22"/>
        </w:rPr>
        <w:t>其次明确数据资产管理的概念与内涵，再次对数据资产管理演进进行梳</w:t>
      </w:r>
      <w:r>
        <w:rPr>
          <w:rFonts w:ascii="微软雅黑" w:hAnsi="微软雅黑" w:eastAsia="微软雅黑" w:cs="微软雅黑"/>
          <w:color w:val="231F20"/>
          <w:spacing w:val="3"/>
          <w:sz w:val="22"/>
          <w:szCs w:val="22"/>
        </w:rPr>
        <w:t>理，最后总结了当前数据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资产管理的主要难点。</w:t>
      </w:r>
    </w:p>
    <w:p w14:paraId="35CDC7C0">
      <w:pPr>
        <w:pStyle w:val="2"/>
        <w:spacing w:line="398" w:lineRule="auto"/>
      </w:pPr>
    </w:p>
    <w:p w14:paraId="630F747E">
      <w:pPr>
        <w:spacing w:before="121"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1"/>
          <w:sz w:val="28"/>
          <w:szCs w:val="28"/>
        </w:rPr>
        <w:t>( 一 ) 数据资产管理推动数据要素市场发展</w:t>
      </w:r>
    </w:p>
    <w:p w14:paraId="38225355">
      <w:pPr>
        <w:pStyle w:val="2"/>
        <w:spacing w:line="413" w:lineRule="auto"/>
      </w:pPr>
    </w:p>
    <w:p w14:paraId="3583A8BD">
      <w:pPr>
        <w:spacing w:before="95" w:line="290" w:lineRule="auto"/>
        <w:ind w:left="248" w:right="151" w:firstLine="488"/>
        <w:rPr>
          <w:rFonts w:ascii="微软雅黑" w:hAnsi="微软雅黑" w:eastAsia="微软雅黑" w:cs="微软雅黑"/>
          <w:sz w:val="22"/>
          <w:szCs w:val="22"/>
        </w:rPr>
      </w:pPr>
      <w:r>
        <w:rPr>
          <w:rFonts w:ascii="微软雅黑" w:hAnsi="微软雅黑" w:eastAsia="微软雅黑" w:cs="微软雅黑"/>
          <w:color w:val="231F20"/>
          <w:spacing w:val="-6"/>
          <w:sz w:val="22"/>
          <w:szCs w:val="22"/>
        </w:rPr>
        <w:t>当前，数据成为各国发展数字经济的重要抓手。在数字社会，数据成为了国家基础性战</w:t>
      </w:r>
      <w:r>
        <w:rPr>
          <w:rFonts w:ascii="微软雅黑" w:hAnsi="微软雅黑" w:eastAsia="微软雅黑" w:cs="微软雅黑"/>
          <w:color w:val="231F20"/>
          <w:spacing w:val="-7"/>
          <w:sz w:val="22"/>
          <w:szCs w:val="22"/>
        </w:rPr>
        <w:t>略资源，</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数字经济正在成为创新经济增长方式的强大动能，主要国家数字经济增速显著</w:t>
      </w:r>
      <w:r>
        <w:rPr>
          <w:rFonts w:ascii="微软雅黑" w:hAnsi="微软雅黑" w:eastAsia="微软雅黑" w:cs="微软雅黑"/>
          <w:color w:val="231F20"/>
          <w:spacing w:val="-3"/>
          <w:sz w:val="22"/>
          <w:szCs w:val="22"/>
        </w:rPr>
        <w:t>高于本国</w:t>
      </w:r>
      <w:r>
        <w:rPr>
          <w:rFonts w:ascii="微软雅黑" w:hAnsi="微软雅黑" w:eastAsia="微软雅黑" w:cs="微软雅黑"/>
          <w:color w:val="231F20"/>
          <w:spacing w:val="-19"/>
          <w:sz w:val="22"/>
          <w:szCs w:val="22"/>
        </w:rPr>
        <w:t xml:space="preserve"> </w:t>
      </w:r>
      <w:r>
        <w:rPr>
          <w:rFonts w:ascii="微软雅黑" w:hAnsi="微软雅黑" w:eastAsia="微软雅黑" w:cs="微软雅黑"/>
          <w:color w:val="231F20"/>
          <w:spacing w:val="-3"/>
          <w:sz w:val="22"/>
          <w:szCs w:val="22"/>
        </w:rPr>
        <w:t>GDP</w:t>
      </w:r>
      <w:r>
        <w:rPr>
          <w:rFonts w:ascii="微软雅黑" w:hAnsi="微软雅黑" w:eastAsia="微软雅黑" w:cs="微软雅黑"/>
          <w:color w:val="231F20"/>
          <w:spacing w:val="-27"/>
          <w:sz w:val="22"/>
          <w:szCs w:val="22"/>
        </w:rPr>
        <w:t xml:space="preserve"> </w:t>
      </w:r>
      <w:r>
        <w:rPr>
          <w:rFonts w:ascii="微软雅黑" w:hAnsi="微软雅黑" w:eastAsia="微软雅黑" w:cs="微软雅黑"/>
          <w:color w:val="231F20"/>
          <w:spacing w:val="-3"/>
          <w:sz w:val="22"/>
          <w:szCs w:val="22"/>
        </w:rPr>
        <w:t>增速，</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 xml:space="preserve">在 </w:t>
      </w:r>
      <w:r>
        <w:rPr>
          <w:rFonts w:ascii="微软雅黑" w:hAnsi="微软雅黑" w:eastAsia="微软雅黑" w:cs="微软雅黑"/>
          <w:color w:val="231F20"/>
          <w:sz w:val="22"/>
          <w:szCs w:val="22"/>
        </w:rPr>
        <w:t>GDP</w:t>
      </w:r>
      <w:r>
        <w:rPr>
          <w:rFonts w:ascii="微软雅黑" w:hAnsi="微软雅黑" w:eastAsia="微软雅黑" w:cs="微软雅黑"/>
          <w:color w:val="231F20"/>
          <w:spacing w:val="3"/>
          <w:sz w:val="22"/>
          <w:szCs w:val="22"/>
        </w:rPr>
        <w:t xml:space="preserve"> 中贡献水平逐步提升。我国 2020 年数字经济保持 9.7% 的高位增长，远高于同期</w:t>
      </w:r>
      <w:r>
        <w:rPr>
          <w:rFonts w:ascii="微软雅黑" w:hAnsi="微软雅黑" w:eastAsia="微软雅黑" w:cs="微软雅黑"/>
          <w:color w:val="231F20"/>
          <w:spacing w:val="38"/>
          <w:sz w:val="22"/>
          <w:szCs w:val="22"/>
        </w:rPr>
        <w:t xml:space="preserve"> </w:t>
      </w:r>
      <w:r>
        <w:rPr>
          <w:rFonts w:ascii="微软雅黑" w:hAnsi="微软雅黑" w:eastAsia="微软雅黑" w:cs="微软雅黑"/>
          <w:color w:val="231F20"/>
          <w:sz w:val="22"/>
          <w:szCs w:val="22"/>
        </w:rPr>
        <w:t xml:space="preserve">GDP  </w:t>
      </w:r>
      <w:r>
        <w:rPr>
          <w:rFonts w:ascii="微软雅黑" w:hAnsi="微软雅黑" w:eastAsia="微软雅黑" w:cs="微软雅黑"/>
          <w:color w:val="231F20"/>
          <w:spacing w:val="2"/>
          <w:sz w:val="22"/>
          <w:szCs w:val="22"/>
        </w:rPr>
        <w:t xml:space="preserve">名义增速约 6.7 个百分点，数字经济占 </w:t>
      </w:r>
      <w:r>
        <w:rPr>
          <w:rFonts w:ascii="微软雅黑" w:hAnsi="微软雅黑" w:eastAsia="微软雅黑" w:cs="微软雅黑"/>
          <w:color w:val="231F20"/>
          <w:sz w:val="22"/>
          <w:szCs w:val="22"/>
        </w:rPr>
        <w:t>GDP</w:t>
      </w:r>
      <w:r>
        <w:rPr>
          <w:rFonts w:ascii="微软雅黑" w:hAnsi="微软雅黑" w:eastAsia="微软雅黑" w:cs="微软雅黑"/>
          <w:color w:val="231F20"/>
          <w:spacing w:val="2"/>
          <w:sz w:val="22"/>
          <w:szCs w:val="22"/>
        </w:rPr>
        <w:t xml:space="preserve"> 比重从 2005 的 14.</w:t>
      </w:r>
      <w:r>
        <w:rPr>
          <w:rFonts w:ascii="微软雅黑" w:hAnsi="微软雅黑" w:eastAsia="微软雅黑" w:cs="微软雅黑"/>
          <w:color w:val="231F20"/>
          <w:spacing w:val="1"/>
          <w:sz w:val="22"/>
          <w:szCs w:val="22"/>
        </w:rPr>
        <w:t>2% 提升至 2020 年的 38.6%。</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推动以数据为基础的战略转型成为各个国家和地区抢占全球竞争制高点的重要战略选择。</w:t>
      </w:r>
    </w:p>
    <w:p w14:paraId="6AA7F9C1">
      <w:pPr>
        <w:spacing w:before="13" w:line="290" w:lineRule="auto"/>
        <w:ind w:left="247" w:firstLine="481"/>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数据要素市场化配置上升为国家战略，将充分发挥对其他</w:t>
      </w:r>
      <w:r>
        <w:rPr>
          <w:rFonts w:ascii="微软雅黑" w:hAnsi="微软雅黑" w:eastAsia="微软雅黑" w:cs="微软雅黑"/>
          <w:color w:val="231F20"/>
          <w:spacing w:val="-3"/>
          <w:sz w:val="22"/>
          <w:szCs w:val="22"/>
        </w:rPr>
        <w:t>要素资源的乘数作用。2020</w:t>
      </w:r>
      <w:r>
        <w:rPr>
          <w:rFonts w:ascii="微软雅黑" w:hAnsi="微软雅黑" w:eastAsia="微软雅黑" w:cs="微软雅黑"/>
          <w:color w:val="231F20"/>
          <w:spacing w:val="-19"/>
          <w:sz w:val="22"/>
          <w:szCs w:val="22"/>
        </w:rPr>
        <w:t xml:space="preserve"> </w:t>
      </w:r>
      <w:r>
        <w:rPr>
          <w:rFonts w:ascii="微软雅黑" w:hAnsi="微软雅黑" w:eastAsia="微软雅黑" w:cs="微软雅黑"/>
          <w:color w:val="231F20"/>
          <w:spacing w:val="-3"/>
          <w:sz w:val="22"/>
          <w:szCs w:val="22"/>
        </w:rPr>
        <w:t>年</w:t>
      </w:r>
      <w:r>
        <w:rPr>
          <w:rFonts w:ascii="微软雅黑" w:hAnsi="微软雅黑" w:eastAsia="微软雅黑" w:cs="微软雅黑"/>
          <w:color w:val="231F20"/>
          <w:spacing w:val="-20"/>
          <w:sz w:val="22"/>
          <w:szCs w:val="22"/>
        </w:rPr>
        <w:t xml:space="preserve"> </w:t>
      </w:r>
      <w:r>
        <w:rPr>
          <w:rFonts w:ascii="微软雅黑" w:hAnsi="微软雅黑" w:eastAsia="微软雅黑" w:cs="微软雅黑"/>
          <w:color w:val="231F20"/>
          <w:spacing w:val="-3"/>
          <w:sz w:val="22"/>
          <w:szCs w:val="22"/>
        </w:rPr>
        <w:t>4</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pacing w:val="-3"/>
          <w:sz w:val="22"/>
          <w:szCs w:val="22"/>
        </w:rPr>
        <w:t>月，</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中共中央、国务院发布《关于构建更加完善的要素市场化配置体制机制的意见》，将“数据”与</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7"/>
          <w:sz w:val="22"/>
          <w:szCs w:val="22"/>
        </w:rPr>
        <w:t>土地、劳动力、资本、技术并称为五种要素，</w:t>
      </w:r>
      <w:r>
        <w:rPr>
          <w:rFonts w:ascii="微软雅黑" w:hAnsi="微软雅黑" w:eastAsia="微软雅黑" w:cs="微软雅黑"/>
          <w:color w:val="231F20"/>
          <w:spacing w:val="36"/>
          <w:sz w:val="22"/>
          <w:szCs w:val="22"/>
        </w:rPr>
        <w:t xml:space="preserve"> </w:t>
      </w:r>
      <w:r>
        <w:rPr>
          <w:rFonts w:ascii="微软雅黑" w:hAnsi="微软雅黑" w:eastAsia="微软雅黑" w:cs="微软雅黑"/>
          <w:color w:val="231F20"/>
          <w:spacing w:val="-7"/>
          <w:sz w:val="22"/>
          <w:szCs w:val="22"/>
        </w:rPr>
        <w:t>提出“加快培育数据要素市场”。2021 年 3 月，“中</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华人民共和国国民经济和社会发展第十四个五年规划和</w:t>
      </w:r>
      <w:r>
        <w:rPr>
          <w:rFonts w:ascii="微软雅黑" w:hAnsi="微软雅黑" w:eastAsia="微软雅黑" w:cs="微软雅黑"/>
          <w:color w:val="231F20"/>
          <w:spacing w:val="-28"/>
          <w:sz w:val="22"/>
          <w:szCs w:val="22"/>
        </w:rPr>
        <w:t xml:space="preserve"> </w:t>
      </w:r>
      <w:r>
        <w:rPr>
          <w:rFonts w:ascii="微软雅黑" w:hAnsi="微软雅黑" w:eastAsia="微软雅黑" w:cs="微软雅黑"/>
          <w:color w:val="231F20"/>
          <w:spacing w:val="-4"/>
          <w:sz w:val="22"/>
          <w:szCs w:val="22"/>
        </w:rPr>
        <w:t>203</w:t>
      </w:r>
      <w:r>
        <w:rPr>
          <w:rFonts w:ascii="微软雅黑" w:hAnsi="微软雅黑" w:eastAsia="微软雅黑" w:cs="微软雅黑"/>
          <w:color w:val="231F20"/>
          <w:spacing w:val="-5"/>
          <w:sz w:val="22"/>
          <w:szCs w:val="22"/>
        </w:rPr>
        <w:t>5</w:t>
      </w:r>
      <w:r>
        <w:rPr>
          <w:rFonts w:ascii="微软雅黑" w:hAnsi="微软雅黑" w:eastAsia="微软雅黑" w:cs="微软雅黑"/>
          <w:color w:val="231F20"/>
          <w:spacing w:val="-30"/>
          <w:sz w:val="22"/>
          <w:szCs w:val="22"/>
        </w:rPr>
        <w:t xml:space="preserve"> </w:t>
      </w:r>
      <w:r>
        <w:rPr>
          <w:rFonts w:ascii="微软雅黑" w:hAnsi="微软雅黑" w:eastAsia="微软雅黑" w:cs="微软雅黑"/>
          <w:color w:val="231F20"/>
          <w:spacing w:val="-5"/>
          <w:sz w:val="22"/>
          <w:szCs w:val="22"/>
        </w:rPr>
        <w:t>年远景目标纲要”（以下简称“十四五”</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规划）提出营造良好数字生态”关注数据要素市场规则和政策环境，关注“统筹数据开发</w:t>
      </w:r>
      <w:r>
        <w:rPr>
          <w:rFonts w:ascii="微软雅黑" w:hAnsi="微软雅黑" w:eastAsia="微软雅黑" w:cs="微软雅黑"/>
          <w:color w:val="231F20"/>
          <w:spacing w:val="3"/>
          <w:sz w:val="22"/>
          <w:szCs w:val="22"/>
        </w:rPr>
        <w:t>利用、</w:t>
      </w:r>
    </w:p>
    <w:p w14:paraId="17A713D0">
      <w:pPr>
        <w:spacing w:before="22" w:line="289" w:lineRule="auto"/>
        <w:ind w:left="248" w:right="221" w:firstLine="10"/>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隐私保护和公共安全”、“建立健全数据产</w:t>
      </w:r>
      <w:r>
        <w:rPr>
          <w:rFonts w:ascii="微软雅黑" w:hAnsi="微软雅黑" w:eastAsia="微软雅黑" w:cs="微软雅黑"/>
          <w:color w:val="231F20"/>
          <w:spacing w:val="3"/>
          <w:sz w:val="22"/>
          <w:szCs w:val="22"/>
        </w:rPr>
        <w:t>权交易和行业自律机制”、“加强涉及国家利益、商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业秘密、个人隐私的数据保护”、“完善适用于大数据环境下的数据分类分级保护</w:t>
      </w:r>
      <w:r>
        <w:rPr>
          <w:rFonts w:ascii="微软雅黑" w:hAnsi="微软雅黑" w:eastAsia="微软雅黑" w:cs="微软雅黑"/>
          <w:color w:val="231F20"/>
          <w:spacing w:val="3"/>
          <w:sz w:val="22"/>
          <w:szCs w:val="22"/>
        </w:rPr>
        <w:t>制度”、“加</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强数据安全评估”等。</w:t>
      </w:r>
    </w:p>
    <w:p w14:paraId="5D50823C">
      <w:pPr>
        <w:spacing w:before="17" w:line="289" w:lineRule="auto"/>
        <w:ind w:left="247" w:right="219" w:firstLine="493"/>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良好的数据资产管理是释放数据要素价值、推动数据要素市场发展的前</w:t>
      </w:r>
      <w:r>
        <w:rPr>
          <w:rFonts w:ascii="微软雅黑" w:hAnsi="微软雅黑" w:eastAsia="微软雅黑" w:cs="微软雅黑"/>
          <w:color w:val="231F20"/>
          <w:spacing w:val="2"/>
          <w:sz w:val="22"/>
          <w:szCs w:val="22"/>
        </w:rPr>
        <w:t>提与基础。数据资产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管理通过构建全面有效的、切合实际的管理体系，一方面规范数据资产采集、加工、使用</w:t>
      </w:r>
      <w:r>
        <w:rPr>
          <w:rFonts w:ascii="微软雅黑" w:hAnsi="微软雅黑" w:eastAsia="微软雅黑" w:cs="微软雅黑"/>
          <w:color w:val="231F20"/>
          <w:spacing w:val="3"/>
          <w:sz w:val="22"/>
          <w:szCs w:val="22"/>
        </w:rPr>
        <w:t>过程，</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提升数据质量，保障数据安全，另一方面丰富数据资产应用场景，建立数</w:t>
      </w:r>
      <w:r>
        <w:rPr>
          <w:rFonts w:ascii="微软雅黑" w:hAnsi="微软雅黑" w:eastAsia="微软雅黑" w:cs="微软雅黑"/>
          <w:color w:val="231F20"/>
          <w:spacing w:val="3"/>
          <w:sz w:val="22"/>
          <w:szCs w:val="22"/>
        </w:rPr>
        <w:t>据资产生态，持续运营</w:t>
      </w:r>
    </w:p>
    <w:p w14:paraId="493C625D">
      <w:pPr>
        <w:pStyle w:val="2"/>
        <w:spacing w:line="275" w:lineRule="auto"/>
      </w:pPr>
    </w:p>
    <w:p w14:paraId="3C358117">
      <w:pPr>
        <w:spacing w:before="78" w:line="212" w:lineRule="auto"/>
        <w:ind w:left="5513"/>
        <w:rPr>
          <w:rFonts w:hint="eastAsia" w:ascii="宋体" w:hAnsi="宋体" w:eastAsia="宋体" w:cs="宋体"/>
          <w:sz w:val="24"/>
          <w:szCs w:val="24"/>
          <w:lang w:eastAsia="zh-CN"/>
        </w:rPr>
      </w:pPr>
      <w:r>
        <w:pict>
          <v:shape id="_x0000_s1030" o:spid="_x0000_s1030" o:spt="202" type="#_x0000_t202" style="position:absolute;left:0pt;margin-left:244.7pt;margin-top:-1.75pt;height:11.35pt;width:6.5pt;z-index:251665408;mso-width-relative:page;mso-height-relative:page;" filled="f" stroked="f" coordsize="21600,21600">
            <v:path/>
            <v:fill on="f" focussize="0,0"/>
            <v:stroke on="f"/>
            <v:imagedata o:title=""/>
            <o:lock v:ext="edit" aspectratio="f"/>
            <v:textbox inset="0mm,0mm,0mm,0mm">
              <w:txbxContent>
                <w:p w14:paraId="146B90E5">
                  <w:pPr>
                    <w:pStyle w:val="2"/>
                    <w:spacing w:before="20" w:line="194" w:lineRule="auto"/>
                    <w:jc w:val="right"/>
                    <w:rPr>
                      <w:sz w:val="20"/>
                      <w:szCs w:val="20"/>
                    </w:rPr>
                  </w:pPr>
                  <w:r>
                    <w:rPr>
                      <w:color w:val="231F20"/>
                      <w:spacing w:val="-22"/>
                      <w:sz w:val="20"/>
                      <w:szCs w:val="20"/>
                    </w:rPr>
                    <w:t>1</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287DD419">
      <w:pPr>
        <w:spacing w:line="212" w:lineRule="auto"/>
        <w:rPr>
          <w:rFonts w:ascii="宋体" w:hAnsi="宋体" w:eastAsia="宋体" w:cs="宋体"/>
          <w:sz w:val="24"/>
          <w:szCs w:val="24"/>
        </w:rPr>
        <w:sectPr>
          <w:pgSz w:w="11906" w:h="16158"/>
          <w:pgMar w:top="400" w:right="1027" w:bottom="400" w:left="1004" w:header="0" w:footer="0" w:gutter="0"/>
          <w:cols w:space="720" w:num="1"/>
        </w:sectPr>
      </w:pPr>
    </w:p>
    <w:p w14:paraId="11952A91">
      <w:pPr>
        <w:pStyle w:val="2"/>
        <w:spacing w:line="349" w:lineRule="auto"/>
      </w:pPr>
    </w:p>
    <w:p w14:paraId="100EA54D">
      <w:pPr>
        <w:pStyle w:val="2"/>
        <w:spacing w:line="350" w:lineRule="auto"/>
      </w:pPr>
    </w:p>
    <w:p w14:paraId="0944DB37">
      <w:pPr>
        <w:spacing w:before="80" w:line="182" w:lineRule="auto"/>
        <w:rPr>
          <w:rFonts w:ascii="Segoe UI" w:hAnsi="Segoe UI" w:eastAsia="Segoe UI" w:cs="Segoe UI"/>
          <w:sz w:val="24"/>
          <w:szCs w:val="24"/>
        </w:rPr>
      </w:pPr>
      <w:r>
        <w:rPr>
          <w:rFonts w:ascii="Segoe UI" w:hAnsi="Segoe UI" w:eastAsia="Segoe UI" w:cs="Segoe UI"/>
          <w:b/>
          <w:bCs/>
          <w:color w:val="648676"/>
          <w:spacing w:val="29"/>
          <w:w w:val="108"/>
          <w:sz w:val="24"/>
          <w:szCs w:val="24"/>
        </w:rPr>
        <w:t>CHAPTER -1</w:t>
      </w:r>
    </w:p>
    <w:p w14:paraId="40757FB3">
      <w:pPr>
        <w:spacing w:before="55" w:line="178" w:lineRule="auto"/>
        <w:ind w:left="422"/>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数据资产管理概述</w:t>
      </w:r>
    </w:p>
    <w:p w14:paraId="138FC0CE">
      <w:pPr>
        <w:pStyle w:val="2"/>
        <w:spacing w:line="292" w:lineRule="auto"/>
      </w:pPr>
    </w:p>
    <w:p w14:paraId="244C35DC">
      <w:pPr>
        <w:pStyle w:val="2"/>
        <w:spacing w:line="293" w:lineRule="auto"/>
      </w:pPr>
    </w:p>
    <w:p w14:paraId="04DA46CE">
      <w:pPr>
        <w:pStyle w:val="2"/>
        <w:spacing w:line="293" w:lineRule="auto"/>
      </w:pPr>
    </w:p>
    <w:p w14:paraId="6D46A1D6">
      <w:pPr>
        <w:spacing w:before="95" w:line="287" w:lineRule="auto"/>
        <w:ind w:left="247" w:right="75"/>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数据资产，显性数据资产价值，为政府机构与企事业单位进行资产计</w:t>
      </w:r>
      <w:r>
        <w:rPr>
          <w:rFonts w:ascii="微软雅黑" w:hAnsi="微软雅黑" w:eastAsia="微软雅黑" w:cs="微软雅黑"/>
          <w:color w:val="231F20"/>
          <w:spacing w:val="3"/>
          <w:sz w:val="22"/>
          <w:szCs w:val="22"/>
        </w:rPr>
        <w:t>量确认提供了良好的数据条</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件和能力基础，进一步推动数据要素流通，加速要素市场化。</w:t>
      </w:r>
    </w:p>
    <w:p w14:paraId="6DC20E9F">
      <w:pPr>
        <w:pStyle w:val="2"/>
        <w:spacing w:line="303" w:lineRule="auto"/>
      </w:pPr>
    </w:p>
    <w:p w14:paraId="67BD213E">
      <w:pPr>
        <w:spacing w:line="426" w:lineRule="exact"/>
        <w:ind w:firstLine="768"/>
      </w:pPr>
      <w:r>
        <w:pict>
          <v:group id="_x0000_s1031" o:spid="_x0000_s1031" o:spt="203" style="position:absolute;left:0pt;margin-left:162.9pt;margin-top:28.4pt;height:126.35pt;width:87.3pt;z-index:251666432;mso-width-relative:page;mso-height-relative:page;" coordsize="1746,2526">
            <o:lock v:ext="edit"/>
            <v:rect id="_x0000_s1032" o:spid="_x0000_s1032" o:spt="1" style="position:absolute;left:0;top:0;height:2526;width:1746;" fillcolor="#EDF2F0" filled="t" stroked="f" coordsize="21600,21600">
              <v:path/>
              <v:fill on="t" focussize="0,0"/>
              <v:stroke on="f"/>
              <v:imagedata o:title=""/>
              <o:lock v:ext="edit"/>
            </v:rect>
            <v:shape id="_x0000_s1033" o:spid="_x0000_s1033" o:spt="75" type="#_x0000_t75" style="position:absolute;left:223;top:426;height:390;width:1360;" filled="f" stroked="f" coordsize="21600,21600">
              <v:path/>
              <v:fill on="f" focussize="0,0"/>
              <v:stroke on="f"/>
              <v:imagedata r:id="rId11" o:title=""/>
              <o:lock v:ext="edit" aspectratio="t"/>
            </v:shape>
            <v:shape id="_x0000_s1034" o:spid="_x0000_s1034" o:spt="75" type="#_x0000_t75" style="position:absolute;left:223;top:1795;height:390;width:1360;" filled="f" stroked="f" coordsize="21600,21600">
              <v:path/>
              <v:fill on="f" focussize="0,0"/>
              <v:stroke on="f"/>
              <v:imagedata r:id="rId12" o:title=""/>
              <o:lock v:ext="edit" aspectratio="t"/>
            </v:shape>
            <v:shape id="_x0000_s1035" o:spid="_x0000_s1035" o:spt="202" type="#_x0000_t202" style="position:absolute;left:195;top:57;height:1991;width:1408;" filled="f" stroked="f" coordsize="21600,21600">
              <v:path/>
              <v:fill on="f" focussize="0,0"/>
              <v:stroke on="f"/>
              <v:imagedata o:title=""/>
              <o:lock v:ext="edit" aspectratio="f"/>
              <v:textbox inset="0mm,0mm,0mm,0mm">
                <w:txbxContent>
                  <w:p w14:paraId="7B7982F7">
                    <w:pPr>
                      <w:spacing w:before="20" w:line="197" w:lineRule="exact"/>
                      <w:ind w:left="20"/>
                      <w:rPr>
                        <w:rFonts w:ascii="微软雅黑" w:hAnsi="微软雅黑" w:eastAsia="微软雅黑" w:cs="微软雅黑"/>
                        <w:sz w:val="19"/>
                        <w:szCs w:val="19"/>
                      </w:rPr>
                    </w:pPr>
                    <w:r>
                      <w:rPr>
                        <w:rFonts w:ascii="微软雅黑" w:hAnsi="微软雅黑" w:eastAsia="微软雅黑" w:cs="微软雅黑"/>
                        <w:color w:val="638778"/>
                        <w:spacing w:val="11"/>
                        <w:position w:val="-1"/>
                        <w:sz w:val="19"/>
                        <w:szCs w:val="19"/>
                      </w:rPr>
                      <w:t>资产计量确认</w:t>
                    </w:r>
                  </w:p>
                  <w:p w14:paraId="2ADA7D55">
                    <w:pPr>
                      <w:spacing w:before="222" w:line="158" w:lineRule="exact"/>
                      <w:ind w:left="209"/>
                      <w:rPr>
                        <w:rFonts w:ascii="微软雅黑" w:hAnsi="微软雅黑" w:eastAsia="微软雅黑" w:cs="微软雅黑"/>
                        <w:sz w:val="15"/>
                        <w:szCs w:val="15"/>
                      </w:rPr>
                    </w:pPr>
                    <w:r>
                      <w:rPr>
                        <w:rFonts w:ascii="微软雅黑" w:hAnsi="微软雅黑" w:eastAsia="微软雅黑" w:cs="微软雅黑"/>
                        <w:spacing w:val="10"/>
                        <w:sz w:val="15"/>
                        <w:szCs w:val="15"/>
                      </w:rPr>
                      <w:t>数据</w:t>
                    </w:r>
                  </w:p>
                  <w:p w14:paraId="3EC873D7">
                    <w:pPr>
                      <w:pStyle w:val="2"/>
                      <w:spacing w:line="447" w:lineRule="auto"/>
                    </w:pPr>
                  </w:p>
                  <w:p w14:paraId="3EEFB801">
                    <w:pPr>
                      <w:spacing w:line="391" w:lineRule="exact"/>
                      <w:ind w:firstLine="27"/>
                    </w:pPr>
                    <w:r>
                      <w:rPr>
                        <w:position w:val="-7"/>
                      </w:rPr>
                      <w:drawing>
                        <wp:inline distT="0" distB="0" distL="0" distR="0">
                          <wp:extent cx="862965" cy="24765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3"/>
                                  <a:stretch>
                                    <a:fillRect/>
                                  </a:stretch>
                                </pic:blipFill>
                                <pic:spPr>
                                  <a:xfrm>
                                    <a:off x="0" y="0"/>
                                    <a:ext cx="863307" cy="248145"/>
                                  </a:xfrm>
                                  <a:prstGeom prst="rect">
                                    <a:avLst/>
                                  </a:prstGeom>
                                </pic:spPr>
                              </pic:pic>
                            </a:graphicData>
                          </a:graphic>
                        </wp:inline>
                      </w:drawing>
                    </w:r>
                  </w:p>
                  <w:p w14:paraId="0AC0ECBB">
                    <w:pPr>
                      <w:pStyle w:val="2"/>
                      <w:spacing w:line="300" w:lineRule="auto"/>
                    </w:pPr>
                  </w:p>
                  <w:p w14:paraId="2BA3B998">
                    <w:pPr>
                      <w:spacing w:before="68" w:line="160" w:lineRule="exact"/>
                      <w:ind w:left="206"/>
                      <w:rPr>
                        <w:rFonts w:ascii="微软雅黑" w:hAnsi="微软雅黑" w:eastAsia="微软雅黑" w:cs="微软雅黑"/>
                        <w:sz w:val="16"/>
                        <w:szCs w:val="16"/>
                      </w:rPr>
                    </w:pPr>
                    <w:r>
                      <w:rPr>
                        <w:rFonts w:ascii="微软雅黑" w:hAnsi="微软雅黑" w:eastAsia="微软雅黑" w:cs="微软雅黑"/>
                        <w:spacing w:val="1"/>
                        <w:position w:val="-1"/>
                        <w:sz w:val="16"/>
                        <w:szCs w:val="16"/>
                      </w:rPr>
                      <w:t>数据资产计价</w:t>
                    </w:r>
                  </w:p>
                </w:txbxContent>
              </v:textbox>
            </v:shape>
          </v:group>
        </w:pict>
      </w:r>
      <w:r>
        <w:rPr>
          <w:position w:val="-8"/>
        </w:rPr>
        <w:drawing>
          <wp:inline distT="0" distB="0" distL="0" distR="0">
            <wp:extent cx="5311775" cy="27051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4"/>
                    <a:stretch>
                      <a:fillRect/>
                    </a:stretch>
                  </pic:blipFill>
                  <pic:spPr>
                    <a:xfrm>
                      <a:off x="0" y="0"/>
                      <a:ext cx="5311965" cy="270585"/>
                    </a:xfrm>
                    <a:prstGeom prst="rect">
                      <a:avLst/>
                    </a:prstGeom>
                  </pic:spPr>
                </pic:pic>
              </a:graphicData>
            </a:graphic>
          </wp:inline>
        </w:drawing>
      </w:r>
    </w:p>
    <w:p w14:paraId="607B343C">
      <w:pPr>
        <w:pStyle w:val="2"/>
        <w:spacing w:before="152" w:line="2516" w:lineRule="exact"/>
        <w:ind w:firstLine="5072"/>
      </w:pPr>
      <w:r>
        <w:pict>
          <v:rect id="_x0000_s1036" o:spid="_x0000_s1036" o:spt="1" style="position:absolute;left:0pt;margin-left:38.4pt;margin-top:7.6pt;height:125.85pt;width:87.55pt;z-index:251667456;mso-width-relative:page;mso-height-relative:page;" fillcolor="#EDF2F0" filled="t" stroked="f" coordsize="21600,21600">
            <v:path/>
            <v:fill on="t" focussize="0,0"/>
            <v:stroke on="f"/>
            <v:imagedata o:title=""/>
            <o:lock v:ext="edit"/>
          </v:rect>
        </w:pict>
      </w:r>
      <w:r>
        <w:pict>
          <v:shape id="_x0000_s1037" o:spid="_x0000_s1037" o:spt="202" type="#_x0000_t202" style="position:absolute;left:0pt;margin-left:50.55pt;margin-top:9.8pt;height:11.9pt;width:62.7pt;z-index:251671552;mso-width-relative:page;mso-height-relative:page;" filled="f" stroked="f" coordsize="21600,21600">
            <v:path/>
            <v:fill on="f" focussize="0,0"/>
            <v:stroke on="f"/>
            <v:imagedata o:title=""/>
            <o:lock v:ext="edit" aspectratio="f"/>
            <v:textbox inset="0mm,0mm,0mm,0mm">
              <w:txbxContent>
                <w:p w14:paraId="260C5376">
                  <w:pPr>
                    <w:spacing w:before="20" w:line="197" w:lineRule="exact"/>
                    <w:ind w:left="20"/>
                    <w:rPr>
                      <w:rFonts w:ascii="微软雅黑" w:hAnsi="微软雅黑" w:eastAsia="微软雅黑" w:cs="微软雅黑"/>
                      <w:sz w:val="19"/>
                      <w:szCs w:val="19"/>
                    </w:rPr>
                  </w:pPr>
                  <w:r>
                    <w:rPr>
                      <w:rFonts w:ascii="微软雅黑" w:hAnsi="微软雅黑" w:eastAsia="微软雅黑" w:cs="微软雅黑"/>
                      <w:color w:val="638778"/>
                      <w:spacing w:val="12"/>
                      <w:position w:val="-1"/>
                      <w:sz w:val="19"/>
                      <w:szCs w:val="19"/>
                    </w:rPr>
                    <w:t>数据资产管理</w:t>
                  </w:r>
                </w:p>
              </w:txbxContent>
            </v:textbox>
          </v:shape>
        </w:pict>
      </w:r>
      <w:r>
        <w:drawing>
          <wp:anchor distT="0" distB="0" distL="0" distR="0" simplePos="0" relativeHeight="251669504" behindDoc="0" locked="0" layoutInCell="1" allowOverlap="1">
            <wp:simplePos x="0" y="0"/>
            <wp:positionH relativeFrom="column">
              <wp:posOffset>651510</wp:posOffset>
            </wp:positionH>
            <wp:positionV relativeFrom="paragraph">
              <wp:posOffset>360680</wp:posOffset>
            </wp:positionV>
            <wp:extent cx="863600" cy="248285"/>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5"/>
                    <a:stretch>
                      <a:fillRect/>
                    </a:stretch>
                  </pic:blipFill>
                  <pic:spPr>
                    <a:xfrm>
                      <a:off x="0" y="0"/>
                      <a:ext cx="863308" cy="248145"/>
                    </a:xfrm>
                    <a:prstGeom prst="rect">
                      <a:avLst/>
                    </a:prstGeom>
                  </pic:spPr>
                </pic:pic>
              </a:graphicData>
            </a:graphic>
          </wp:anchor>
        </w:drawing>
      </w:r>
      <w:r>
        <w:drawing>
          <wp:anchor distT="0" distB="0" distL="0" distR="0" simplePos="0" relativeHeight="251670528" behindDoc="0" locked="0" layoutInCell="1" allowOverlap="1">
            <wp:simplePos x="0" y="0"/>
            <wp:positionH relativeFrom="column">
              <wp:posOffset>651510</wp:posOffset>
            </wp:positionH>
            <wp:positionV relativeFrom="paragraph">
              <wp:posOffset>1017905</wp:posOffset>
            </wp:positionV>
            <wp:extent cx="863600" cy="24828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6"/>
                    <a:stretch>
                      <a:fillRect/>
                    </a:stretch>
                  </pic:blipFill>
                  <pic:spPr>
                    <a:xfrm>
                      <a:off x="0" y="0"/>
                      <a:ext cx="863308" cy="248145"/>
                    </a:xfrm>
                    <a:prstGeom prst="rect">
                      <a:avLst/>
                    </a:prstGeom>
                  </pic:spPr>
                </pic:pic>
              </a:graphicData>
            </a:graphic>
          </wp:anchor>
        </w:drawing>
      </w:r>
      <w:r>
        <w:drawing>
          <wp:anchor distT="0" distB="0" distL="0" distR="0" simplePos="0" relativeHeight="251672576" behindDoc="0" locked="0" layoutInCell="1" allowOverlap="1">
            <wp:simplePos x="0" y="0"/>
            <wp:positionH relativeFrom="column">
              <wp:posOffset>1724660</wp:posOffset>
            </wp:positionH>
            <wp:positionV relativeFrom="paragraph">
              <wp:posOffset>779145</wp:posOffset>
            </wp:positionV>
            <wp:extent cx="251460" cy="296545"/>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7"/>
                    <a:stretch>
                      <a:fillRect/>
                    </a:stretch>
                  </pic:blipFill>
                  <pic:spPr>
                    <a:xfrm>
                      <a:off x="0" y="0"/>
                      <a:ext cx="251256" cy="296367"/>
                    </a:xfrm>
                    <a:prstGeom prst="rect">
                      <a:avLst/>
                    </a:prstGeom>
                  </pic:spPr>
                </pic:pic>
              </a:graphicData>
            </a:graphic>
          </wp:anchor>
        </w:drawing>
      </w:r>
      <w:r>
        <w:rPr>
          <w:position w:val="-50"/>
        </w:rPr>
        <w:pict>
          <v:group id="_x0000_s1038" o:spid="_x0000_s1038" o:spt="203" style="height:125.85pt;width:203.05pt;" coordsize="4061,2516">
            <o:lock v:ext="edit"/>
            <v:rect id="_x0000_s1039" o:spid="_x0000_s1039" o:spt="1" style="position:absolute;left:722;top:0;height:2516;width:3338;" fillcolor="#D1E6E0" filled="t" stroked="f" coordsize="21600,21600">
              <v:path/>
              <v:fill on="t" focussize="0,0"/>
              <v:stroke on="f"/>
              <v:imagedata o:title=""/>
              <o:lock v:ext="edit"/>
            </v:rect>
            <v:shape id="_x0000_s1040" o:spid="_x0000_s1040" o:spt="202" type="#_x0000_t202" style="position:absolute;left:875;top:35;height:2131;width:2992;" filled="f" stroked="f" coordsize="21600,21600">
              <v:path/>
              <v:fill on="f" focussize="0,0"/>
              <v:stroke on="f"/>
              <v:imagedata o:title=""/>
              <o:lock v:ext="edit" aspectratio="f"/>
              <v:textbox inset="0mm,0mm,0mm,0mm">
                <w:txbxContent>
                  <w:p w14:paraId="3B8D0307">
                    <w:pPr>
                      <w:spacing w:before="20" w:line="197" w:lineRule="exact"/>
                      <w:ind w:left="908"/>
                      <w:rPr>
                        <w:rFonts w:ascii="微软雅黑" w:hAnsi="微软雅黑" w:eastAsia="微软雅黑" w:cs="微软雅黑"/>
                        <w:sz w:val="19"/>
                        <w:szCs w:val="19"/>
                      </w:rPr>
                    </w:pPr>
                    <w:r>
                      <w:rPr>
                        <w:rFonts w:ascii="微软雅黑" w:hAnsi="微软雅黑" w:eastAsia="微软雅黑" w:cs="微软雅黑"/>
                        <w:color w:val="638778"/>
                        <w:spacing w:val="12"/>
                        <w:position w:val="-1"/>
                        <w:sz w:val="19"/>
                        <w:szCs w:val="19"/>
                      </w:rPr>
                      <w:t>数据要素流通</w:t>
                    </w:r>
                  </w:p>
                  <w:p w14:paraId="35A941A4">
                    <w:pPr>
                      <w:spacing w:before="162" w:line="391" w:lineRule="exact"/>
                      <w:ind w:firstLine="20"/>
                    </w:pPr>
                    <w:r>
                      <w:rPr>
                        <w:position w:val="-7"/>
                      </w:rPr>
                      <w:drawing>
                        <wp:inline distT="0" distB="0" distL="0" distR="0">
                          <wp:extent cx="862965" cy="24765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22"/>
                                  <a:stretch>
                                    <a:fillRect/>
                                  </a:stretch>
                                </pic:blipFill>
                                <pic:spPr>
                                  <a:xfrm>
                                    <a:off x="0" y="0"/>
                                    <a:ext cx="863307" cy="248145"/>
                                  </a:xfrm>
                                  <a:prstGeom prst="rect">
                                    <a:avLst/>
                                  </a:prstGeom>
                                </pic:spPr>
                              </pic:pic>
                            </a:graphicData>
                          </a:graphic>
                        </wp:inline>
                      </w:drawing>
                    </w:r>
                  </w:p>
                  <w:p w14:paraId="77ACC0B2">
                    <w:pPr>
                      <w:spacing w:line="246" w:lineRule="auto"/>
                      <w:rPr>
                        <w:rFonts w:ascii="Arial"/>
                        <w:sz w:val="21"/>
                      </w:rPr>
                    </w:pPr>
                  </w:p>
                  <w:p w14:paraId="117094F6">
                    <w:pPr>
                      <w:spacing w:line="391" w:lineRule="exact"/>
                      <w:ind w:firstLine="1612"/>
                    </w:pPr>
                    <w:r>
                      <w:rPr>
                        <w:position w:val="-7"/>
                      </w:rPr>
                      <w:drawing>
                        <wp:inline distT="0" distB="0" distL="0" distR="0">
                          <wp:extent cx="862965" cy="24765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23"/>
                                  <a:stretch>
                                    <a:fillRect/>
                                  </a:stretch>
                                </pic:blipFill>
                                <pic:spPr>
                                  <a:xfrm>
                                    <a:off x="0" y="0"/>
                                    <a:ext cx="863307" cy="248145"/>
                                  </a:xfrm>
                                  <a:prstGeom prst="rect">
                                    <a:avLst/>
                                  </a:prstGeom>
                                </pic:spPr>
                              </pic:pic>
                            </a:graphicData>
                          </a:graphic>
                        </wp:inline>
                      </w:drawing>
                    </w:r>
                  </w:p>
                  <w:p w14:paraId="4DF2F530">
                    <w:pPr>
                      <w:spacing w:line="307" w:lineRule="auto"/>
                      <w:rPr>
                        <w:rFonts w:ascii="Arial"/>
                        <w:sz w:val="21"/>
                      </w:rPr>
                    </w:pPr>
                  </w:p>
                  <w:p w14:paraId="56061559">
                    <w:pPr>
                      <w:spacing w:line="391" w:lineRule="exact"/>
                      <w:ind w:firstLine="1612"/>
                    </w:pPr>
                    <w:r>
                      <w:rPr>
                        <w:position w:val="-7"/>
                      </w:rPr>
                      <w:drawing>
                        <wp:inline distT="0" distB="0" distL="0" distR="0">
                          <wp:extent cx="862965" cy="247650"/>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24"/>
                                  <a:stretch>
                                    <a:fillRect/>
                                  </a:stretch>
                                </pic:blipFill>
                                <pic:spPr>
                                  <a:xfrm>
                                    <a:off x="0" y="0"/>
                                    <a:ext cx="863307" cy="248145"/>
                                  </a:xfrm>
                                  <a:prstGeom prst="rect">
                                    <a:avLst/>
                                  </a:prstGeom>
                                </pic:spPr>
                              </pic:pic>
                            </a:graphicData>
                          </a:graphic>
                        </wp:inline>
                      </w:drawing>
                    </w:r>
                  </w:p>
                </w:txbxContent>
              </v:textbox>
            </v:shape>
            <v:shape id="_x0000_s1041" o:spid="_x0000_s1041" o:spt="75" type="#_x0000_t75" style="position:absolute;left:885;top:1065;height:390;width:1360;" filled="f" stroked="f" coordsize="21600,21600">
              <v:path/>
              <v:fill on="f" focussize="0,0"/>
              <v:stroke on="f"/>
              <v:imagedata r:id="rId18" o:title=""/>
              <o:lock v:ext="edit" aspectratio="t"/>
            </v:shape>
            <v:shape id="_x0000_s1042" o:spid="_x0000_s1042" o:spt="75" type="#_x0000_t75" style="position:absolute;left:885;top:1765;height:390;width:1360;" filled="f" stroked="f" coordsize="21600,21600">
              <v:path/>
              <v:fill on="f" focussize="0,0"/>
              <v:stroke on="f"/>
              <v:imagedata r:id="rId19" o:title=""/>
              <o:lock v:ext="edit" aspectratio="t"/>
            </v:shape>
            <v:shape id="_x0000_s1043" o:spid="_x0000_s1043" o:spt="75" type="#_x0000_t75" style="position:absolute;left:2498;top:416;height:380;width:1360;" filled="f" stroked="f" coordsize="21600,21600">
              <v:path/>
              <v:fill on="f" focussize="0,0"/>
              <v:stroke on="f"/>
              <v:imagedata r:id="rId20" o:title=""/>
              <o:lock v:ext="edit" aspectratio="t"/>
            </v:shape>
            <v:shape id="_x0000_s1044" o:spid="_x0000_s1044" o:spt="75" type="#_x0000_t75" style="position:absolute;left:0;top:1065;height:457;width:395;" filled="f" stroked="f" coordsize="21600,21600">
              <v:path/>
              <v:fill on="f" focussize="0,0"/>
              <v:stroke on="f"/>
              <v:imagedata r:id="rId21" o:title=""/>
              <o:lock v:ext="edit" aspectratio="t"/>
            </v:shape>
            <w10:wrap type="none"/>
            <w10:anchorlock/>
          </v:group>
        </w:pict>
      </w:r>
    </w:p>
    <w:p w14:paraId="5BB30C46">
      <w:pPr>
        <w:spacing w:before="257" w:line="204" w:lineRule="auto"/>
        <w:ind w:left="3100"/>
        <w:rPr>
          <w:rFonts w:ascii="微软雅黑" w:hAnsi="微软雅黑" w:eastAsia="微软雅黑" w:cs="微软雅黑"/>
          <w:sz w:val="20"/>
          <w:szCs w:val="20"/>
        </w:rPr>
      </w:pPr>
      <w:r>
        <w:rPr>
          <w:rFonts w:ascii="微软雅黑" w:hAnsi="微软雅黑" w:eastAsia="微软雅黑" w:cs="微软雅黑"/>
          <w:color w:val="231F20"/>
          <w:spacing w:val="2"/>
          <w:sz w:val="20"/>
          <w:szCs w:val="20"/>
        </w:rPr>
        <w:t>图</w:t>
      </w:r>
      <w:r>
        <w:rPr>
          <w:rFonts w:ascii="微软雅黑" w:hAnsi="微软雅黑" w:eastAsia="微软雅黑" w:cs="微软雅黑"/>
          <w:color w:val="231F20"/>
          <w:spacing w:val="36"/>
          <w:sz w:val="20"/>
          <w:szCs w:val="20"/>
        </w:rPr>
        <w:t xml:space="preserve"> </w:t>
      </w:r>
      <w:r>
        <w:rPr>
          <w:rFonts w:ascii="微软雅黑" w:hAnsi="微软雅黑" w:eastAsia="微软雅黑" w:cs="微软雅黑"/>
          <w:color w:val="231F20"/>
          <w:spacing w:val="2"/>
          <w:sz w:val="20"/>
          <w:szCs w:val="20"/>
        </w:rPr>
        <w:t>1 数据资产管理推动数据要素市场构建</w:t>
      </w:r>
    </w:p>
    <w:p w14:paraId="64E6BBB5">
      <w:pPr>
        <w:pStyle w:val="2"/>
        <w:spacing w:line="271" w:lineRule="auto"/>
      </w:pPr>
    </w:p>
    <w:p w14:paraId="6AEB02CC">
      <w:pPr>
        <w:pStyle w:val="2"/>
        <w:spacing w:line="271" w:lineRule="auto"/>
      </w:pPr>
    </w:p>
    <w:p w14:paraId="030B6BC1">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1"/>
          <w:sz w:val="28"/>
          <w:szCs w:val="28"/>
        </w:rPr>
        <w:t>( 二 ) 数据资产管理助力企业数字化转型</w:t>
      </w:r>
    </w:p>
    <w:p w14:paraId="54624D83">
      <w:pPr>
        <w:pStyle w:val="2"/>
        <w:spacing w:line="410" w:lineRule="auto"/>
      </w:pPr>
    </w:p>
    <w:p w14:paraId="18CB7698">
      <w:pPr>
        <w:spacing w:before="95" w:line="290" w:lineRule="auto"/>
        <w:ind w:left="247" w:right="66" w:firstLine="481"/>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 xml:space="preserve">企业竞争的本质是在不确定市场环境下资源配置效率的竞争。随着技术的更新迭代和市场需 </w:t>
      </w:r>
      <w:r>
        <w:rPr>
          <w:rFonts w:ascii="微软雅黑" w:hAnsi="微软雅黑" w:eastAsia="微软雅黑" w:cs="微软雅黑"/>
          <w:color w:val="231F20"/>
          <w:spacing w:val="4"/>
          <w:sz w:val="22"/>
          <w:szCs w:val="22"/>
        </w:rPr>
        <w:t>求的快速升级，生产过程、外部环境、供应链协同的不确定和复杂性持</w:t>
      </w:r>
      <w:r>
        <w:rPr>
          <w:rFonts w:ascii="微软雅黑" w:hAnsi="微软雅黑" w:eastAsia="微软雅黑" w:cs="微软雅黑"/>
          <w:color w:val="231F20"/>
          <w:spacing w:val="3"/>
          <w:sz w:val="22"/>
          <w:szCs w:val="22"/>
        </w:rPr>
        <w:t>续增加。如何快速感知市</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场变化、识别潜在客户需求，如何增强决策准确性、实时性，如何提高产品开发迭代速度、降低</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产品管理运维成本，已成为配置资源效率的关注点和竞争点。</w:t>
      </w:r>
    </w:p>
    <w:p w14:paraId="6C7FFC58">
      <w:pPr>
        <w:spacing w:before="19" w:line="290" w:lineRule="auto"/>
        <w:ind w:left="247" w:firstLine="481"/>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数字化转型通过优化企业资源获取和资源配置，提高企业竞争优势。数据是企业资源的具体</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4"/>
          <w:sz w:val="22"/>
          <w:szCs w:val="22"/>
        </w:rPr>
        <w:t>表现形式和重要载体，在万物互联的时代，数据将渗透至企业设</w:t>
      </w:r>
      <w:r>
        <w:rPr>
          <w:rFonts w:ascii="微软雅黑" w:hAnsi="微软雅黑" w:eastAsia="微软雅黑" w:cs="微软雅黑"/>
          <w:color w:val="231F20"/>
          <w:spacing w:val="3"/>
          <w:sz w:val="22"/>
          <w:szCs w:val="22"/>
        </w:rPr>
        <w:t>计、生产、管理、服务和运营的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全流程，对企业资源获取和配置的优化过程即是</w:t>
      </w:r>
      <w:r>
        <w:rPr>
          <w:rFonts w:ascii="微软雅黑" w:hAnsi="微软雅黑" w:eastAsia="微软雅黑" w:cs="微软雅黑"/>
          <w:color w:val="231F20"/>
          <w:spacing w:val="3"/>
          <w:sz w:val="22"/>
          <w:szCs w:val="22"/>
        </w:rPr>
        <w:t>利用数字化手段重塑企业发展模式和竞争优势的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8"/>
          <w:sz w:val="22"/>
          <w:szCs w:val="22"/>
        </w:rPr>
        <w:t>过程。通过业务数据化， 应用数据采集、传输、加工等技术，</w:t>
      </w:r>
      <w:r>
        <w:rPr>
          <w:rFonts w:ascii="微软雅黑" w:hAnsi="微软雅黑" w:eastAsia="微软雅黑" w:cs="微软雅黑"/>
          <w:color w:val="231F20"/>
          <w:spacing w:val="24"/>
          <w:sz w:val="22"/>
          <w:szCs w:val="22"/>
        </w:rPr>
        <w:t xml:space="preserve"> </w:t>
      </w:r>
      <w:r>
        <w:rPr>
          <w:rFonts w:ascii="微软雅黑" w:hAnsi="微软雅黑" w:eastAsia="微软雅黑" w:cs="微软雅黑"/>
          <w:color w:val="231F20"/>
          <w:spacing w:val="-8"/>
          <w:sz w:val="22"/>
          <w:szCs w:val="22"/>
        </w:rPr>
        <w:t>推动业务全面线上；通过数据业务化，</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实现数据智能决策，驱动业务创新。</w:t>
      </w:r>
    </w:p>
    <w:p w14:paraId="7F4F0859">
      <w:pPr>
        <w:spacing w:before="15" w:line="290" w:lineRule="auto"/>
        <w:ind w:left="247" w:right="68" w:firstLine="481"/>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 xml:space="preserve">数据资产管理提高业务数据化效率，推动数据业务化，加速企业数字化转型。数据资产管理 </w:t>
      </w:r>
      <w:r>
        <w:rPr>
          <w:rFonts w:ascii="微软雅黑" w:hAnsi="微软雅黑" w:eastAsia="微软雅黑" w:cs="微软雅黑"/>
          <w:color w:val="231F20"/>
          <w:spacing w:val="4"/>
          <w:sz w:val="22"/>
          <w:szCs w:val="22"/>
        </w:rPr>
        <w:t>从数据的业务供给端出发，通过数据资源化设计业务流程与数据模型，提</w:t>
      </w:r>
      <w:r>
        <w:rPr>
          <w:rFonts w:ascii="微软雅黑" w:hAnsi="微软雅黑" w:eastAsia="微软雅黑" w:cs="微软雅黑"/>
          <w:color w:val="231F20"/>
          <w:spacing w:val="3"/>
          <w:sz w:val="22"/>
          <w:szCs w:val="22"/>
        </w:rPr>
        <w:t>高业务从物理世界到数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字世界的转换效率，并对线上业务的数据质量和安全进行管控，保障业务运转的高质量</w:t>
      </w:r>
      <w:r>
        <w:rPr>
          <w:rFonts w:ascii="微软雅黑" w:hAnsi="微软雅黑" w:eastAsia="微软雅黑" w:cs="微软雅黑"/>
          <w:color w:val="231F20"/>
          <w:spacing w:val="3"/>
          <w:sz w:val="22"/>
          <w:szCs w:val="22"/>
        </w:rPr>
        <w:t>，降低业</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务的安全风险。数据资产化从业务的数据需求端出发，打通企业内部数据</w:t>
      </w:r>
      <w:r>
        <w:rPr>
          <w:rFonts w:ascii="微软雅黑" w:hAnsi="微软雅黑" w:eastAsia="微软雅黑" w:cs="微软雅黑"/>
          <w:color w:val="231F20"/>
          <w:spacing w:val="3"/>
          <w:sz w:val="22"/>
          <w:szCs w:val="22"/>
        </w:rPr>
        <w:t>、引入企业外部数据，</w:t>
      </w:r>
    </w:p>
    <w:p w14:paraId="2FDF6874">
      <w:pPr>
        <w:pStyle w:val="2"/>
        <w:spacing w:before="261" w:line="194" w:lineRule="auto"/>
        <w:ind w:left="4898"/>
        <w:rPr>
          <w:sz w:val="20"/>
          <w:szCs w:val="20"/>
        </w:rPr>
      </w:pPr>
      <w:r>
        <w:pict>
          <v:shape id="_x0000_s1045" o:spid="_x0000_s1045" o:spt="202" type="#_x0000_t202" style="position:absolute;left:0pt;margin-left:274.65pt;margin-top:16.7pt;height:15.95pt;width:199.4pt;z-index:251668480;mso-width-relative:page;mso-height-relative:page;" filled="f" stroked="f" coordsize="21600,21600">
            <v:path/>
            <v:fill on="f" focussize="0,0"/>
            <v:stroke on="f"/>
            <v:imagedata o:title=""/>
            <o:lock v:ext="edit" aspectratio="f"/>
            <v:textbox inset="0mm,0mm,0mm,0mm">
              <w:txbxContent>
                <w:p w14:paraId="3E56EF89">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z w:val="20"/>
          <w:szCs w:val="20"/>
        </w:rPr>
        <w:t>2</w:t>
      </w:r>
    </w:p>
    <w:p w14:paraId="69BC6A69">
      <w:pPr>
        <w:spacing w:line="194" w:lineRule="auto"/>
        <w:rPr>
          <w:sz w:val="20"/>
          <w:szCs w:val="20"/>
        </w:rPr>
        <w:sectPr>
          <w:pgSz w:w="11906" w:h="16158"/>
          <w:pgMar w:top="400" w:right="1178" w:bottom="400" w:left="1004" w:header="0" w:footer="0" w:gutter="0"/>
          <w:cols w:space="720" w:num="1"/>
        </w:sectPr>
      </w:pPr>
    </w:p>
    <w:p w14:paraId="4F948532">
      <w:pPr>
        <w:pStyle w:val="2"/>
        <w:spacing w:line="349" w:lineRule="auto"/>
      </w:pPr>
    </w:p>
    <w:p w14:paraId="32D04B85">
      <w:pPr>
        <w:pStyle w:val="2"/>
        <w:spacing w:line="350" w:lineRule="auto"/>
      </w:pPr>
    </w:p>
    <w:p w14:paraId="1895E42E">
      <w:pPr>
        <w:spacing w:before="80" w:line="182" w:lineRule="auto"/>
        <w:rPr>
          <w:rFonts w:ascii="Segoe UI" w:hAnsi="Segoe UI" w:eastAsia="Segoe UI" w:cs="Segoe UI"/>
          <w:sz w:val="24"/>
          <w:szCs w:val="24"/>
        </w:rPr>
      </w:pPr>
      <w:r>
        <w:rPr>
          <w:rFonts w:ascii="Segoe UI" w:hAnsi="Segoe UI" w:eastAsia="Segoe UI" w:cs="Segoe UI"/>
          <w:b/>
          <w:bCs/>
          <w:color w:val="648676"/>
          <w:spacing w:val="29"/>
          <w:w w:val="108"/>
          <w:sz w:val="24"/>
          <w:szCs w:val="24"/>
        </w:rPr>
        <w:t>CHAPTER -1</w:t>
      </w:r>
    </w:p>
    <w:p w14:paraId="3AD8D4FB">
      <w:pPr>
        <w:spacing w:before="55" w:line="178" w:lineRule="auto"/>
        <w:ind w:left="422"/>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数据资产管理概述</w:t>
      </w:r>
    </w:p>
    <w:p w14:paraId="3015C7A0">
      <w:pPr>
        <w:pStyle w:val="2"/>
        <w:spacing w:line="292" w:lineRule="auto"/>
      </w:pPr>
    </w:p>
    <w:p w14:paraId="4813BB16">
      <w:pPr>
        <w:pStyle w:val="2"/>
        <w:spacing w:line="292" w:lineRule="auto"/>
      </w:pPr>
    </w:p>
    <w:p w14:paraId="007102CC">
      <w:pPr>
        <w:pStyle w:val="2"/>
        <w:spacing w:line="293" w:lineRule="auto"/>
      </w:pPr>
    </w:p>
    <w:p w14:paraId="50F0DCA2">
      <w:pPr>
        <w:spacing w:before="95" w:line="288" w:lineRule="auto"/>
        <w:ind w:left="247" w:right="81" w:hanging="1"/>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加深数据与业务线的融合，催生数据场景化，应用数据分析技</w:t>
      </w:r>
      <w:r>
        <w:rPr>
          <w:rFonts w:ascii="微软雅黑" w:hAnsi="微软雅黑" w:eastAsia="微软雅黑" w:cs="微软雅黑"/>
          <w:color w:val="231F20"/>
          <w:spacing w:val="3"/>
          <w:sz w:val="22"/>
          <w:szCs w:val="22"/>
        </w:rPr>
        <w:t>术，实现数据赋能业务发展，推动</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企业精细化管理变革。</w:t>
      </w:r>
    </w:p>
    <w:p w14:paraId="054426B2">
      <w:pPr>
        <w:pStyle w:val="2"/>
        <w:spacing w:line="282" w:lineRule="auto"/>
      </w:pPr>
    </w:p>
    <w:p w14:paraId="6F2250C2">
      <w:pPr>
        <w:spacing w:line="3389" w:lineRule="exact"/>
        <w:ind w:firstLine="1879"/>
      </w:pPr>
      <w:r>
        <w:rPr>
          <w:position w:val="-67"/>
        </w:rPr>
        <w:drawing>
          <wp:inline distT="0" distB="0" distL="0" distR="0">
            <wp:extent cx="3896360" cy="215138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25"/>
                    <a:stretch>
                      <a:fillRect/>
                    </a:stretch>
                  </pic:blipFill>
                  <pic:spPr>
                    <a:xfrm>
                      <a:off x="0" y="0"/>
                      <a:ext cx="3896791" cy="2151570"/>
                    </a:xfrm>
                    <a:prstGeom prst="rect">
                      <a:avLst/>
                    </a:prstGeom>
                  </pic:spPr>
                </pic:pic>
              </a:graphicData>
            </a:graphic>
          </wp:inline>
        </w:drawing>
      </w:r>
    </w:p>
    <w:p w14:paraId="3EB39F4C">
      <w:pPr>
        <w:spacing w:before="177" w:line="204" w:lineRule="auto"/>
        <w:ind w:left="3204"/>
        <w:rPr>
          <w:rFonts w:ascii="微软雅黑" w:hAnsi="微软雅黑" w:eastAsia="微软雅黑" w:cs="微软雅黑"/>
          <w:sz w:val="20"/>
          <w:szCs w:val="20"/>
        </w:rPr>
      </w:pPr>
      <w:r>
        <w:rPr>
          <w:rFonts w:ascii="微软雅黑" w:hAnsi="微软雅黑" w:eastAsia="微软雅黑" w:cs="微软雅黑"/>
          <w:color w:val="231F20"/>
          <w:spacing w:val="3"/>
          <w:sz w:val="20"/>
          <w:szCs w:val="20"/>
        </w:rPr>
        <w:t>图 2 数据资产管理助力企业数字化转型</w:t>
      </w:r>
    </w:p>
    <w:p w14:paraId="72F348EE">
      <w:pPr>
        <w:pStyle w:val="2"/>
        <w:spacing w:line="373" w:lineRule="auto"/>
      </w:pPr>
    </w:p>
    <w:p w14:paraId="0A9EB115">
      <w:pPr>
        <w:spacing w:before="95" w:line="291" w:lineRule="auto"/>
        <w:ind w:left="247" w:right="67" w:firstLine="482"/>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我国鼓励企业数字化转型，提升企业数据资产管理能力。</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pacing w:val="3"/>
          <w:sz w:val="22"/>
          <w:szCs w:val="22"/>
        </w:rPr>
        <w:t>2020 年 9 月国务院国资委办公厅</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下发《关于加快推进国有企业数字化转型工作的通知》，</w:t>
      </w:r>
      <w:r>
        <w:rPr>
          <w:rFonts w:ascii="微软雅黑" w:hAnsi="微软雅黑" w:eastAsia="微软雅黑" w:cs="微软雅黑"/>
          <w:color w:val="231F20"/>
          <w:spacing w:val="3"/>
          <w:sz w:val="22"/>
          <w:szCs w:val="22"/>
        </w:rPr>
        <w:t>要求各国有企业加快集团数据治理体系</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建设，提出构建数据治理体系，“明确数据归口管理部门，加强数据标准化、元数</w:t>
      </w:r>
      <w:r>
        <w:rPr>
          <w:rFonts w:ascii="微软雅黑" w:hAnsi="微软雅黑" w:eastAsia="微软雅黑" w:cs="微软雅黑"/>
          <w:color w:val="231F20"/>
          <w:spacing w:val="3"/>
          <w:sz w:val="22"/>
          <w:szCs w:val="22"/>
        </w:rPr>
        <w:t>据和主数据管</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理工作”， “定期评估数据治理能力成熟度”。同时， “强化业</w:t>
      </w:r>
      <w:r>
        <w:rPr>
          <w:rFonts w:ascii="微软雅黑" w:hAnsi="微软雅黑" w:eastAsia="微软雅黑" w:cs="微软雅黑"/>
          <w:color w:val="231F20"/>
          <w:sz w:val="22"/>
          <w:szCs w:val="22"/>
        </w:rPr>
        <w:t xml:space="preserve">务场景数据建模，深入挖掘数据 </w:t>
      </w:r>
      <w:r>
        <w:rPr>
          <w:rFonts w:ascii="微软雅黑" w:hAnsi="微软雅黑" w:eastAsia="微软雅黑" w:cs="微软雅黑"/>
          <w:color w:val="231F20"/>
          <w:spacing w:val="4"/>
          <w:sz w:val="22"/>
          <w:szCs w:val="22"/>
        </w:rPr>
        <w:t>价值，提升数据洞察能力”，提升数据服务水平。此外，指出制定规划、协同推进、资源保</w:t>
      </w:r>
      <w:r>
        <w:rPr>
          <w:rFonts w:ascii="微软雅黑" w:hAnsi="微软雅黑" w:eastAsia="微软雅黑" w:cs="微软雅黑"/>
          <w:color w:val="231F20"/>
          <w:spacing w:val="3"/>
          <w:sz w:val="22"/>
          <w:szCs w:val="22"/>
        </w:rPr>
        <w:t>障对</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于工作顺利推进的重要性。</w:t>
      </w:r>
    </w:p>
    <w:p w14:paraId="7696FAC8">
      <w:pPr>
        <w:pStyle w:val="2"/>
        <w:spacing w:line="351" w:lineRule="auto"/>
      </w:pPr>
    </w:p>
    <w:p w14:paraId="6187FA7B">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1"/>
          <w:sz w:val="28"/>
          <w:szCs w:val="28"/>
        </w:rPr>
        <w:t>( 三 ) 数据资产管理的概念与内涵</w:t>
      </w:r>
    </w:p>
    <w:p w14:paraId="5FE744CD">
      <w:pPr>
        <w:pStyle w:val="2"/>
        <w:spacing w:line="414" w:lineRule="auto"/>
      </w:pPr>
    </w:p>
    <w:p w14:paraId="3CA0EAE8">
      <w:pPr>
        <w:spacing w:before="103" w:line="178" w:lineRule="auto"/>
        <w:ind w:left="248"/>
        <w:rPr>
          <w:rFonts w:ascii="微软雅黑" w:hAnsi="微软雅黑" w:eastAsia="微软雅黑" w:cs="微软雅黑"/>
          <w:sz w:val="24"/>
          <w:szCs w:val="24"/>
        </w:rPr>
      </w:pPr>
      <w:r>
        <w:rPr>
          <w:rFonts w:ascii="微软雅黑" w:hAnsi="微软雅黑" w:eastAsia="微软雅黑" w:cs="微软雅黑"/>
          <w:color w:val="231F20"/>
          <w:sz w:val="24"/>
          <w:szCs w:val="24"/>
        </w:rPr>
        <w:t>1. 数据资产</w:t>
      </w:r>
    </w:p>
    <w:p w14:paraId="6C2ED175">
      <w:pPr>
        <w:spacing w:before="142" w:line="289" w:lineRule="auto"/>
        <w:ind w:left="247" w:firstLine="481"/>
        <w:jc w:val="both"/>
        <w:rPr>
          <w:rFonts w:ascii="微软雅黑" w:hAnsi="微软雅黑" w:eastAsia="微软雅黑" w:cs="微软雅黑"/>
          <w:sz w:val="22"/>
          <w:szCs w:val="22"/>
        </w:rPr>
      </w:pPr>
      <w:r>
        <w:rPr>
          <w:rFonts w:ascii="微软雅黑" w:hAnsi="微软雅黑" w:eastAsia="微软雅黑" w:cs="微软雅黑"/>
          <w:color w:val="231F20"/>
          <w:spacing w:val="-6"/>
          <w:sz w:val="22"/>
          <w:szCs w:val="22"/>
        </w:rPr>
        <w:t>数据资产（Data Asset）是指由组织（政府机构、企事业单位等）合法拥有或控制的数据资源，</w:t>
      </w:r>
      <w:r>
        <w:rPr>
          <w:rFonts w:ascii="微软雅黑" w:hAnsi="微软雅黑" w:eastAsia="微软雅黑" w:cs="微软雅黑"/>
          <w:color w:val="231F20"/>
          <w:spacing w:val="11"/>
          <w:sz w:val="22"/>
          <w:szCs w:val="22"/>
        </w:rPr>
        <w:t xml:space="preserve"> </w:t>
      </w:r>
      <w:r>
        <w:rPr>
          <w:rFonts w:ascii="微软雅黑" w:hAnsi="微软雅黑" w:eastAsia="微软雅黑" w:cs="微软雅黑"/>
          <w:color w:val="231F20"/>
          <w:spacing w:val="4"/>
          <w:sz w:val="22"/>
          <w:szCs w:val="22"/>
        </w:rPr>
        <w:t>以电子或其他方式记录，例如文本、图像、语音、视频、网页、数据库、传</w:t>
      </w:r>
      <w:r>
        <w:rPr>
          <w:rFonts w:ascii="微软雅黑" w:hAnsi="微软雅黑" w:eastAsia="微软雅黑" w:cs="微软雅黑"/>
          <w:color w:val="231F20"/>
          <w:spacing w:val="3"/>
          <w:sz w:val="22"/>
          <w:szCs w:val="22"/>
        </w:rPr>
        <w:t>感信号等结构化或非</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结构化数据，可进行计量或交易，能直接或间接带来经济效益和社会效益。</w:t>
      </w:r>
    </w:p>
    <w:p w14:paraId="07F7432F">
      <w:pPr>
        <w:spacing w:before="18" w:line="287" w:lineRule="auto"/>
        <w:ind w:left="248" w:right="112" w:firstLine="481"/>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在组织中，并非所有的数据都构成数据资产，数据资产是能够为组织产生价值的数据资</w:t>
      </w:r>
      <w:r>
        <w:rPr>
          <w:rFonts w:ascii="微软雅黑" w:hAnsi="微软雅黑" w:eastAsia="微软雅黑" w:cs="微软雅黑"/>
          <w:color w:val="231F20"/>
          <w:spacing w:val="1"/>
          <w:sz w:val="22"/>
          <w:szCs w:val="22"/>
        </w:rPr>
        <w:t>源，</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数据资产的形成需要对数据资源进行主动管理并形成有效控制。</w:t>
      </w:r>
    </w:p>
    <w:p w14:paraId="38FEB219">
      <w:pPr>
        <w:pStyle w:val="2"/>
        <w:spacing w:before="260" w:line="194" w:lineRule="auto"/>
        <w:ind w:left="4900"/>
        <w:rPr>
          <w:sz w:val="20"/>
          <w:szCs w:val="20"/>
        </w:rPr>
      </w:pPr>
      <w:r>
        <w:pict>
          <v:shape id="_x0000_s1046" o:spid="_x0000_s1046" o:spt="202" type="#_x0000_t202" style="position:absolute;left:0pt;margin-left:274.65pt;margin-top:16.7pt;height:15.95pt;width:199.4pt;z-index:251673600;mso-width-relative:page;mso-height-relative:page;" filled="f" stroked="f" coordsize="21600,21600">
            <v:path/>
            <v:fill on="f" focussize="0,0"/>
            <v:stroke on="f"/>
            <v:imagedata o:title=""/>
            <o:lock v:ext="edit" aspectratio="f"/>
            <v:textbox inset="0mm,0mm,0mm,0mm">
              <w:txbxContent>
                <w:p w14:paraId="4C007232">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z w:val="20"/>
          <w:szCs w:val="20"/>
        </w:rPr>
        <w:t>3</w:t>
      </w:r>
    </w:p>
    <w:p w14:paraId="393D3A0F">
      <w:pPr>
        <w:spacing w:line="194" w:lineRule="auto"/>
        <w:rPr>
          <w:sz w:val="20"/>
          <w:szCs w:val="20"/>
        </w:rPr>
        <w:sectPr>
          <w:pgSz w:w="11906" w:h="16158"/>
          <w:pgMar w:top="400" w:right="1178" w:bottom="400" w:left="1004" w:header="0" w:footer="0" w:gutter="0"/>
          <w:cols w:space="720" w:num="1"/>
        </w:sectPr>
      </w:pPr>
    </w:p>
    <w:p w14:paraId="26DBE39B">
      <w:pPr>
        <w:pStyle w:val="2"/>
        <w:spacing w:line="349" w:lineRule="auto"/>
      </w:pPr>
    </w:p>
    <w:p w14:paraId="0F43D86C">
      <w:pPr>
        <w:pStyle w:val="2"/>
        <w:spacing w:line="350" w:lineRule="auto"/>
      </w:pPr>
    </w:p>
    <w:p w14:paraId="67F2D3A1">
      <w:pPr>
        <w:spacing w:before="80" w:line="182" w:lineRule="auto"/>
        <w:rPr>
          <w:rFonts w:ascii="Segoe UI" w:hAnsi="Segoe UI" w:eastAsia="Segoe UI" w:cs="Segoe UI"/>
          <w:sz w:val="24"/>
          <w:szCs w:val="24"/>
        </w:rPr>
      </w:pPr>
      <w:r>
        <w:rPr>
          <w:rFonts w:ascii="Segoe UI" w:hAnsi="Segoe UI" w:eastAsia="Segoe UI" w:cs="Segoe UI"/>
          <w:b/>
          <w:bCs/>
          <w:color w:val="648676"/>
          <w:spacing w:val="29"/>
          <w:w w:val="108"/>
          <w:sz w:val="24"/>
          <w:szCs w:val="24"/>
        </w:rPr>
        <w:t>CHAPTER -1</w:t>
      </w:r>
    </w:p>
    <w:p w14:paraId="694D500F">
      <w:pPr>
        <w:spacing w:before="55" w:line="178" w:lineRule="auto"/>
        <w:ind w:left="422"/>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数据资产管理概述</w:t>
      </w:r>
    </w:p>
    <w:p w14:paraId="6F52DDA0">
      <w:pPr>
        <w:pStyle w:val="2"/>
        <w:spacing w:line="291" w:lineRule="auto"/>
      </w:pPr>
    </w:p>
    <w:p w14:paraId="4728E38A">
      <w:pPr>
        <w:pStyle w:val="2"/>
        <w:spacing w:line="291" w:lineRule="auto"/>
      </w:pPr>
    </w:p>
    <w:p w14:paraId="4FD56189">
      <w:pPr>
        <w:pStyle w:val="2"/>
        <w:spacing w:line="292" w:lineRule="auto"/>
      </w:pPr>
    </w:p>
    <w:p w14:paraId="5ADB6FB6">
      <w:pPr>
        <w:spacing w:before="94" w:line="291" w:lineRule="auto"/>
        <w:ind w:left="247" w:right="31" w:firstLine="482"/>
        <w:jc w:val="both"/>
        <w:rPr>
          <w:rFonts w:ascii="微软雅黑" w:hAnsi="微软雅黑" w:eastAsia="微软雅黑" w:cs="微软雅黑"/>
          <w:sz w:val="22"/>
          <w:szCs w:val="22"/>
        </w:rPr>
      </w:pPr>
      <w:bookmarkStart w:id="29" w:name="bookmark29"/>
      <w:bookmarkEnd w:id="29"/>
      <w:r>
        <w:rPr>
          <w:rFonts w:ascii="微软雅黑" w:hAnsi="微软雅黑" w:eastAsia="微软雅黑" w:cs="微软雅黑"/>
          <w:color w:val="231F20"/>
          <w:spacing w:val="3"/>
          <w:sz w:val="22"/>
          <w:szCs w:val="22"/>
        </w:rPr>
        <w:t>数据权属讨论数据属于谁的问题，数据权益讨论数据收益的分</w:t>
      </w:r>
      <w:r>
        <w:rPr>
          <w:rFonts w:ascii="微软雅黑" w:hAnsi="微软雅黑" w:eastAsia="微软雅黑" w:cs="微软雅黑"/>
          <w:color w:val="231F20"/>
          <w:spacing w:val="2"/>
          <w:sz w:val="22"/>
          <w:szCs w:val="22"/>
        </w:rPr>
        <w:t>配问题。确定数据资产权属和</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权益分配有利于提高市场主体参与资产交易的积极性，降低资产流通的</w:t>
      </w:r>
      <w:r>
        <w:rPr>
          <w:rFonts w:ascii="微软雅黑" w:hAnsi="微软雅黑" w:eastAsia="微软雅黑" w:cs="微软雅黑"/>
          <w:color w:val="231F20"/>
          <w:spacing w:val="3"/>
          <w:sz w:val="22"/>
          <w:szCs w:val="22"/>
        </w:rPr>
        <w:t>合规风险，推动数据要素</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市场化进程。现阶段，数据资产的权属确认问题对于全球而言仍是巨大挑战，各国现行</w:t>
      </w:r>
      <w:r>
        <w:rPr>
          <w:rFonts w:ascii="微软雅黑" w:hAnsi="微软雅黑" w:eastAsia="微软雅黑" w:cs="微软雅黑"/>
          <w:color w:val="231F20"/>
          <w:spacing w:val="3"/>
          <w:sz w:val="22"/>
          <w:szCs w:val="22"/>
        </w:rPr>
        <w:t>全国性法</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律尚未对数据确权进行立法规制，普遍采取法院个案处理的方式，借助包括隐私保护法</w:t>
      </w:r>
      <w:r>
        <w:rPr>
          <w:rFonts w:ascii="微软雅黑" w:hAnsi="微软雅黑" w:eastAsia="微软雅黑" w:cs="微软雅黑"/>
          <w:color w:val="231F20"/>
          <w:spacing w:val="3"/>
          <w:sz w:val="22"/>
          <w:szCs w:val="22"/>
        </w:rPr>
        <w:t>、知识产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权法及合同法等不同的法律机制进行判断。</w:t>
      </w:r>
    </w:p>
    <w:p w14:paraId="26305952">
      <w:pPr>
        <w:spacing w:before="12" w:line="291" w:lineRule="auto"/>
        <w:ind w:left="246" w:right="31" w:firstLine="483"/>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 xml:space="preserve">定义数据主体的权益一定程度上可以缓解由于数据资产难确权带来的困境。我国通过明确了 </w:t>
      </w:r>
      <w:r>
        <w:rPr>
          <w:rFonts w:ascii="微软雅黑" w:hAnsi="微软雅黑" w:eastAsia="微软雅黑" w:cs="微软雅黑"/>
          <w:color w:val="231F20"/>
          <w:spacing w:val="4"/>
          <w:sz w:val="22"/>
          <w:szCs w:val="22"/>
        </w:rPr>
        <w:t>自然人、法人和非法人组织的数据权益，保障了包括自然人在内各参与方的财产收益，起到</w:t>
      </w:r>
      <w:r>
        <w:rPr>
          <w:rFonts w:ascii="微软雅黑" w:hAnsi="微软雅黑" w:eastAsia="微软雅黑" w:cs="微软雅黑"/>
          <w:color w:val="231F20"/>
          <w:spacing w:val="3"/>
          <w:sz w:val="22"/>
          <w:szCs w:val="22"/>
        </w:rPr>
        <w:t>了鼓</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励企业在合法合规的前提下参与数据资产流通的作用。深圳市于 2021 年 7 月发布了</w:t>
      </w:r>
      <w:r>
        <w:rPr>
          <w:rFonts w:ascii="微软雅黑" w:hAnsi="微软雅黑" w:eastAsia="微软雅黑" w:cs="微软雅黑"/>
          <w:color w:val="231F20"/>
          <w:spacing w:val="2"/>
          <w:sz w:val="22"/>
          <w:szCs w:val="22"/>
        </w:rPr>
        <w:t>《深圳经济</w:t>
      </w:r>
      <w:r>
        <w:rPr>
          <w:rFonts w:ascii="微软雅黑" w:hAnsi="微软雅黑" w:eastAsia="微软雅黑" w:cs="微软雅黑"/>
          <w:color w:val="231F20"/>
          <w:sz w:val="22"/>
          <w:szCs w:val="22"/>
        </w:rPr>
        <w:t xml:space="preserve"> 特区数据条例》，同月，广东省发布了《广东省数字经济促进条例》，上海市</w:t>
      </w:r>
      <w:r>
        <w:rPr>
          <w:rFonts w:ascii="微软雅黑" w:hAnsi="微软雅黑" w:eastAsia="微软雅黑" w:cs="微软雅黑"/>
          <w:color w:val="231F20"/>
          <w:spacing w:val="-1"/>
          <w:sz w:val="22"/>
          <w:szCs w:val="22"/>
        </w:rPr>
        <w:t>于 11 月发布了《上</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海市数据条例》，</w:t>
      </w:r>
      <w:r>
        <w:rPr>
          <w:rFonts w:ascii="微软雅黑" w:hAnsi="微软雅黑" w:eastAsia="微软雅黑" w:cs="微软雅黑"/>
          <w:color w:val="231F20"/>
          <w:spacing w:val="25"/>
          <w:sz w:val="22"/>
          <w:szCs w:val="22"/>
        </w:rPr>
        <w:t xml:space="preserve"> </w:t>
      </w:r>
      <w:r>
        <w:rPr>
          <w:rFonts w:ascii="微软雅黑" w:hAnsi="微软雅黑" w:eastAsia="微软雅黑" w:cs="微软雅黑"/>
          <w:color w:val="231F20"/>
          <w:spacing w:val="-2"/>
          <w:sz w:val="22"/>
          <w:szCs w:val="22"/>
        </w:rPr>
        <w:t>规定了自然人、法人和非法人组织对其以合法</w:t>
      </w:r>
      <w:r>
        <w:rPr>
          <w:rFonts w:ascii="微软雅黑" w:hAnsi="微软雅黑" w:eastAsia="微软雅黑" w:cs="微软雅黑"/>
          <w:color w:val="231F20"/>
          <w:spacing w:val="-3"/>
          <w:sz w:val="22"/>
          <w:szCs w:val="22"/>
        </w:rPr>
        <w:t>方式获取的数据 , 以及合法处理数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据形成的数据产品和服务依法享有相关权益。详见表 1。</w:t>
      </w:r>
    </w:p>
    <w:p w14:paraId="10FF0ECB">
      <w:pPr>
        <w:pStyle w:val="2"/>
        <w:spacing w:line="245" w:lineRule="auto"/>
      </w:pPr>
    </w:p>
    <w:p w14:paraId="3D233F5D">
      <w:pPr>
        <w:spacing w:before="86" w:line="204" w:lineRule="auto"/>
        <w:ind w:left="2180"/>
        <w:rPr>
          <w:rFonts w:ascii="微软雅黑" w:hAnsi="微软雅黑" w:eastAsia="微软雅黑" w:cs="微软雅黑"/>
          <w:sz w:val="20"/>
          <w:szCs w:val="20"/>
        </w:rPr>
      </w:pPr>
      <w:r>
        <w:rPr>
          <w:rFonts w:ascii="微软雅黑" w:hAnsi="微软雅黑" w:eastAsia="微软雅黑" w:cs="微软雅黑"/>
          <w:color w:val="231F20"/>
          <w:spacing w:val="3"/>
          <w:sz w:val="20"/>
          <w:szCs w:val="20"/>
        </w:rPr>
        <w:t>表</w:t>
      </w:r>
      <w:r>
        <w:rPr>
          <w:rFonts w:ascii="微软雅黑" w:hAnsi="微软雅黑" w:eastAsia="微软雅黑" w:cs="微软雅黑"/>
          <w:color w:val="231F20"/>
          <w:spacing w:val="45"/>
          <w:w w:val="101"/>
          <w:sz w:val="20"/>
          <w:szCs w:val="20"/>
        </w:rPr>
        <w:t xml:space="preserve"> </w:t>
      </w:r>
      <w:r>
        <w:rPr>
          <w:rFonts w:ascii="微软雅黑" w:hAnsi="微软雅黑" w:eastAsia="微软雅黑" w:cs="微软雅黑"/>
          <w:color w:val="231F20"/>
          <w:spacing w:val="3"/>
          <w:sz w:val="20"/>
          <w:szCs w:val="20"/>
        </w:rPr>
        <w:t>1 我国涉及自然人、法人和非法人数据权益的法规及其定义</w:t>
      </w:r>
    </w:p>
    <w:p w14:paraId="5BAEA209">
      <w:pPr>
        <w:spacing w:line="77" w:lineRule="exact"/>
      </w:pPr>
    </w:p>
    <w:tbl>
      <w:tblPr>
        <w:tblStyle w:val="5"/>
        <w:tblW w:w="9428" w:type="dxa"/>
        <w:tblInd w:w="24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1816"/>
        <w:gridCol w:w="1839"/>
        <w:gridCol w:w="5773"/>
      </w:tblGrid>
      <w:tr w14:paraId="66943E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548" w:hRule="atLeast"/>
        </w:trPr>
        <w:tc>
          <w:tcPr>
            <w:tcW w:w="1816" w:type="dxa"/>
            <w:shd w:val="clear" w:color="auto" w:fill="648676"/>
            <w:vAlign w:val="top"/>
          </w:tcPr>
          <w:p w14:paraId="2051D581">
            <w:pPr>
              <w:pStyle w:val="6"/>
              <w:spacing w:before="151" w:line="208" w:lineRule="auto"/>
              <w:ind w:left="568"/>
            </w:pPr>
            <w:r>
              <w:rPr>
                <w:color w:val="FFFFFF"/>
              </w:rPr>
              <w:t>文件名</w:t>
            </w:r>
          </w:p>
        </w:tc>
        <w:tc>
          <w:tcPr>
            <w:tcW w:w="1839" w:type="dxa"/>
            <w:shd w:val="clear" w:color="auto" w:fill="648676"/>
            <w:vAlign w:val="top"/>
          </w:tcPr>
          <w:p w14:paraId="122153A0">
            <w:pPr>
              <w:pStyle w:val="6"/>
              <w:spacing w:before="151" w:line="208" w:lineRule="auto"/>
              <w:ind w:left="461"/>
            </w:pPr>
            <w:r>
              <w:rPr>
                <w:color w:val="FFFFFF"/>
                <w:spacing w:val="3"/>
              </w:rPr>
              <w:t>发布时间</w:t>
            </w:r>
          </w:p>
        </w:tc>
        <w:tc>
          <w:tcPr>
            <w:tcW w:w="5773" w:type="dxa"/>
            <w:shd w:val="clear" w:color="auto" w:fill="648676"/>
            <w:vAlign w:val="top"/>
          </w:tcPr>
          <w:p w14:paraId="4CE3E168">
            <w:pPr>
              <w:pStyle w:val="6"/>
              <w:spacing w:before="152" w:line="206" w:lineRule="auto"/>
              <w:ind w:left="629"/>
            </w:pPr>
            <w:r>
              <w:rPr>
                <w:color w:val="FFFFFF"/>
                <w:spacing w:val="4"/>
              </w:rPr>
              <w:t>涉及自然人、法人和非法人数据权益相关内容</w:t>
            </w:r>
          </w:p>
        </w:tc>
      </w:tr>
      <w:tr w14:paraId="78EAB4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373" w:hRule="atLeast"/>
        </w:trPr>
        <w:tc>
          <w:tcPr>
            <w:tcW w:w="1816" w:type="dxa"/>
            <w:shd w:val="clear" w:color="auto" w:fill="EDF3F0"/>
            <w:vAlign w:val="top"/>
          </w:tcPr>
          <w:p w14:paraId="60DCDA4E">
            <w:pPr>
              <w:spacing w:line="245" w:lineRule="auto"/>
              <w:rPr>
                <w:rFonts w:ascii="Arial"/>
                <w:sz w:val="21"/>
              </w:rPr>
            </w:pPr>
          </w:p>
          <w:p w14:paraId="13017793">
            <w:pPr>
              <w:spacing w:line="245" w:lineRule="auto"/>
              <w:rPr>
                <w:rFonts w:ascii="Arial"/>
                <w:sz w:val="21"/>
              </w:rPr>
            </w:pPr>
          </w:p>
          <w:p w14:paraId="29B91A02">
            <w:pPr>
              <w:spacing w:line="246" w:lineRule="auto"/>
              <w:rPr>
                <w:rFonts w:ascii="Arial"/>
                <w:sz w:val="21"/>
              </w:rPr>
            </w:pPr>
          </w:p>
          <w:p w14:paraId="0DC730F7">
            <w:pPr>
              <w:pStyle w:val="6"/>
              <w:spacing w:before="94" w:line="287" w:lineRule="auto"/>
              <w:ind w:left="244" w:right="204" w:hanging="46"/>
            </w:pPr>
            <w:r>
              <w:rPr>
                <w:color w:val="231F20"/>
                <w:spacing w:val="7"/>
              </w:rPr>
              <w:t>《深圳经济特</w:t>
            </w:r>
            <w:r>
              <w:rPr>
                <w:color w:val="231F20"/>
                <w:spacing w:val="1"/>
              </w:rPr>
              <w:t xml:space="preserve"> </w:t>
            </w:r>
            <w:r>
              <w:rPr>
                <w:color w:val="231F20"/>
                <w:spacing w:val="4"/>
              </w:rPr>
              <w:t>区数据条例》</w:t>
            </w:r>
          </w:p>
        </w:tc>
        <w:tc>
          <w:tcPr>
            <w:tcW w:w="1839" w:type="dxa"/>
            <w:shd w:val="clear" w:color="auto" w:fill="E9E8E8"/>
            <w:vAlign w:val="top"/>
          </w:tcPr>
          <w:p w14:paraId="31387F90">
            <w:pPr>
              <w:spacing w:line="247" w:lineRule="auto"/>
              <w:rPr>
                <w:rFonts w:ascii="Arial"/>
                <w:sz w:val="21"/>
              </w:rPr>
            </w:pPr>
          </w:p>
          <w:p w14:paraId="209D35F5">
            <w:pPr>
              <w:spacing w:line="247" w:lineRule="auto"/>
              <w:rPr>
                <w:rFonts w:ascii="Arial"/>
                <w:sz w:val="21"/>
              </w:rPr>
            </w:pPr>
          </w:p>
          <w:p w14:paraId="38EB9024">
            <w:pPr>
              <w:spacing w:line="248" w:lineRule="auto"/>
              <w:rPr>
                <w:rFonts w:ascii="Arial"/>
                <w:sz w:val="21"/>
              </w:rPr>
            </w:pPr>
          </w:p>
          <w:p w14:paraId="6B7AC414">
            <w:pPr>
              <w:spacing w:line="248" w:lineRule="auto"/>
              <w:rPr>
                <w:rFonts w:ascii="Arial"/>
                <w:sz w:val="21"/>
              </w:rPr>
            </w:pPr>
          </w:p>
          <w:p w14:paraId="08800D72">
            <w:pPr>
              <w:pStyle w:val="6"/>
              <w:spacing w:before="95" w:line="177" w:lineRule="auto"/>
              <w:ind w:left="547"/>
            </w:pPr>
            <w:r>
              <w:rPr>
                <w:color w:val="231F20"/>
                <w:spacing w:val="4"/>
              </w:rPr>
              <w:t>2021.7</w:t>
            </w:r>
          </w:p>
        </w:tc>
        <w:tc>
          <w:tcPr>
            <w:tcW w:w="5773" w:type="dxa"/>
            <w:shd w:val="clear" w:color="auto" w:fill="EDF3F0"/>
            <w:vAlign w:val="top"/>
          </w:tcPr>
          <w:p w14:paraId="36E0F185">
            <w:pPr>
              <w:pStyle w:val="6"/>
              <w:spacing w:before="143" w:line="288" w:lineRule="auto"/>
              <w:ind w:left="165" w:right="74" w:firstLine="21"/>
            </w:pPr>
            <w:r>
              <w:rPr>
                <w:color w:val="231F20"/>
                <w:spacing w:val="-1"/>
              </w:rPr>
              <w:t>自然人对个人数据依法享有权益，包括知情同意、补充、</w:t>
            </w:r>
            <w:r>
              <w:rPr>
                <w:color w:val="231F20"/>
                <w:spacing w:val="15"/>
              </w:rPr>
              <w:t xml:space="preserve"> </w:t>
            </w:r>
            <w:r>
              <w:rPr>
                <w:color w:val="231F20"/>
                <w:spacing w:val="1"/>
              </w:rPr>
              <w:t>更正、删除、查阅、复制等权益；</w:t>
            </w:r>
          </w:p>
          <w:p w14:paraId="789E1362">
            <w:pPr>
              <w:pStyle w:val="6"/>
              <w:spacing w:before="16" w:line="275" w:lineRule="auto"/>
              <w:ind w:left="163" w:right="164" w:firstLine="23"/>
              <w:jc w:val="both"/>
            </w:pPr>
            <w:r>
              <w:rPr>
                <w:color w:val="231F20"/>
                <w:spacing w:val="5"/>
              </w:rPr>
              <w:t>自然人、法人和非法人组织对其合法处理数据形成</w:t>
            </w:r>
            <w:r>
              <w:rPr>
                <w:color w:val="231F20"/>
                <w:spacing w:val="4"/>
              </w:rPr>
              <w:t>的数</w:t>
            </w:r>
            <w:r>
              <w:rPr>
                <w:color w:val="231F20"/>
              </w:rPr>
              <w:t xml:space="preserve"> </w:t>
            </w:r>
            <w:r>
              <w:rPr>
                <w:color w:val="231F20"/>
                <w:spacing w:val="6"/>
              </w:rPr>
              <w:t>据产品和服务享有法律、行政法规及条例规定的财产权</w:t>
            </w:r>
            <w:r>
              <w:rPr>
                <w:color w:val="231F20"/>
              </w:rPr>
              <w:t xml:space="preserve"> </w:t>
            </w:r>
            <w:r>
              <w:rPr>
                <w:color w:val="231F20"/>
                <w:spacing w:val="4"/>
              </w:rPr>
              <w:t>益，可以依法自主使用，取得收益，进行处分</w:t>
            </w:r>
          </w:p>
        </w:tc>
      </w:tr>
      <w:tr w14:paraId="7EABED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455" w:hRule="atLeast"/>
        </w:trPr>
        <w:tc>
          <w:tcPr>
            <w:tcW w:w="1816" w:type="dxa"/>
            <w:shd w:val="clear" w:color="auto" w:fill="EDF3F0"/>
            <w:vAlign w:val="top"/>
          </w:tcPr>
          <w:p w14:paraId="34A900C9">
            <w:pPr>
              <w:spacing w:line="286" w:lineRule="auto"/>
              <w:rPr>
                <w:rFonts w:ascii="Arial"/>
                <w:sz w:val="21"/>
              </w:rPr>
            </w:pPr>
          </w:p>
          <w:p w14:paraId="4CB4C215">
            <w:pPr>
              <w:pStyle w:val="6"/>
              <w:spacing w:before="94" w:line="288" w:lineRule="auto"/>
              <w:ind w:left="167" w:right="36" w:firstLine="30"/>
            </w:pPr>
            <w:r>
              <w:rPr>
                <w:color w:val="231F20"/>
                <w:spacing w:val="7"/>
              </w:rPr>
              <w:t>《广东省数字</w:t>
            </w:r>
            <w:r>
              <w:rPr>
                <w:color w:val="231F20"/>
              </w:rPr>
              <w:t xml:space="preserve">    </w:t>
            </w:r>
            <w:r>
              <w:rPr>
                <w:color w:val="231F20"/>
                <w:spacing w:val="7"/>
              </w:rPr>
              <w:t>经济促进条例》</w:t>
            </w:r>
          </w:p>
        </w:tc>
        <w:tc>
          <w:tcPr>
            <w:tcW w:w="1839" w:type="dxa"/>
            <w:shd w:val="clear" w:color="auto" w:fill="E9E8E8"/>
            <w:vAlign w:val="top"/>
          </w:tcPr>
          <w:p w14:paraId="4F88098F">
            <w:pPr>
              <w:spacing w:line="270" w:lineRule="auto"/>
              <w:rPr>
                <w:rFonts w:ascii="Arial"/>
                <w:sz w:val="21"/>
              </w:rPr>
            </w:pPr>
          </w:p>
          <w:p w14:paraId="79472865">
            <w:pPr>
              <w:spacing w:line="270" w:lineRule="auto"/>
              <w:rPr>
                <w:rFonts w:ascii="Arial"/>
                <w:sz w:val="21"/>
              </w:rPr>
            </w:pPr>
          </w:p>
          <w:p w14:paraId="446B4E38">
            <w:pPr>
              <w:pStyle w:val="6"/>
              <w:spacing w:before="95" w:line="177" w:lineRule="auto"/>
              <w:ind w:left="547"/>
            </w:pPr>
            <w:r>
              <w:rPr>
                <w:color w:val="231F20"/>
                <w:spacing w:val="4"/>
              </w:rPr>
              <w:t>2021.7</w:t>
            </w:r>
          </w:p>
        </w:tc>
        <w:tc>
          <w:tcPr>
            <w:tcW w:w="5773" w:type="dxa"/>
            <w:shd w:val="clear" w:color="auto" w:fill="EDF3F0"/>
            <w:vAlign w:val="top"/>
          </w:tcPr>
          <w:p w14:paraId="771CF65B">
            <w:pPr>
              <w:pStyle w:val="6"/>
              <w:spacing w:before="152" w:line="274" w:lineRule="auto"/>
              <w:ind w:left="166" w:right="164" w:firstLine="10"/>
              <w:jc w:val="both"/>
            </w:pPr>
            <w:r>
              <w:rPr>
                <w:color w:val="231F20"/>
                <w:spacing w:val="5"/>
              </w:rPr>
              <w:t>明确自然人、法人和非法人组织对依法获取的数据资源</w:t>
            </w:r>
            <w:r>
              <w:rPr>
                <w:color w:val="231F20"/>
                <w:spacing w:val="11"/>
              </w:rPr>
              <w:t xml:space="preserve"> </w:t>
            </w:r>
            <w:r>
              <w:rPr>
                <w:color w:val="231F20"/>
                <w:spacing w:val="5"/>
              </w:rPr>
              <w:t>开发利用的成果，所产生的财产权益受法律保护，并可</w:t>
            </w:r>
            <w:r>
              <w:rPr>
                <w:color w:val="231F20"/>
                <w:spacing w:val="18"/>
                <w:w w:val="101"/>
              </w:rPr>
              <w:t xml:space="preserve"> </w:t>
            </w:r>
            <w:r>
              <w:rPr>
                <w:color w:val="231F20"/>
              </w:rPr>
              <w:t>以依法交易。</w:t>
            </w:r>
          </w:p>
        </w:tc>
      </w:tr>
      <w:tr w14:paraId="060B473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975" w:hRule="atLeast"/>
        </w:trPr>
        <w:tc>
          <w:tcPr>
            <w:tcW w:w="1816" w:type="dxa"/>
            <w:shd w:val="clear" w:color="auto" w:fill="EDF3F0"/>
            <w:vAlign w:val="top"/>
          </w:tcPr>
          <w:p w14:paraId="464F2FAD">
            <w:pPr>
              <w:spacing w:line="271" w:lineRule="auto"/>
              <w:rPr>
                <w:rFonts w:ascii="Arial"/>
                <w:sz w:val="21"/>
              </w:rPr>
            </w:pPr>
          </w:p>
          <w:p w14:paraId="01F2540A">
            <w:pPr>
              <w:spacing w:line="271" w:lineRule="auto"/>
              <w:rPr>
                <w:rFonts w:ascii="Arial"/>
                <w:sz w:val="21"/>
              </w:rPr>
            </w:pPr>
          </w:p>
          <w:p w14:paraId="1779308E">
            <w:pPr>
              <w:pStyle w:val="6"/>
              <w:spacing w:before="94" w:line="289" w:lineRule="auto"/>
              <w:ind w:left="565" w:right="233" w:hanging="367"/>
            </w:pPr>
            <w:r>
              <w:rPr>
                <w:color w:val="231F20"/>
                <w:spacing w:val="7"/>
              </w:rPr>
              <w:t>《上海市数据</w:t>
            </w:r>
            <w:r>
              <w:rPr>
                <w:color w:val="231F20"/>
                <w:spacing w:val="1"/>
              </w:rPr>
              <w:t xml:space="preserve"> </w:t>
            </w:r>
            <w:r>
              <w:rPr>
                <w:color w:val="231F20"/>
                <w:spacing w:val="9"/>
              </w:rPr>
              <w:t>条例》</w:t>
            </w:r>
          </w:p>
        </w:tc>
        <w:tc>
          <w:tcPr>
            <w:tcW w:w="1839" w:type="dxa"/>
            <w:shd w:val="clear" w:color="auto" w:fill="E9E8E8"/>
            <w:vAlign w:val="top"/>
          </w:tcPr>
          <w:p w14:paraId="749764FD">
            <w:pPr>
              <w:spacing w:line="266" w:lineRule="auto"/>
              <w:rPr>
                <w:rFonts w:ascii="Arial"/>
                <w:sz w:val="21"/>
              </w:rPr>
            </w:pPr>
          </w:p>
          <w:p w14:paraId="5578E6DB">
            <w:pPr>
              <w:spacing w:line="266" w:lineRule="auto"/>
              <w:rPr>
                <w:rFonts w:ascii="Arial"/>
                <w:sz w:val="21"/>
              </w:rPr>
            </w:pPr>
          </w:p>
          <w:p w14:paraId="28625FB0">
            <w:pPr>
              <w:spacing w:line="267" w:lineRule="auto"/>
              <w:rPr>
                <w:rFonts w:ascii="Arial"/>
                <w:sz w:val="21"/>
              </w:rPr>
            </w:pPr>
          </w:p>
          <w:p w14:paraId="77313976">
            <w:pPr>
              <w:pStyle w:val="6"/>
              <w:spacing w:before="95" w:line="177" w:lineRule="auto"/>
              <w:ind w:left="505"/>
            </w:pPr>
            <w:r>
              <w:rPr>
                <w:color w:val="231F20"/>
                <w:spacing w:val="-3"/>
              </w:rPr>
              <w:t>2021.11</w:t>
            </w:r>
          </w:p>
        </w:tc>
        <w:tc>
          <w:tcPr>
            <w:tcW w:w="5773" w:type="dxa"/>
            <w:shd w:val="clear" w:color="auto" w:fill="EDF3F0"/>
            <w:vAlign w:val="top"/>
          </w:tcPr>
          <w:p w14:paraId="2D985DE6">
            <w:pPr>
              <w:pStyle w:val="6"/>
              <w:spacing w:before="181" w:line="206" w:lineRule="auto"/>
              <w:ind w:left="186"/>
            </w:pPr>
            <w:r>
              <w:rPr>
                <w:color w:val="231F20"/>
                <w:spacing w:val="-7"/>
              </w:rPr>
              <w:t>自然人对涉及其个人信息的数据，依法享有人格</w:t>
            </w:r>
            <w:r>
              <w:rPr>
                <w:color w:val="231F20"/>
                <w:spacing w:val="-8"/>
              </w:rPr>
              <w:t>权益；</w:t>
            </w:r>
          </w:p>
          <w:p w14:paraId="15ABF822">
            <w:pPr>
              <w:pStyle w:val="6"/>
              <w:spacing w:before="133" w:line="281" w:lineRule="auto"/>
              <w:ind w:left="162" w:right="160" w:firstLine="24"/>
            </w:pPr>
            <w:r>
              <w:rPr>
                <w:color w:val="231F20"/>
              </w:rPr>
              <w:t>自然人、法人和非法人组织对其以合法方式获取的数据 ,</w:t>
            </w:r>
            <w:r>
              <w:rPr>
                <w:color w:val="231F20"/>
                <w:spacing w:val="6"/>
              </w:rPr>
              <w:t xml:space="preserve"> </w:t>
            </w:r>
            <w:r>
              <w:rPr>
                <w:color w:val="231F20"/>
                <w:spacing w:val="-3"/>
              </w:rPr>
              <w:t>以及合法处理数据形成的数据产品和服务，依法</w:t>
            </w:r>
            <w:r>
              <w:rPr>
                <w:color w:val="231F20"/>
                <w:spacing w:val="-4"/>
              </w:rPr>
              <w:t>享有财产</w:t>
            </w:r>
            <w:r>
              <w:rPr>
                <w:color w:val="231F20"/>
              </w:rPr>
              <w:t xml:space="preserve"> </w:t>
            </w:r>
            <w:r>
              <w:rPr>
                <w:color w:val="231F20"/>
                <w:spacing w:val="-5"/>
              </w:rPr>
              <w:t>权益、数据收集权益、数据使用加工权益、数据交易权益</w:t>
            </w:r>
          </w:p>
        </w:tc>
      </w:tr>
    </w:tbl>
    <w:p w14:paraId="4678F7A9">
      <w:pPr>
        <w:pStyle w:val="2"/>
      </w:pPr>
    </w:p>
    <w:p w14:paraId="1E599469">
      <w:pPr>
        <w:pStyle w:val="2"/>
      </w:pPr>
    </w:p>
    <w:p w14:paraId="5A28A216">
      <w:pPr>
        <w:spacing w:before="79" w:line="212" w:lineRule="auto"/>
        <w:ind w:left="5513"/>
        <w:rPr>
          <w:rFonts w:hint="eastAsia" w:ascii="宋体" w:hAnsi="宋体" w:eastAsia="宋体" w:cs="宋体"/>
          <w:sz w:val="24"/>
          <w:szCs w:val="24"/>
          <w:lang w:eastAsia="zh-CN"/>
        </w:rPr>
      </w:pPr>
      <w:r>
        <w:pict>
          <v:shape id="_x0000_s1047" o:spid="_x0000_s1047" o:spt="202" type="#_x0000_t202" style="position:absolute;left:0pt;margin-left:243.75pt;margin-top:-1.7pt;height:11.3pt;width:7.45pt;z-index:251674624;mso-width-relative:page;mso-height-relative:page;" filled="f" stroked="f" coordsize="21600,21600">
            <v:path/>
            <v:fill on="f" focussize="0,0"/>
            <v:stroke on="f"/>
            <v:imagedata o:title=""/>
            <o:lock v:ext="edit" aspectratio="f"/>
            <v:textbox inset="0mm,0mm,0mm,0mm">
              <w:txbxContent>
                <w:p w14:paraId="5DBB8187">
                  <w:pPr>
                    <w:pStyle w:val="2"/>
                    <w:spacing w:before="19" w:line="194" w:lineRule="auto"/>
                    <w:ind w:left="20"/>
                    <w:rPr>
                      <w:sz w:val="20"/>
                      <w:szCs w:val="20"/>
                    </w:rPr>
                  </w:pPr>
                  <w:r>
                    <w:rPr>
                      <w:color w:val="231F20"/>
                      <w:sz w:val="20"/>
                      <w:szCs w:val="20"/>
                    </w:rPr>
                    <w:t>4</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1581303C">
      <w:pPr>
        <w:spacing w:line="212" w:lineRule="auto"/>
        <w:rPr>
          <w:rFonts w:ascii="宋体" w:hAnsi="宋体" w:eastAsia="宋体" w:cs="宋体"/>
          <w:sz w:val="24"/>
          <w:szCs w:val="24"/>
        </w:rPr>
        <w:sectPr>
          <w:pgSz w:w="11906" w:h="16158"/>
          <w:pgMar w:top="400" w:right="1215" w:bottom="400" w:left="1004" w:header="0" w:footer="0" w:gutter="0"/>
          <w:cols w:space="720" w:num="1"/>
        </w:sectPr>
      </w:pPr>
    </w:p>
    <w:p w14:paraId="6F857591">
      <w:pPr>
        <w:pStyle w:val="2"/>
        <w:spacing w:line="349" w:lineRule="auto"/>
      </w:pPr>
    </w:p>
    <w:p w14:paraId="1EBDBD6A">
      <w:pPr>
        <w:pStyle w:val="2"/>
        <w:spacing w:line="350" w:lineRule="auto"/>
      </w:pPr>
    </w:p>
    <w:p w14:paraId="7BB1900C">
      <w:pPr>
        <w:spacing w:before="80" w:line="182" w:lineRule="auto"/>
        <w:rPr>
          <w:rFonts w:ascii="Segoe UI" w:hAnsi="Segoe UI" w:eastAsia="Segoe UI" w:cs="Segoe UI"/>
          <w:sz w:val="24"/>
          <w:szCs w:val="24"/>
        </w:rPr>
      </w:pPr>
      <w:r>
        <w:rPr>
          <w:rFonts w:ascii="Segoe UI" w:hAnsi="Segoe UI" w:eastAsia="Segoe UI" w:cs="Segoe UI"/>
          <w:b/>
          <w:bCs/>
          <w:color w:val="648676"/>
          <w:spacing w:val="29"/>
          <w:w w:val="108"/>
          <w:sz w:val="24"/>
          <w:szCs w:val="24"/>
        </w:rPr>
        <w:t>CHAPTER -1</w:t>
      </w:r>
    </w:p>
    <w:p w14:paraId="0E381B7D">
      <w:pPr>
        <w:spacing w:before="55" w:line="178" w:lineRule="auto"/>
        <w:ind w:left="422"/>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数据资产管理概述</w:t>
      </w:r>
    </w:p>
    <w:p w14:paraId="28AA9930">
      <w:pPr>
        <w:pStyle w:val="2"/>
        <w:spacing w:line="292" w:lineRule="auto"/>
      </w:pPr>
    </w:p>
    <w:p w14:paraId="42F0497D">
      <w:pPr>
        <w:pStyle w:val="2"/>
        <w:spacing w:line="293" w:lineRule="auto"/>
      </w:pPr>
    </w:p>
    <w:p w14:paraId="70D08CB8">
      <w:pPr>
        <w:pStyle w:val="2"/>
        <w:spacing w:line="293" w:lineRule="auto"/>
      </w:pPr>
    </w:p>
    <w:p w14:paraId="72875BAB">
      <w:pPr>
        <w:spacing w:before="94" w:line="290" w:lineRule="auto"/>
        <w:ind w:left="249" w:right="91" w:firstLine="480"/>
        <w:jc w:val="both"/>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本白皮书是从数据价值性视角出发定义数据</w:t>
      </w:r>
      <w:r>
        <w:rPr>
          <w:rFonts w:ascii="微软雅黑" w:hAnsi="微软雅黑" w:eastAsia="微软雅黑" w:cs="微软雅黑"/>
          <w:color w:val="231F20"/>
          <w:spacing w:val="-3"/>
          <w:sz w:val="22"/>
          <w:szCs w:val="22"/>
        </w:rPr>
        <w:t>资产，涉及主体包括政府机构与企业事业单位（集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8"/>
          <w:sz w:val="22"/>
          <w:szCs w:val="22"/>
        </w:rPr>
        <w:t>中讨论企业</w:t>
      </w:r>
      <w:r>
        <w:rPr>
          <w:rFonts w:ascii="微软雅黑" w:hAnsi="微软雅黑" w:eastAsia="微软雅黑" w:cs="微软雅黑"/>
          <w:color w:val="231F20"/>
          <w:spacing w:val="4"/>
          <w:sz w:val="22"/>
          <w:szCs w:val="22"/>
        </w:rPr>
        <w:t>）</w:t>
      </w:r>
      <w:r>
        <w:rPr>
          <w:rFonts w:ascii="微软雅黑" w:hAnsi="微软雅黑" w:eastAsia="微软雅黑" w:cs="微软雅黑"/>
          <w:color w:val="231F20"/>
          <w:spacing w:val="-11"/>
          <w:sz w:val="22"/>
          <w:szCs w:val="22"/>
        </w:rPr>
        <w:t xml:space="preserve"> </w:t>
      </w:r>
      <w:r>
        <w:rPr>
          <w:rFonts w:ascii="微软雅黑" w:hAnsi="微软雅黑" w:eastAsia="微软雅黑" w:cs="微软雅黑"/>
          <w:color w:val="231F20"/>
          <w:spacing w:val="4"/>
          <w:sz w:val="22"/>
          <w:szCs w:val="22"/>
        </w:rPr>
        <w:t>，</w:t>
      </w:r>
      <w:r>
        <w:rPr>
          <w:rFonts w:ascii="微软雅黑" w:hAnsi="微软雅黑" w:eastAsia="微软雅黑" w:cs="微软雅黑"/>
          <w:color w:val="231F20"/>
          <w:spacing w:val="8"/>
          <w:sz w:val="22"/>
          <w:szCs w:val="22"/>
        </w:rPr>
        <w:t>并不严格区分数据资产的经济效益和社会效益。此外，由于数据资产具有传统</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资产所不具备的其它特征，因此，组织在数据资产化过程中并不完全遵从既有的会计、经</w:t>
      </w:r>
      <w:r>
        <w:rPr>
          <w:rFonts w:ascii="微软雅黑" w:hAnsi="微软雅黑" w:eastAsia="微软雅黑" w:cs="微软雅黑"/>
          <w:color w:val="231F20"/>
          <w:spacing w:val="8"/>
          <w:sz w:val="22"/>
          <w:szCs w:val="22"/>
        </w:rPr>
        <w:t>济相</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关准则与标准，考虑从实践经验出发进行探索实践。</w:t>
      </w:r>
    </w:p>
    <w:p w14:paraId="0A249FA5">
      <w:pPr>
        <w:pStyle w:val="2"/>
        <w:spacing w:line="381" w:lineRule="auto"/>
      </w:pPr>
    </w:p>
    <w:p w14:paraId="4FF004DF">
      <w:pPr>
        <w:spacing w:before="103" w:line="178" w:lineRule="auto"/>
        <w:ind w:left="251"/>
        <w:rPr>
          <w:rFonts w:ascii="微软雅黑" w:hAnsi="微软雅黑" w:eastAsia="微软雅黑" w:cs="微软雅黑"/>
          <w:sz w:val="24"/>
          <w:szCs w:val="24"/>
        </w:rPr>
      </w:pPr>
      <w:r>
        <w:rPr>
          <w:rFonts w:ascii="微软雅黑" w:hAnsi="微软雅黑" w:eastAsia="微软雅黑" w:cs="微软雅黑"/>
          <w:color w:val="231F20"/>
          <w:spacing w:val="3"/>
          <w:sz w:val="24"/>
          <w:szCs w:val="24"/>
        </w:rPr>
        <w:t>2. 数据资产管理</w:t>
      </w:r>
    </w:p>
    <w:p w14:paraId="5594E506">
      <w:pPr>
        <w:spacing w:before="144" w:line="289" w:lineRule="auto"/>
        <w:ind w:left="247" w:right="93" w:firstLine="481"/>
        <w:rPr>
          <w:rFonts w:ascii="微软雅黑" w:hAnsi="微软雅黑" w:eastAsia="微软雅黑" w:cs="微软雅黑"/>
          <w:sz w:val="22"/>
          <w:szCs w:val="22"/>
        </w:rPr>
      </w:pPr>
      <w:r>
        <w:rPr>
          <w:rFonts w:ascii="微软雅黑" w:hAnsi="微软雅黑" w:eastAsia="微软雅黑" w:cs="微软雅黑"/>
          <w:color w:val="231F20"/>
          <w:spacing w:val="17"/>
          <w:sz w:val="22"/>
          <w:szCs w:val="22"/>
        </w:rPr>
        <w:t>数据资产管理（</w:t>
      </w:r>
      <w:r>
        <w:rPr>
          <w:rFonts w:ascii="微软雅黑" w:hAnsi="微软雅黑" w:eastAsia="微软雅黑" w:cs="微软雅黑"/>
          <w:color w:val="231F20"/>
          <w:sz w:val="22"/>
          <w:szCs w:val="22"/>
        </w:rPr>
        <w:t>Data</w:t>
      </w:r>
      <w:r>
        <w:rPr>
          <w:rFonts w:ascii="微软雅黑" w:hAnsi="微软雅黑" w:eastAsia="微软雅黑" w:cs="微软雅黑"/>
          <w:color w:val="231F20"/>
          <w:spacing w:val="17"/>
          <w:sz w:val="22"/>
          <w:szCs w:val="22"/>
        </w:rPr>
        <w:t xml:space="preserve"> </w:t>
      </w:r>
      <w:r>
        <w:rPr>
          <w:rFonts w:ascii="微软雅黑" w:hAnsi="微软雅黑" w:eastAsia="微软雅黑" w:cs="微软雅黑"/>
          <w:color w:val="231F20"/>
          <w:sz w:val="22"/>
          <w:szCs w:val="22"/>
        </w:rPr>
        <w:t>Asset</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z w:val="22"/>
          <w:szCs w:val="22"/>
        </w:rPr>
        <w:t>Management</w:t>
      </w:r>
      <w:r>
        <w:rPr>
          <w:rFonts w:ascii="微软雅黑" w:hAnsi="微软雅黑" w:eastAsia="微软雅黑" w:cs="微软雅黑"/>
          <w:color w:val="231F20"/>
          <w:spacing w:val="17"/>
          <w:sz w:val="22"/>
          <w:szCs w:val="22"/>
        </w:rPr>
        <w:t>）</w:t>
      </w:r>
      <w:r>
        <w:rPr>
          <w:rFonts w:ascii="微软雅黑" w:hAnsi="微软雅黑" w:eastAsia="微软雅黑" w:cs="微软雅黑"/>
          <w:color w:val="231F20"/>
          <w:spacing w:val="43"/>
          <w:sz w:val="22"/>
          <w:szCs w:val="22"/>
        </w:rPr>
        <w:t xml:space="preserve"> </w:t>
      </w:r>
      <w:r>
        <w:rPr>
          <w:rFonts w:ascii="微软雅黑" w:hAnsi="微软雅黑" w:eastAsia="微软雅黑" w:cs="微软雅黑"/>
          <w:color w:val="231F20"/>
          <w:spacing w:val="17"/>
          <w:sz w:val="22"/>
          <w:szCs w:val="22"/>
        </w:rPr>
        <w:t>是指对数据资产进行规</w:t>
      </w:r>
      <w:r>
        <w:rPr>
          <w:rFonts w:ascii="微软雅黑" w:hAnsi="微软雅黑" w:eastAsia="微软雅黑" w:cs="微软雅黑"/>
          <w:color w:val="231F20"/>
          <w:spacing w:val="16"/>
          <w:sz w:val="22"/>
          <w:szCs w:val="22"/>
        </w:rPr>
        <w:t>划、控制和提供的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一组活动职能，包括开发、执行和监督有关数据的计划、政策、方案、项</w:t>
      </w:r>
      <w:r>
        <w:rPr>
          <w:rFonts w:ascii="微软雅黑" w:hAnsi="微软雅黑" w:eastAsia="微软雅黑" w:cs="微软雅黑"/>
          <w:color w:val="231F20"/>
          <w:spacing w:val="-3"/>
          <w:sz w:val="22"/>
          <w:szCs w:val="22"/>
        </w:rPr>
        <w:t>目、流程、方法和程序，</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从而控制、保护、交付和提高数据资产的价值。数据资产管理须充分</w:t>
      </w:r>
      <w:r>
        <w:rPr>
          <w:rFonts w:ascii="微软雅黑" w:hAnsi="微软雅黑" w:eastAsia="微软雅黑" w:cs="微软雅黑"/>
          <w:color w:val="231F20"/>
          <w:spacing w:val="3"/>
          <w:sz w:val="22"/>
          <w:szCs w:val="22"/>
        </w:rPr>
        <w:t>融合政策、管理、业务、技</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术和服务，确保数据资产保值增值。</w:t>
      </w:r>
    </w:p>
    <w:p w14:paraId="747F18C8">
      <w:pPr>
        <w:spacing w:before="21" w:line="287" w:lineRule="auto"/>
        <w:ind w:left="245" w:right="16" w:firstLine="483"/>
        <w:rPr>
          <w:rFonts w:ascii="微软雅黑" w:hAnsi="微软雅黑" w:eastAsia="微软雅黑" w:cs="微软雅黑"/>
          <w:sz w:val="22"/>
          <w:szCs w:val="22"/>
        </w:rPr>
      </w:pPr>
      <w:r>
        <w:rPr>
          <w:rFonts w:ascii="微软雅黑" w:hAnsi="微软雅黑" w:eastAsia="微软雅黑" w:cs="微软雅黑"/>
          <w:color w:val="231F20"/>
          <w:spacing w:val="-6"/>
          <w:sz w:val="22"/>
          <w:szCs w:val="22"/>
        </w:rPr>
        <w:t>数据资产管理包含数据资源化、数据资产化两个环节，将原始数据转变为数据资源、数据资产，</w:t>
      </w:r>
      <w:r>
        <w:rPr>
          <w:rFonts w:ascii="微软雅黑" w:hAnsi="微软雅黑" w:eastAsia="微软雅黑" w:cs="微软雅黑"/>
          <w:color w:val="231F20"/>
          <w:spacing w:val="4"/>
          <w:sz w:val="22"/>
          <w:szCs w:val="22"/>
        </w:rPr>
        <w:t xml:space="preserve"> </w:t>
      </w:r>
      <w:r>
        <w:rPr>
          <w:rFonts w:ascii="微软雅黑" w:hAnsi="微软雅黑" w:eastAsia="微软雅黑" w:cs="微软雅黑"/>
          <w:color w:val="231F20"/>
          <w:spacing w:val="-1"/>
          <w:sz w:val="22"/>
          <w:szCs w:val="22"/>
        </w:rPr>
        <w:t>逐步提高数据的价值密度，为数据要素化奠定基础。数据资产管理架构如图 3 所示。</w:t>
      </w:r>
    </w:p>
    <w:p w14:paraId="7E94836E">
      <w:pPr>
        <w:spacing w:before="60"/>
      </w:pPr>
    </w:p>
    <w:p w14:paraId="2DA60CBD">
      <w:pPr>
        <w:spacing w:before="59"/>
      </w:pPr>
    </w:p>
    <w:p w14:paraId="7D912CE9">
      <w:pPr>
        <w:sectPr>
          <w:pgSz w:w="11906" w:h="16158"/>
          <w:pgMar w:top="400" w:right="1162" w:bottom="400" w:left="1004" w:header="0" w:footer="0" w:gutter="0"/>
          <w:cols w:equalWidth="0" w:num="1">
            <w:col w:w="9739"/>
          </w:cols>
        </w:sectPr>
      </w:pPr>
    </w:p>
    <w:p w14:paraId="3D103389">
      <w:pPr>
        <w:pStyle w:val="2"/>
        <w:spacing w:before="154" w:line="3586" w:lineRule="exact"/>
        <w:ind w:firstLine="618"/>
      </w:pPr>
      <w:r>
        <w:drawing>
          <wp:anchor distT="0" distB="0" distL="0" distR="0" simplePos="0" relativeHeight="251675648" behindDoc="1" locked="0" layoutInCell="1" allowOverlap="1">
            <wp:simplePos x="0" y="0"/>
            <wp:positionH relativeFrom="column">
              <wp:posOffset>392430</wp:posOffset>
            </wp:positionH>
            <wp:positionV relativeFrom="paragraph">
              <wp:posOffset>97155</wp:posOffset>
            </wp:positionV>
            <wp:extent cx="1270000" cy="2277110"/>
            <wp:effectExtent l="0" t="0" r="0" b="0"/>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26"/>
                    <a:stretch>
                      <a:fillRect/>
                    </a:stretch>
                  </pic:blipFill>
                  <pic:spPr>
                    <a:xfrm>
                      <a:off x="0" y="0"/>
                      <a:ext cx="1270126" cy="2277023"/>
                    </a:xfrm>
                    <a:prstGeom prst="rect">
                      <a:avLst/>
                    </a:prstGeom>
                  </pic:spPr>
                </pic:pic>
              </a:graphicData>
            </a:graphic>
          </wp:anchor>
        </w:drawing>
      </w:r>
      <w:r>
        <w:drawing>
          <wp:anchor distT="0" distB="0" distL="0" distR="0" simplePos="0" relativeHeight="251687936" behindDoc="0" locked="0" layoutInCell="1" allowOverlap="1">
            <wp:simplePos x="0" y="0"/>
            <wp:positionH relativeFrom="column">
              <wp:posOffset>1537335</wp:posOffset>
            </wp:positionH>
            <wp:positionV relativeFrom="paragraph">
              <wp:posOffset>1563370</wp:posOffset>
            </wp:positionV>
            <wp:extent cx="237490" cy="525145"/>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27"/>
                    <a:stretch>
                      <a:fillRect/>
                    </a:stretch>
                  </pic:blipFill>
                  <pic:spPr>
                    <a:xfrm>
                      <a:off x="0" y="0"/>
                      <a:ext cx="237258" cy="524991"/>
                    </a:xfrm>
                    <a:prstGeom prst="rect">
                      <a:avLst/>
                    </a:prstGeom>
                  </pic:spPr>
                </pic:pic>
              </a:graphicData>
            </a:graphic>
          </wp:anchor>
        </w:drawing>
      </w:r>
      <w:r>
        <w:rPr>
          <w:position w:val="-71"/>
        </w:rPr>
        <w:pict>
          <v:group id="_x0000_s1048" o:spid="_x0000_s1048" o:spt="203" style="height:179.3pt;width:100.05pt;" coordsize="2001,3586">
            <o:lock v:ext="edit"/>
            <v:shape id="_x0000_s1049" o:spid="_x0000_s1049" o:spt="202" type="#_x0000_t202" style="position:absolute;left:-20;top:-20;height:3626;width:2041;" filled="f" stroked="f" coordsize="21600,21600">
              <v:path/>
              <v:fill on="f" focussize="0,0"/>
              <v:stroke on="f"/>
              <v:imagedata o:title=""/>
              <o:lock v:ext="edit" aspectratio="f"/>
              <v:textbox inset="0mm,0mm,0mm,0mm">
                <w:txbxContent>
                  <w:p w14:paraId="4887F5A6">
                    <w:pPr>
                      <w:spacing w:line="250" w:lineRule="auto"/>
                      <w:rPr>
                        <w:rFonts w:ascii="Arial"/>
                        <w:sz w:val="21"/>
                      </w:rPr>
                    </w:pPr>
                  </w:p>
                  <w:p w14:paraId="0B37FBF1">
                    <w:pPr>
                      <w:spacing w:line="250" w:lineRule="auto"/>
                      <w:rPr>
                        <w:rFonts w:ascii="Arial"/>
                        <w:sz w:val="21"/>
                      </w:rPr>
                    </w:pPr>
                  </w:p>
                  <w:p w14:paraId="3AD4D1DF">
                    <w:pPr>
                      <w:spacing w:line="250" w:lineRule="auto"/>
                      <w:rPr>
                        <w:rFonts w:ascii="Arial"/>
                        <w:sz w:val="21"/>
                      </w:rPr>
                    </w:pPr>
                  </w:p>
                  <w:p w14:paraId="6C30D6D5">
                    <w:pPr>
                      <w:spacing w:before="86" w:line="203" w:lineRule="exact"/>
                      <w:ind w:left="612"/>
                      <w:rPr>
                        <w:rFonts w:ascii="微软雅黑" w:hAnsi="微软雅黑" w:eastAsia="微软雅黑" w:cs="微软雅黑"/>
                        <w:sz w:val="20"/>
                        <w:szCs w:val="20"/>
                      </w:rPr>
                    </w:pPr>
                    <w:r>
                      <w:rPr>
                        <w:rFonts w:ascii="微软雅黑" w:hAnsi="微软雅黑" w:eastAsia="微软雅黑" w:cs="微软雅黑"/>
                        <w:spacing w:val="4"/>
                        <w:position w:val="-1"/>
                        <w:sz w:val="20"/>
                        <w:szCs w:val="20"/>
                      </w:rPr>
                      <w:t>数据资产</w:t>
                    </w:r>
                  </w:p>
                  <w:p w14:paraId="58F9FA91">
                    <w:pPr>
                      <w:spacing w:line="285" w:lineRule="auto"/>
                      <w:rPr>
                        <w:rFonts w:ascii="Arial"/>
                        <w:sz w:val="21"/>
                      </w:rPr>
                    </w:pPr>
                  </w:p>
                  <w:p w14:paraId="2A505CC6">
                    <w:pPr>
                      <w:spacing w:line="285" w:lineRule="auto"/>
                      <w:rPr>
                        <w:rFonts w:ascii="Arial"/>
                        <w:sz w:val="21"/>
                      </w:rPr>
                    </w:pPr>
                  </w:p>
                  <w:p w14:paraId="20273FD7">
                    <w:pPr>
                      <w:spacing w:line="286" w:lineRule="auto"/>
                      <w:rPr>
                        <w:rFonts w:ascii="Arial"/>
                        <w:sz w:val="21"/>
                      </w:rPr>
                    </w:pPr>
                  </w:p>
                  <w:p w14:paraId="44DB0816">
                    <w:pPr>
                      <w:spacing w:before="86" w:line="203" w:lineRule="exact"/>
                      <w:ind w:left="612"/>
                      <w:rPr>
                        <w:rFonts w:ascii="微软雅黑" w:hAnsi="微软雅黑" w:eastAsia="微软雅黑" w:cs="微软雅黑"/>
                        <w:sz w:val="20"/>
                        <w:szCs w:val="20"/>
                      </w:rPr>
                    </w:pPr>
                    <w:r>
                      <w:rPr>
                        <w:rFonts w:ascii="微软雅黑" w:hAnsi="微软雅黑" w:eastAsia="微软雅黑" w:cs="微软雅黑"/>
                        <w:spacing w:val="4"/>
                        <w:position w:val="-1"/>
                        <w:sz w:val="20"/>
                        <w:szCs w:val="20"/>
                      </w:rPr>
                      <w:t>数据资源</w:t>
                    </w:r>
                  </w:p>
                  <w:p w14:paraId="1A107B58">
                    <w:pPr>
                      <w:spacing w:line="264" w:lineRule="auto"/>
                      <w:rPr>
                        <w:rFonts w:ascii="Arial"/>
                        <w:sz w:val="21"/>
                      </w:rPr>
                    </w:pPr>
                  </w:p>
                  <w:p w14:paraId="643FF09B">
                    <w:pPr>
                      <w:spacing w:line="264" w:lineRule="auto"/>
                      <w:rPr>
                        <w:rFonts w:ascii="Arial"/>
                        <w:sz w:val="21"/>
                      </w:rPr>
                    </w:pPr>
                  </w:p>
                  <w:p w14:paraId="0679F691">
                    <w:pPr>
                      <w:spacing w:line="264" w:lineRule="auto"/>
                      <w:rPr>
                        <w:rFonts w:ascii="Arial"/>
                        <w:sz w:val="21"/>
                      </w:rPr>
                    </w:pPr>
                  </w:p>
                  <w:p w14:paraId="04C1734A">
                    <w:pPr>
                      <w:spacing w:before="86" w:line="201" w:lineRule="exact"/>
                      <w:ind w:left="612"/>
                      <w:rPr>
                        <w:rFonts w:ascii="微软雅黑" w:hAnsi="微软雅黑" w:eastAsia="微软雅黑" w:cs="微软雅黑"/>
                        <w:sz w:val="20"/>
                        <w:szCs w:val="20"/>
                      </w:rPr>
                    </w:pPr>
                    <w:r>
                      <w:rPr>
                        <w:rFonts w:ascii="微软雅黑" w:hAnsi="微软雅黑" w:eastAsia="微软雅黑" w:cs="微软雅黑"/>
                        <w:spacing w:val="4"/>
                        <w:position w:val="-1"/>
                        <w:sz w:val="20"/>
                        <w:szCs w:val="20"/>
                      </w:rPr>
                      <w:t>原始数据</w:t>
                    </w:r>
                  </w:p>
                </w:txbxContent>
              </v:textbox>
            </v:shape>
            <w10:wrap type="none"/>
            <w10:anchorlock/>
          </v:group>
        </w:pict>
      </w:r>
    </w:p>
    <w:p w14:paraId="665DD861">
      <w:pPr>
        <w:pStyle w:val="2"/>
        <w:spacing w:line="14" w:lineRule="auto"/>
        <w:rPr>
          <w:sz w:val="2"/>
        </w:rPr>
      </w:pPr>
      <w:r>
        <w:rPr>
          <w:sz w:val="2"/>
          <w:szCs w:val="2"/>
        </w:rPr>
        <w:br w:type="column"/>
      </w:r>
    </w:p>
    <w:p w14:paraId="061156FC">
      <w:pPr>
        <w:pStyle w:val="2"/>
        <w:spacing w:line="241" w:lineRule="auto"/>
      </w:pPr>
    </w:p>
    <w:p w14:paraId="59631B23">
      <w:pPr>
        <w:pStyle w:val="2"/>
        <w:spacing w:line="242" w:lineRule="auto"/>
      </w:pPr>
    </w:p>
    <w:p w14:paraId="1309957F">
      <w:pPr>
        <w:pStyle w:val="2"/>
        <w:spacing w:line="242" w:lineRule="auto"/>
      </w:pPr>
    </w:p>
    <w:p w14:paraId="22D485AC">
      <w:pPr>
        <w:pStyle w:val="2"/>
        <w:spacing w:line="242" w:lineRule="auto"/>
      </w:pPr>
    </w:p>
    <w:p w14:paraId="04234355">
      <w:pPr>
        <w:pStyle w:val="2"/>
        <w:spacing w:line="242" w:lineRule="auto"/>
      </w:pPr>
    </w:p>
    <w:p w14:paraId="33A976E9">
      <w:pPr>
        <w:spacing w:before="78" w:line="181" w:lineRule="exact"/>
        <w:rPr>
          <w:rFonts w:ascii="微软雅黑" w:hAnsi="微软雅黑" w:eastAsia="微软雅黑" w:cs="微软雅黑"/>
          <w:sz w:val="18"/>
          <w:szCs w:val="18"/>
        </w:rPr>
      </w:pPr>
      <w:r>
        <w:rPr>
          <w:rFonts w:ascii="微软雅黑" w:hAnsi="微软雅黑" w:eastAsia="微软雅黑" w:cs="微软雅黑"/>
          <w:color w:val="638778"/>
          <w:spacing w:val="4"/>
          <w:position w:val="-1"/>
          <w:sz w:val="18"/>
          <w:szCs w:val="18"/>
        </w:rPr>
        <w:t>数据资产化</w:t>
      </w:r>
    </w:p>
    <w:p w14:paraId="5F83C9DB">
      <w:pPr>
        <w:pStyle w:val="2"/>
        <w:spacing w:line="295" w:lineRule="auto"/>
      </w:pPr>
    </w:p>
    <w:p w14:paraId="179C4C14">
      <w:pPr>
        <w:pStyle w:val="2"/>
        <w:spacing w:line="295" w:lineRule="auto"/>
      </w:pPr>
    </w:p>
    <w:p w14:paraId="32F4088A">
      <w:pPr>
        <w:pStyle w:val="2"/>
        <w:spacing w:line="296" w:lineRule="auto"/>
      </w:pPr>
    </w:p>
    <w:p w14:paraId="3175C593">
      <w:pPr>
        <w:pStyle w:val="2"/>
        <w:spacing w:line="296" w:lineRule="auto"/>
      </w:pPr>
    </w:p>
    <w:p w14:paraId="74A47024">
      <w:pPr>
        <w:spacing w:before="78" w:line="180" w:lineRule="exact"/>
        <w:rPr>
          <w:rFonts w:ascii="微软雅黑" w:hAnsi="微软雅黑" w:eastAsia="微软雅黑" w:cs="微软雅黑"/>
          <w:sz w:val="18"/>
          <w:szCs w:val="18"/>
        </w:rPr>
      </w:pPr>
      <w:r>
        <w:rPr>
          <w:rFonts w:ascii="微软雅黑" w:hAnsi="微软雅黑" w:eastAsia="微软雅黑" w:cs="微软雅黑"/>
          <w:color w:val="4A6359"/>
          <w:spacing w:val="4"/>
          <w:position w:val="-1"/>
          <w:sz w:val="18"/>
          <w:szCs w:val="18"/>
        </w:rPr>
        <w:t>数据资源化</w:t>
      </w:r>
    </w:p>
    <w:p w14:paraId="6EB31147">
      <w:pPr>
        <w:pStyle w:val="2"/>
        <w:spacing w:line="14" w:lineRule="auto"/>
        <w:rPr>
          <w:sz w:val="2"/>
        </w:rPr>
      </w:pPr>
      <w:r>
        <w:rPr>
          <w:sz w:val="2"/>
          <w:szCs w:val="2"/>
        </w:rPr>
        <w:br w:type="column"/>
      </w:r>
    </w:p>
    <w:p w14:paraId="32A2B60E">
      <w:pPr>
        <w:spacing w:line="240" w:lineRule="exact"/>
        <w:ind w:left="2480"/>
        <w:rPr>
          <w:rFonts w:ascii="微软雅黑" w:hAnsi="微软雅黑" w:eastAsia="微软雅黑" w:cs="微软雅黑"/>
          <w:sz w:val="24"/>
          <w:szCs w:val="24"/>
        </w:rPr>
      </w:pPr>
      <w:r>
        <w:rPr>
          <w:rFonts w:ascii="微软雅黑" w:hAnsi="微软雅黑" w:eastAsia="微软雅黑" w:cs="微软雅黑"/>
          <w:color w:val="6B8F80"/>
          <w:spacing w:val="6"/>
          <w:position w:val="-1"/>
          <w:sz w:val="24"/>
          <w:szCs w:val="24"/>
        </w:rPr>
        <w:t>数据资产管理</w:t>
      </w:r>
    </w:p>
    <w:p w14:paraId="79D678C3">
      <w:pPr>
        <w:pStyle w:val="2"/>
        <w:spacing w:line="316" w:lineRule="auto"/>
      </w:pPr>
    </w:p>
    <w:p w14:paraId="57A072B5">
      <w:pPr>
        <w:pStyle w:val="2"/>
        <w:spacing w:line="3206" w:lineRule="exact"/>
        <w:ind w:firstLine="3911"/>
      </w:pPr>
      <w:r>
        <w:pict>
          <v:shape id="_x0000_s1050" o:spid="_x0000_s1050" o:spt="202" type="#_x0000_t202" style="position:absolute;left:0pt;margin-left:85.2pt;margin-top:4.15pt;height:12.05pt;width:42.9pt;z-index:251688960;mso-width-relative:page;mso-height-relative:page;" filled="f" stroked="f" coordsize="21600,21600">
            <v:path/>
            <v:fill on="f" focussize="0,0"/>
            <v:stroke on="f"/>
            <v:imagedata o:title=""/>
            <o:lock v:ext="edit" aspectratio="f"/>
            <v:textbox inset="0mm,0mm,0mm,0mm">
              <w:txbxContent>
                <w:p w14:paraId="62F5A7BF">
                  <w:pPr>
                    <w:spacing w:before="20" w:line="200" w:lineRule="exact"/>
                    <w:ind w:left="20"/>
                    <w:rPr>
                      <w:rFonts w:ascii="微软雅黑" w:hAnsi="微软雅黑" w:eastAsia="微软雅黑" w:cs="微软雅黑"/>
                      <w:sz w:val="20"/>
                      <w:szCs w:val="20"/>
                    </w:rPr>
                  </w:pPr>
                  <w:r>
                    <w:rPr>
                      <w:rFonts w:ascii="微软雅黑" w:hAnsi="微软雅黑" w:eastAsia="微软雅黑" w:cs="微软雅黑"/>
                      <w:color w:val="6B8F80"/>
                      <w:spacing w:val="4"/>
                      <w:position w:val="-1"/>
                      <w:sz w:val="20"/>
                      <w:szCs w:val="20"/>
                    </w:rPr>
                    <w:t>活动职能</w:t>
                  </w:r>
                </w:p>
              </w:txbxContent>
            </v:textbox>
          </v:shape>
        </w:pict>
      </w:r>
      <w:r>
        <w:pict>
          <v:shape id="_x0000_s1051" o:spid="_x0000_s1051" o:spt="202" type="#_x0000_t202" style="position:absolute;left:0pt;margin-left:77.7pt;margin-top:24.7pt;height:13.9pt;width:57.65pt;z-index:251686912;mso-width-relative:page;mso-height-relative:page;" fillcolor="#C4D4CC" filled="t" stroked="f" coordsize="21600,21600">
            <v:path/>
            <v:fill on="t" focussize="0,0"/>
            <v:stroke on="f"/>
            <v:imagedata o:title=""/>
            <o:lock v:ext="edit" aspectratio="f"/>
            <v:textbox inset="0mm,0mm,0mm,0mm">
              <w:txbxContent>
                <w:p w14:paraId="29BF80EC">
                  <w:pPr>
                    <w:spacing w:before="56" w:line="161" w:lineRule="exact"/>
                    <w:ind w:left="86"/>
                    <w:rPr>
                      <w:rFonts w:ascii="微软雅黑" w:hAnsi="微软雅黑" w:eastAsia="微软雅黑" w:cs="微软雅黑"/>
                      <w:sz w:val="16"/>
                      <w:szCs w:val="16"/>
                    </w:rPr>
                  </w:pPr>
                  <w:r>
                    <w:rPr>
                      <w:rFonts w:ascii="微软雅黑" w:hAnsi="微软雅黑" w:eastAsia="微软雅黑" w:cs="微软雅黑"/>
                      <w:color w:val="6E9E85"/>
                      <w:spacing w:val="4"/>
                      <w:position w:val="-1"/>
                      <w:sz w:val="16"/>
                      <w:szCs w:val="16"/>
                    </w:rPr>
                    <w:t>数据价值评估</w:t>
                  </w:r>
                </w:p>
              </w:txbxContent>
            </v:textbox>
          </v:shape>
        </w:pict>
      </w:r>
      <w:r>
        <w:pict>
          <v:shape id="_x0000_s1052" o:spid="_x0000_s1052" o:spt="202" type="#_x0000_t202" style="position:absolute;left:0pt;margin-left:108.05pt;margin-top:42.7pt;height:13.4pt;width:61.8pt;z-index:251685888;mso-width-relative:page;mso-height-relative:page;" fillcolor="#C4D4CC" filled="t" stroked="f" coordsize="21600,21600">
            <v:path/>
            <v:fill on="t" focussize="0,0"/>
            <v:stroke on="f"/>
            <v:imagedata o:title=""/>
            <o:lock v:ext="edit" aspectratio="f"/>
            <v:textbox inset="0mm,0mm,0mm,0mm">
              <w:txbxContent>
                <w:p w14:paraId="533AC95E">
                  <w:pPr>
                    <w:spacing w:before="51" w:line="161" w:lineRule="exact"/>
                    <w:ind w:left="120"/>
                    <w:rPr>
                      <w:rFonts w:ascii="微软雅黑" w:hAnsi="微软雅黑" w:eastAsia="微软雅黑" w:cs="微软雅黑"/>
                      <w:sz w:val="16"/>
                      <w:szCs w:val="16"/>
                    </w:rPr>
                  </w:pPr>
                  <w:r>
                    <w:rPr>
                      <w:rFonts w:ascii="微软雅黑" w:hAnsi="微软雅黑" w:eastAsia="微软雅黑" w:cs="微软雅黑"/>
                      <w:color w:val="6E9E85"/>
                      <w:spacing w:val="4"/>
                      <w:position w:val="-1"/>
                      <w:sz w:val="16"/>
                      <w:szCs w:val="16"/>
                    </w:rPr>
                    <w:t>数据运营管理</w:t>
                  </w:r>
                </w:p>
              </w:txbxContent>
            </v:textbox>
          </v:shape>
        </w:pict>
      </w:r>
      <w:r>
        <w:pict>
          <v:shape id="_x0000_s1053" o:spid="_x0000_s1053" o:spt="202" type="#_x0000_t202" style="position:absolute;left:0pt;margin-left:43.2pt;margin-top:42.7pt;height:13.9pt;width:61.8pt;z-index:251682816;mso-width-relative:page;mso-height-relative:page;" fillcolor="#C4D4CC" filled="t" stroked="f" coordsize="21600,21600">
            <v:path/>
            <v:fill on="t" focussize="0,0"/>
            <v:stroke on="f"/>
            <v:imagedata o:title=""/>
            <o:lock v:ext="edit" aspectratio="f"/>
            <v:textbox inset="0mm,0mm,0mm,0mm">
              <w:txbxContent>
                <w:p w14:paraId="4E6B80C9">
                  <w:pPr>
                    <w:spacing w:before="51" w:line="163" w:lineRule="exact"/>
                    <w:ind w:left="121"/>
                    <w:rPr>
                      <w:rFonts w:ascii="微软雅黑" w:hAnsi="微软雅黑" w:eastAsia="微软雅黑" w:cs="微软雅黑"/>
                      <w:sz w:val="16"/>
                      <w:szCs w:val="16"/>
                    </w:rPr>
                  </w:pPr>
                  <w:r>
                    <w:rPr>
                      <w:rFonts w:ascii="微软雅黑" w:hAnsi="微软雅黑" w:eastAsia="微软雅黑" w:cs="微软雅黑"/>
                      <w:color w:val="6E9E85"/>
                      <w:spacing w:val="4"/>
                      <w:position w:val="-1"/>
                      <w:sz w:val="16"/>
                      <w:szCs w:val="16"/>
                    </w:rPr>
                    <w:t>数据流通管理</w:t>
                  </w:r>
                </w:p>
              </w:txbxContent>
            </v:textbox>
          </v:shape>
        </w:pict>
      </w:r>
      <w:r>
        <w:pict>
          <v:shape id="_x0000_s1054" o:spid="_x0000_s1054" o:spt="202" type="#_x0000_t202" style="position:absolute;left:0pt;margin-left:77.2pt;margin-top:64.3pt;height:13.9pt;width:61.25pt;z-index:251684864;mso-width-relative:page;mso-height-relative:page;" fillcolor="#C4D4CC" filled="t" stroked="f" coordsize="21600,21600">
            <v:path/>
            <v:fill on="t" focussize="0,0"/>
            <v:stroke on="f"/>
            <v:imagedata o:title=""/>
            <o:lock v:ext="edit" aspectratio="f"/>
            <v:textbox inset="0mm,0mm,0mm,0mm">
              <w:txbxContent>
                <w:p w14:paraId="71D21833">
                  <w:pPr>
                    <w:spacing w:before="50" w:line="162" w:lineRule="exact"/>
                    <w:ind w:left="113"/>
                    <w:rPr>
                      <w:rFonts w:ascii="微软雅黑" w:hAnsi="微软雅黑" w:eastAsia="微软雅黑" w:cs="微软雅黑"/>
                      <w:sz w:val="16"/>
                      <w:szCs w:val="16"/>
                    </w:rPr>
                  </w:pPr>
                  <w:r>
                    <w:rPr>
                      <w:rFonts w:ascii="微软雅黑" w:hAnsi="微软雅黑" w:eastAsia="微软雅黑" w:cs="微软雅黑"/>
                      <w:color w:val="6E9E85"/>
                      <w:spacing w:val="4"/>
                      <w:position w:val="-1"/>
                      <w:sz w:val="16"/>
                      <w:szCs w:val="16"/>
                    </w:rPr>
                    <w:t>数据质量管理</w:t>
                  </w:r>
                </w:p>
              </w:txbxContent>
            </v:textbox>
          </v:shape>
        </w:pict>
      </w:r>
      <w:r>
        <w:drawing>
          <wp:anchor distT="0" distB="0" distL="0" distR="0" simplePos="0" relativeHeight="251678720" behindDoc="0" locked="0" layoutInCell="1" allowOverlap="1">
            <wp:simplePos x="0" y="0"/>
            <wp:positionH relativeFrom="column">
              <wp:posOffset>1391920</wp:posOffset>
            </wp:positionH>
            <wp:positionV relativeFrom="paragraph">
              <wp:posOffset>845185</wp:posOffset>
            </wp:positionV>
            <wp:extent cx="934720" cy="584200"/>
            <wp:effectExtent l="0" t="0" r="0" b="0"/>
            <wp:wrapNone/>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28"/>
                    <a:stretch>
                      <a:fillRect/>
                    </a:stretch>
                  </pic:blipFill>
                  <pic:spPr>
                    <a:xfrm>
                      <a:off x="0" y="0"/>
                      <a:ext cx="934698" cy="584085"/>
                    </a:xfrm>
                    <a:prstGeom prst="rect">
                      <a:avLst/>
                    </a:prstGeom>
                  </pic:spPr>
                </pic:pic>
              </a:graphicData>
            </a:graphic>
          </wp:anchor>
        </w:drawing>
      </w:r>
      <w:r>
        <w:pict>
          <v:shape id="_x0000_s1055" o:spid="_x0000_s1055" o:spt="202" type="#_x0000_t202" style="position:absolute;left:0pt;margin-left:30.45pt;margin-top:68.45pt;height:42.9pt;width:77.1pt;z-index:251679744;mso-width-relative:page;mso-height-relative:page;" filled="f" stroked="f" coordsize="21600,21600">
            <v:path/>
            <v:fill on="f" focussize="0,0"/>
            <v:stroke on="f"/>
            <v:imagedata o:title=""/>
            <o:lock v:ext="edit" aspectratio="f"/>
            <v:textbox inset="0mm,0mm,0mm,0mm">
              <w:txbxContent>
                <w:p w14:paraId="23485315">
                  <w:pPr>
                    <w:pStyle w:val="2"/>
                    <w:spacing w:before="20" w:line="817" w:lineRule="exact"/>
                    <w:ind w:left="20"/>
                    <w:rPr>
                      <w:sz w:val="112"/>
                      <w:szCs w:val="112"/>
                    </w:rPr>
                  </w:pPr>
                  <w:r>
                    <w:rPr>
                      <w:color w:val="A4B6AD"/>
                      <w:spacing w:val="128"/>
                      <w:position w:val="-16"/>
                      <w:sz w:val="112"/>
                      <w:szCs w:val="112"/>
                    </w:rPr>
                    <w:t>fm</w:t>
                  </w:r>
                </w:p>
              </w:txbxContent>
            </v:textbox>
          </v:shape>
        </w:pict>
      </w:r>
      <w:r>
        <w:pict>
          <v:shape id="_x0000_s1056" o:spid="_x0000_s1056" o:spt="202" type="#_x0000_t202" style="position:absolute;left:0pt;margin-left:82.2pt;margin-top:105.8pt;height:10.1pt;width:51.25pt;z-index:251689984;mso-width-relative:page;mso-height-relative:page;" filled="f" stroked="f" coordsize="21600,21600">
            <v:path/>
            <v:fill on="f" focussize="0,0"/>
            <v:stroke on="f"/>
            <v:imagedata o:title=""/>
            <o:lock v:ext="edit" aspectratio="f"/>
            <v:textbox inset="0mm,0mm,0mm,0mm">
              <w:txbxContent>
                <w:p w14:paraId="120F15ED">
                  <w:pPr>
                    <w:spacing w:before="20" w:line="161" w:lineRule="exact"/>
                    <w:ind w:left="20"/>
                    <w:rPr>
                      <w:rFonts w:ascii="微软雅黑" w:hAnsi="微软雅黑" w:eastAsia="微软雅黑" w:cs="微软雅黑"/>
                      <w:sz w:val="16"/>
                      <w:szCs w:val="16"/>
                    </w:rPr>
                  </w:pPr>
                  <w:r>
                    <w:rPr>
                      <w:rFonts w:ascii="微软雅黑" w:hAnsi="微软雅黑" w:eastAsia="微软雅黑" w:cs="微软雅黑"/>
                      <w:color w:val="6E9E85"/>
                      <w:spacing w:val="4"/>
                      <w:position w:val="-1"/>
                      <w:sz w:val="16"/>
                      <w:szCs w:val="16"/>
                    </w:rPr>
                    <w:t>数据模型管理</w:t>
                  </w:r>
                </w:p>
              </w:txbxContent>
            </v:textbox>
          </v:shape>
        </w:pict>
      </w:r>
      <w:r>
        <w:drawing>
          <wp:anchor distT="0" distB="0" distL="0" distR="0" simplePos="0" relativeHeight="251677696" behindDoc="0" locked="0" layoutInCell="1" allowOverlap="1">
            <wp:simplePos x="0" y="0"/>
            <wp:positionH relativeFrom="column">
              <wp:posOffset>405130</wp:posOffset>
            </wp:positionH>
            <wp:positionV relativeFrom="paragraph">
              <wp:posOffset>1361440</wp:posOffset>
            </wp:positionV>
            <wp:extent cx="948055" cy="584200"/>
            <wp:effectExtent l="0" t="0" r="0" b="0"/>
            <wp:wrapNone/>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29"/>
                    <a:stretch>
                      <a:fillRect/>
                    </a:stretch>
                  </pic:blipFill>
                  <pic:spPr>
                    <a:xfrm>
                      <a:off x="0" y="0"/>
                      <a:ext cx="947778" cy="584085"/>
                    </a:xfrm>
                    <a:prstGeom prst="rect">
                      <a:avLst/>
                    </a:prstGeom>
                  </pic:spPr>
                </pic:pic>
              </a:graphicData>
            </a:graphic>
          </wp:anchor>
        </w:drawing>
      </w:r>
      <w:r>
        <w:drawing>
          <wp:anchor distT="0" distB="0" distL="0" distR="0" simplePos="0" relativeHeight="251680768" behindDoc="0" locked="0" layoutInCell="1" allowOverlap="1">
            <wp:simplePos x="0" y="0"/>
            <wp:positionH relativeFrom="column">
              <wp:posOffset>1391920</wp:posOffset>
            </wp:positionH>
            <wp:positionV relativeFrom="paragraph">
              <wp:posOffset>1389380</wp:posOffset>
            </wp:positionV>
            <wp:extent cx="939800" cy="519430"/>
            <wp:effectExtent l="0" t="0" r="0" b="0"/>
            <wp:wrapNone/>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30"/>
                    <a:stretch>
                      <a:fillRect/>
                    </a:stretch>
                  </pic:blipFill>
                  <pic:spPr>
                    <a:xfrm>
                      <a:off x="0" y="0"/>
                      <a:ext cx="940094" cy="519239"/>
                    </a:xfrm>
                    <a:prstGeom prst="rect">
                      <a:avLst/>
                    </a:prstGeom>
                  </pic:spPr>
                </pic:pic>
              </a:graphicData>
            </a:graphic>
          </wp:anchor>
        </w:drawing>
      </w:r>
      <w:r>
        <w:pict>
          <v:shape id="_x0000_s1057" o:spid="_x0000_s1057" o:spt="202" type="#_x0000_t202" style="position:absolute;left:0pt;margin-left:77.2pt;margin-top:142.05pt;height:13.9pt;width:61.25pt;z-index:251683840;mso-width-relative:page;mso-height-relative:page;" fillcolor="#C4D4CC" filled="t" stroked="f" coordsize="21600,21600">
            <v:path/>
            <v:fill on="t" focussize="0,0"/>
            <v:stroke on="f"/>
            <v:imagedata o:title=""/>
            <o:lock v:ext="edit" aspectratio="f"/>
            <v:textbox inset="0mm,0mm,0mm,0mm">
              <w:txbxContent>
                <w:p w14:paraId="6F073459">
                  <w:pPr>
                    <w:spacing w:before="54" w:line="162" w:lineRule="exact"/>
                    <w:ind w:left="113"/>
                    <w:rPr>
                      <w:rFonts w:ascii="微软雅黑" w:hAnsi="微软雅黑" w:eastAsia="微软雅黑" w:cs="微软雅黑"/>
                      <w:sz w:val="16"/>
                      <w:szCs w:val="16"/>
                    </w:rPr>
                  </w:pPr>
                  <w:r>
                    <w:rPr>
                      <w:rFonts w:ascii="微软雅黑" w:hAnsi="微软雅黑" w:eastAsia="微软雅黑" w:cs="微软雅黑"/>
                      <w:color w:val="6E9E85"/>
                      <w:spacing w:val="4"/>
                      <w:position w:val="-1"/>
                      <w:sz w:val="16"/>
                      <w:szCs w:val="16"/>
                    </w:rPr>
                    <w:t>数据安全管理</w:t>
                  </w:r>
                </w:p>
              </w:txbxContent>
            </v:textbox>
          </v:shape>
        </w:pict>
      </w:r>
      <w:r>
        <w:drawing>
          <wp:anchor distT="0" distB="0" distL="0" distR="0" simplePos="0" relativeHeight="251692032" behindDoc="0" locked="0" layoutInCell="1" allowOverlap="1">
            <wp:simplePos x="0" y="0"/>
            <wp:positionH relativeFrom="column">
              <wp:posOffset>0</wp:posOffset>
            </wp:positionH>
            <wp:positionV relativeFrom="paragraph">
              <wp:posOffset>463550</wp:posOffset>
            </wp:positionV>
            <wp:extent cx="287655" cy="156845"/>
            <wp:effectExtent l="0" t="0" r="0" b="0"/>
            <wp:wrapNone/>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31"/>
                    <a:stretch>
                      <a:fillRect/>
                    </a:stretch>
                  </pic:blipFill>
                  <pic:spPr>
                    <a:xfrm>
                      <a:off x="0" y="0"/>
                      <a:ext cx="287604" cy="156883"/>
                    </a:xfrm>
                    <a:prstGeom prst="rect">
                      <a:avLst/>
                    </a:prstGeom>
                  </pic:spPr>
                </pic:pic>
              </a:graphicData>
            </a:graphic>
          </wp:anchor>
        </w:drawing>
      </w:r>
      <w:r>
        <w:drawing>
          <wp:anchor distT="0" distB="0" distL="0" distR="0" simplePos="0" relativeHeight="251691008" behindDoc="0" locked="0" layoutInCell="1" allowOverlap="1">
            <wp:simplePos x="0" y="0"/>
            <wp:positionH relativeFrom="column">
              <wp:posOffset>0</wp:posOffset>
            </wp:positionH>
            <wp:positionV relativeFrom="paragraph">
              <wp:posOffset>1359535</wp:posOffset>
            </wp:positionV>
            <wp:extent cx="294005" cy="163195"/>
            <wp:effectExtent l="0" t="0" r="0" b="0"/>
            <wp:wrapNone/>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32"/>
                    <a:stretch>
                      <a:fillRect/>
                    </a:stretch>
                  </pic:blipFill>
                  <pic:spPr>
                    <a:xfrm>
                      <a:off x="0" y="0"/>
                      <a:ext cx="294132" cy="163410"/>
                    </a:xfrm>
                    <a:prstGeom prst="rect">
                      <a:avLst/>
                    </a:prstGeom>
                  </pic:spPr>
                </pic:pic>
              </a:graphicData>
            </a:graphic>
          </wp:anchor>
        </w:drawing>
      </w:r>
      <w:r>
        <w:drawing>
          <wp:anchor distT="0" distB="0" distL="0" distR="0" simplePos="0" relativeHeight="251676672" behindDoc="0" locked="0" layoutInCell="1" allowOverlap="1">
            <wp:simplePos x="0" y="0"/>
            <wp:positionH relativeFrom="column">
              <wp:posOffset>352425</wp:posOffset>
            </wp:positionH>
            <wp:positionV relativeFrom="paragraph">
              <wp:posOffset>0</wp:posOffset>
            </wp:positionV>
            <wp:extent cx="2039620" cy="2035810"/>
            <wp:effectExtent l="0" t="0" r="0" b="0"/>
            <wp:wrapNone/>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33"/>
                    <a:stretch>
                      <a:fillRect/>
                    </a:stretch>
                  </pic:blipFill>
                  <pic:spPr>
                    <a:xfrm>
                      <a:off x="0" y="0"/>
                      <a:ext cx="2039340" cy="2035671"/>
                    </a:xfrm>
                    <a:prstGeom prst="rect">
                      <a:avLst/>
                    </a:prstGeom>
                  </pic:spPr>
                </pic:pic>
              </a:graphicData>
            </a:graphic>
          </wp:anchor>
        </w:drawing>
      </w:r>
      <w:r>
        <w:rPr>
          <w:position w:val="-64"/>
        </w:rPr>
        <w:pict>
          <v:group id="_x0000_s1058" o:spid="_x0000_s1058" o:spt="203" style="height:160.3pt;width:62.3pt;" coordsize="1245,3206">
            <o:lock v:ext="edit"/>
            <v:shape id="_x0000_s1059" o:spid="_x0000_s1059" o:spt="75" type="#_x0000_t75" style="position:absolute;left:0;top:0;height:3206;width:1245;" filled="f" stroked="f" coordsize="21600,21600">
              <v:path/>
              <v:fill on="f" focussize="0,0"/>
              <v:stroke on="f"/>
              <v:imagedata r:id="rId34" o:title=""/>
              <o:lock v:ext="edit" aspectratio="t"/>
            </v:shape>
            <v:shape id="_x0000_s1060" o:spid="_x0000_s1060" o:spt="202" type="#_x0000_t202" style="position:absolute;left:-20;top:-20;height:3246;width:1286;" filled="f" stroked="f" coordsize="21600,21600">
              <v:path/>
              <v:fill on="f" focussize="0,0"/>
              <v:stroke on="f"/>
              <v:imagedata o:title=""/>
              <o:lock v:ext="edit" aspectratio="f"/>
              <v:textbox inset="0mm,0mm,0mm,0mm">
                <w:txbxContent>
                  <w:p w14:paraId="552302D3">
                    <w:pPr>
                      <w:spacing w:before="133" w:line="200" w:lineRule="exact"/>
                      <w:ind w:left="235"/>
                      <w:rPr>
                        <w:rFonts w:ascii="微软雅黑" w:hAnsi="微软雅黑" w:eastAsia="微软雅黑" w:cs="微软雅黑"/>
                        <w:sz w:val="19"/>
                        <w:szCs w:val="19"/>
                      </w:rPr>
                    </w:pPr>
                    <w:r>
                      <w:rPr>
                        <w:rFonts w:ascii="微软雅黑" w:hAnsi="微软雅黑" w:eastAsia="微软雅黑" w:cs="微软雅黑"/>
                        <w:color w:val="6B8F80"/>
                        <w:spacing w:val="14"/>
                        <w:position w:val="-1"/>
                        <w:sz w:val="19"/>
                        <w:szCs w:val="19"/>
                      </w:rPr>
                      <w:t>保障措施</w:t>
                    </w:r>
                  </w:p>
                  <w:p w14:paraId="7FF40C87">
                    <w:pPr>
                      <w:spacing w:line="375" w:lineRule="auto"/>
                      <w:rPr>
                        <w:rFonts w:ascii="Arial"/>
                        <w:sz w:val="21"/>
                      </w:rPr>
                    </w:pPr>
                  </w:p>
                  <w:p w14:paraId="0809AF69">
                    <w:pPr>
                      <w:spacing w:before="77" w:line="329" w:lineRule="auto"/>
                      <w:ind w:left="289" w:right="248" w:firstLine="4"/>
                      <w:jc w:val="both"/>
                      <w:rPr>
                        <w:rFonts w:ascii="微软雅黑" w:hAnsi="微软雅黑" w:eastAsia="微软雅黑" w:cs="微软雅黑"/>
                        <w:sz w:val="18"/>
                        <w:szCs w:val="18"/>
                      </w:rPr>
                    </w:pPr>
                    <w:r>
                      <w:rPr>
                        <w:rFonts w:ascii="微软雅黑" w:hAnsi="微软雅黑" w:eastAsia="微软雅黑" w:cs="微软雅黑"/>
                        <w:color w:val="A3C2B2"/>
                        <w:spacing w:val="2"/>
                        <w:sz w:val="18"/>
                        <w:szCs w:val="18"/>
                      </w:rPr>
                      <w:t>战略管理</w:t>
                    </w:r>
                    <w:r>
                      <w:rPr>
                        <w:rFonts w:ascii="微软雅黑" w:hAnsi="微软雅黑" w:eastAsia="微软雅黑" w:cs="微软雅黑"/>
                        <w:color w:val="A3C2B2"/>
                        <w:sz w:val="18"/>
                        <w:szCs w:val="18"/>
                      </w:rPr>
                      <w:t xml:space="preserve"> </w:t>
                    </w:r>
                    <w:r>
                      <w:rPr>
                        <w:rFonts w:ascii="微软雅黑" w:hAnsi="微软雅黑" w:eastAsia="微软雅黑" w:cs="微软雅黑"/>
                        <w:color w:val="A3C2B2"/>
                        <w:spacing w:val="2"/>
                        <w:sz w:val="18"/>
                        <w:szCs w:val="18"/>
                      </w:rPr>
                      <w:t>组织架构</w:t>
                    </w:r>
                    <w:r>
                      <w:rPr>
                        <w:rFonts w:ascii="微软雅黑" w:hAnsi="微软雅黑" w:eastAsia="微软雅黑" w:cs="微软雅黑"/>
                        <w:color w:val="A3C2B2"/>
                        <w:sz w:val="18"/>
                        <w:szCs w:val="18"/>
                      </w:rPr>
                      <w:t xml:space="preserve"> </w:t>
                    </w:r>
                    <w:r>
                      <w:rPr>
                        <w:rFonts w:ascii="微软雅黑" w:hAnsi="微软雅黑" w:eastAsia="微软雅黑" w:cs="微软雅黑"/>
                        <w:color w:val="A3C2B2"/>
                        <w:spacing w:val="5"/>
                        <w:sz w:val="18"/>
                        <w:szCs w:val="18"/>
                      </w:rPr>
                      <w:t>制度体系</w:t>
                    </w:r>
                    <w:r>
                      <w:rPr>
                        <w:rFonts w:ascii="微软雅黑" w:hAnsi="微软雅黑" w:eastAsia="微软雅黑" w:cs="微软雅黑"/>
                        <w:color w:val="A3C2B2"/>
                        <w:spacing w:val="2"/>
                        <w:sz w:val="18"/>
                        <w:szCs w:val="18"/>
                      </w:rPr>
                      <w:t xml:space="preserve"> </w:t>
                    </w:r>
                    <w:r>
                      <w:rPr>
                        <w:rFonts w:ascii="微软雅黑" w:hAnsi="微软雅黑" w:eastAsia="微软雅黑" w:cs="微软雅黑"/>
                        <w:color w:val="A3C2B2"/>
                        <w:spacing w:val="6"/>
                        <w:sz w:val="18"/>
                        <w:szCs w:val="18"/>
                      </w:rPr>
                      <w:t>平台工具</w:t>
                    </w:r>
                    <w:r>
                      <w:rPr>
                        <w:rFonts w:ascii="微软雅黑" w:hAnsi="微软雅黑" w:eastAsia="微软雅黑" w:cs="微软雅黑"/>
                        <w:color w:val="A3C2B2"/>
                        <w:spacing w:val="2"/>
                        <w:sz w:val="18"/>
                        <w:szCs w:val="18"/>
                      </w:rPr>
                      <w:t xml:space="preserve"> </w:t>
                    </w:r>
                    <w:r>
                      <w:rPr>
                        <w:rFonts w:ascii="微软雅黑" w:hAnsi="微软雅黑" w:eastAsia="微软雅黑" w:cs="微软雅黑"/>
                        <w:color w:val="A3C2B2"/>
                        <w:spacing w:val="3"/>
                        <w:sz w:val="18"/>
                        <w:szCs w:val="18"/>
                      </w:rPr>
                      <w:t>长效机制</w:t>
                    </w:r>
                  </w:p>
                </w:txbxContent>
              </v:textbox>
            </v:shape>
            <w10:wrap type="none"/>
            <w10:anchorlock/>
          </v:group>
        </w:pict>
      </w:r>
    </w:p>
    <w:p w14:paraId="0218ABBA">
      <w:pPr>
        <w:spacing w:before="228" w:line="160" w:lineRule="auto"/>
        <w:ind w:left="10"/>
        <w:rPr>
          <w:rFonts w:ascii="微软雅黑" w:hAnsi="微软雅黑" w:eastAsia="微软雅黑" w:cs="微软雅黑"/>
          <w:sz w:val="20"/>
          <w:szCs w:val="20"/>
        </w:rPr>
      </w:pPr>
      <w:r>
        <w:rPr>
          <w:rFonts w:ascii="微软雅黑" w:hAnsi="微软雅黑" w:eastAsia="微软雅黑" w:cs="微软雅黑"/>
          <w:color w:val="231F20"/>
          <w:spacing w:val="2"/>
          <w:sz w:val="20"/>
          <w:szCs w:val="20"/>
        </w:rPr>
        <w:t>图 3</w:t>
      </w:r>
      <w:r>
        <w:rPr>
          <w:rFonts w:ascii="微软雅黑" w:hAnsi="微软雅黑" w:eastAsia="微软雅黑" w:cs="微软雅黑"/>
          <w:color w:val="231F20"/>
          <w:spacing w:val="11"/>
          <w:sz w:val="20"/>
          <w:szCs w:val="20"/>
        </w:rPr>
        <w:t xml:space="preserve"> </w:t>
      </w:r>
      <w:r>
        <w:rPr>
          <w:rFonts w:ascii="微软雅黑" w:hAnsi="微软雅黑" w:eastAsia="微软雅黑" w:cs="微软雅黑"/>
          <w:color w:val="231F20"/>
          <w:spacing w:val="2"/>
          <w:sz w:val="20"/>
          <w:szCs w:val="20"/>
        </w:rPr>
        <w:t>数据资产管理架构</w:t>
      </w:r>
    </w:p>
    <w:p w14:paraId="05D6F53B">
      <w:pPr>
        <w:spacing w:line="160" w:lineRule="auto"/>
        <w:rPr>
          <w:rFonts w:ascii="微软雅黑" w:hAnsi="微软雅黑" w:eastAsia="微软雅黑" w:cs="微软雅黑"/>
          <w:sz w:val="20"/>
          <w:szCs w:val="20"/>
        </w:rPr>
        <w:sectPr>
          <w:type w:val="continuous"/>
          <w:pgSz w:w="11906" w:h="16158"/>
          <w:pgMar w:top="400" w:right="1162" w:bottom="400" w:left="1004" w:header="0" w:footer="0" w:gutter="0"/>
          <w:cols w:equalWidth="0" w:num="3">
            <w:col w:w="2795" w:space="66"/>
            <w:col w:w="952" w:space="100"/>
            <w:col w:w="5826"/>
          </w:cols>
        </w:sectPr>
      </w:pPr>
    </w:p>
    <w:p w14:paraId="211E637B">
      <w:pPr>
        <w:pStyle w:val="2"/>
        <w:spacing w:line="313" w:lineRule="auto"/>
      </w:pPr>
    </w:p>
    <w:p w14:paraId="07DB6DAD">
      <w:pPr>
        <w:pStyle w:val="2"/>
        <w:spacing w:line="313" w:lineRule="auto"/>
      </w:pPr>
    </w:p>
    <w:p w14:paraId="3A2DD11C">
      <w:pPr>
        <w:spacing w:before="95" w:line="293" w:lineRule="auto"/>
        <w:ind w:left="248" w:firstLine="480"/>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数据资源化通过将原始数据转变数据资源，使数据具备一定的潜在价值，是数据资产化的必</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要前提。数据资源化以数据治理为工作重点，以提升数据质量、保障数据安全为目标，确保数</w:t>
      </w:r>
      <w:r>
        <w:rPr>
          <w:rFonts w:ascii="微软雅黑" w:hAnsi="微软雅黑" w:eastAsia="微软雅黑" w:cs="微软雅黑"/>
          <w:color w:val="231F20"/>
          <w:spacing w:val="2"/>
          <w:sz w:val="22"/>
          <w:szCs w:val="22"/>
        </w:rPr>
        <w:t xml:space="preserve">  据的准确性、</w:t>
      </w:r>
      <w:r>
        <w:rPr>
          <w:rFonts w:ascii="微软雅黑" w:hAnsi="微软雅黑" w:eastAsia="微软雅黑" w:cs="微软雅黑"/>
          <w:color w:val="231F20"/>
          <w:spacing w:val="-33"/>
          <w:sz w:val="22"/>
          <w:szCs w:val="22"/>
        </w:rPr>
        <w:t xml:space="preserve"> </w:t>
      </w:r>
      <w:r>
        <w:rPr>
          <w:rFonts w:ascii="微软雅黑" w:hAnsi="微软雅黑" w:eastAsia="微软雅黑" w:cs="微软雅黑"/>
          <w:color w:val="231F20"/>
          <w:spacing w:val="2"/>
          <w:sz w:val="22"/>
          <w:szCs w:val="22"/>
        </w:rPr>
        <w:t>一致性、时效性和完整性，  推动数据内外部流通。数据资源化包括数据模型管</w:t>
      </w:r>
      <w:r>
        <w:rPr>
          <w:rFonts w:ascii="微软雅黑" w:hAnsi="微软雅黑" w:eastAsia="微软雅黑" w:cs="微软雅黑"/>
          <w:color w:val="231F20"/>
          <w:spacing w:val="1"/>
          <w:sz w:val="22"/>
          <w:szCs w:val="22"/>
        </w:rPr>
        <w:t>理、</w:t>
      </w:r>
    </w:p>
    <w:p w14:paraId="02F23EDA">
      <w:pPr>
        <w:pStyle w:val="2"/>
        <w:spacing w:before="231" w:line="144" w:lineRule="exact"/>
        <w:ind w:left="4900"/>
        <w:rPr>
          <w:sz w:val="20"/>
          <w:szCs w:val="20"/>
        </w:rPr>
      </w:pPr>
      <w:r>
        <w:pict>
          <v:shape id="_x0000_s1061" o:spid="_x0000_s1061" o:spt="202" type="#_x0000_t202" style="position:absolute;left:0pt;margin-left:274.65pt;margin-top:15.15pt;height:15.95pt;width:199.4pt;z-index:251681792;mso-width-relative:page;mso-height-relative:page;" filled="f" stroked="f" coordsize="21600,21600">
            <v:path/>
            <v:fill on="f" focussize="0,0"/>
            <v:stroke on="f"/>
            <v:imagedata o:title=""/>
            <o:lock v:ext="edit" aspectratio="f"/>
            <v:textbox inset="0mm,0mm,0mm,0mm">
              <w:txbxContent>
                <w:p w14:paraId="251AA763">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position w:val="-3"/>
          <w:sz w:val="20"/>
          <w:szCs w:val="20"/>
        </w:rPr>
        <w:t>5</w:t>
      </w:r>
    </w:p>
    <w:p w14:paraId="05B51433">
      <w:pPr>
        <w:spacing w:line="144" w:lineRule="exact"/>
        <w:rPr>
          <w:sz w:val="20"/>
          <w:szCs w:val="20"/>
        </w:rPr>
        <w:sectPr>
          <w:type w:val="continuous"/>
          <w:pgSz w:w="11906" w:h="16158"/>
          <w:pgMar w:top="400" w:right="1162" w:bottom="400" w:left="1004" w:header="0" w:footer="0" w:gutter="0"/>
          <w:cols w:equalWidth="0" w:num="1">
            <w:col w:w="9739"/>
          </w:cols>
        </w:sectPr>
      </w:pPr>
    </w:p>
    <w:p w14:paraId="03102085">
      <w:pPr>
        <w:pStyle w:val="2"/>
        <w:spacing w:line="349" w:lineRule="auto"/>
      </w:pPr>
    </w:p>
    <w:p w14:paraId="06B97C52">
      <w:pPr>
        <w:pStyle w:val="2"/>
        <w:spacing w:line="350" w:lineRule="auto"/>
      </w:pPr>
    </w:p>
    <w:p w14:paraId="0A26D0F1">
      <w:pPr>
        <w:spacing w:before="80" w:line="182" w:lineRule="auto"/>
        <w:rPr>
          <w:rFonts w:ascii="Segoe UI" w:hAnsi="Segoe UI" w:eastAsia="Segoe UI" w:cs="Segoe UI"/>
          <w:sz w:val="24"/>
          <w:szCs w:val="24"/>
        </w:rPr>
      </w:pPr>
      <w:r>
        <w:rPr>
          <w:rFonts w:ascii="Segoe UI" w:hAnsi="Segoe UI" w:eastAsia="Segoe UI" w:cs="Segoe UI"/>
          <w:b/>
          <w:bCs/>
          <w:color w:val="648676"/>
          <w:spacing w:val="29"/>
          <w:w w:val="108"/>
          <w:sz w:val="24"/>
          <w:szCs w:val="24"/>
        </w:rPr>
        <w:t>CHAPTER -1</w:t>
      </w:r>
    </w:p>
    <w:p w14:paraId="739839F9">
      <w:pPr>
        <w:spacing w:before="55" w:line="178" w:lineRule="auto"/>
        <w:ind w:left="422"/>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数据资产管理概述</w:t>
      </w:r>
    </w:p>
    <w:p w14:paraId="7B25C5CE">
      <w:pPr>
        <w:pStyle w:val="2"/>
        <w:spacing w:line="292" w:lineRule="auto"/>
      </w:pPr>
    </w:p>
    <w:p w14:paraId="5D661DF6">
      <w:pPr>
        <w:pStyle w:val="2"/>
        <w:spacing w:line="292" w:lineRule="auto"/>
      </w:pPr>
    </w:p>
    <w:p w14:paraId="25294135">
      <w:pPr>
        <w:pStyle w:val="2"/>
        <w:spacing w:line="293" w:lineRule="auto"/>
      </w:pPr>
    </w:p>
    <w:p w14:paraId="1000BECF">
      <w:pPr>
        <w:spacing w:before="95" w:line="276" w:lineRule="auto"/>
        <w:ind w:left="248" w:right="8"/>
        <w:rPr>
          <w:rFonts w:ascii="微软雅黑" w:hAnsi="微软雅黑" w:eastAsia="微软雅黑" w:cs="微软雅黑"/>
          <w:sz w:val="22"/>
          <w:szCs w:val="22"/>
        </w:rPr>
      </w:pPr>
      <w:r>
        <w:rPr>
          <w:rFonts w:ascii="微软雅黑" w:hAnsi="微软雅黑" w:eastAsia="微软雅黑" w:cs="微软雅黑"/>
          <w:color w:val="231F20"/>
          <w:spacing w:val="9"/>
          <w:sz w:val="22"/>
          <w:szCs w:val="22"/>
        </w:rPr>
        <w:t>数据标准管理、数据质量管理、主数据管理、数据安全管理、元数据管理、数据开发管理等活</w:t>
      </w:r>
      <w:r>
        <w:rPr>
          <w:rFonts w:ascii="微软雅黑" w:hAnsi="微软雅黑" w:eastAsia="微软雅黑" w:cs="微软雅黑"/>
          <w:color w:val="231F20"/>
          <w:spacing w:val="8"/>
          <w:sz w:val="22"/>
          <w:szCs w:val="22"/>
        </w:rPr>
        <w:t xml:space="preserve"> </w:t>
      </w:r>
      <w:r>
        <w:rPr>
          <w:rFonts w:ascii="微软雅黑" w:hAnsi="微软雅黑" w:eastAsia="微软雅黑" w:cs="微软雅黑"/>
          <w:color w:val="231F20"/>
          <w:spacing w:val="1"/>
          <w:sz w:val="22"/>
          <w:szCs w:val="22"/>
        </w:rPr>
        <w:t>动职能。</w:t>
      </w:r>
    </w:p>
    <w:p w14:paraId="256FFF9A">
      <w:pPr>
        <w:spacing w:before="49" w:line="291" w:lineRule="auto"/>
        <w:ind w:left="246" w:right="2" w:firstLine="482"/>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 xml:space="preserve">数据资产化通过将数据资源转变为数据资产，使数据资源的潜在价值得以充分释放。数据资 </w:t>
      </w:r>
      <w:r>
        <w:rPr>
          <w:rFonts w:ascii="微软雅黑" w:hAnsi="微软雅黑" w:eastAsia="微软雅黑" w:cs="微软雅黑"/>
          <w:color w:val="231F20"/>
          <w:spacing w:val="4"/>
          <w:sz w:val="22"/>
          <w:szCs w:val="22"/>
        </w:rPr>
        <w:t>产化以扩大数据资产的应用范围、显性化数据资产的成本与效益为工作重点，</w:t>
      </w:r>
      <w:r>
        <w:rPr>
          <w:rFonts w:ascii="微软雅黑" w:hAnsi="微软雅黑" w:eastAsia="微软雅黑" w:cs="微软雅黑"/>
          <w:color w:val="231F20"/>
          <w:spacing w:val="3"/>
          <w:sz w:val="22"/>
          <w:szCs w:val="22"/>
        </w:rPr>
        <w:t>并使数据供给端与</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数据消费端之间形成良性反馈闭环。数据资产化主要包括数据资产流通、数据资产运营、数</w:t>
      </w:r>
      <w:r>
        <w:rPr>
          <w:rFonts w:ascii="微软雅黑" w:hAnsi="微软雅黑" w:eastAsia="微软雅黑" w:cs="微软雅黑"/>
          <w:color w:val="231F20"/>
          <w:spacing w:val="3"/>
          <w:sz w:val="22"/>
          <w:szCs w:val="22"/>
        </w:rPr>
        <w:t>据价</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值评估等活动职能。需要说明的是，</w:t>
      </w:r>
      <w:r>
        <w:rPr>
          <w:rFonts w:ascii="微软雅黑" w:hAnsi="微软雅黑" w:eastAsia="微软雅黑" w:cs="微软雅黑"/>
          <w:color w:val="231F20"/>
          <w:spacing w:val="-31"/>
          <w:sz w:val="22"/>
          <w:szCs w:val="22"/>
        </w:rPr>
        <w:t xml:space="preserve"> </w:t>
      </w:r>
      <w:r>
        <w:rPr>
          <w:rFonts w:ascii="微软雅黑" w:hAnsi="微软雅黑" w:eastAsia="微软雅黑" w:cs="微软雅黑"/>
          <w:color w:val="231F20"/>
          <w:spacing w:val="3"/>
          <w:sz w:val="22"/>
          <w:szCs w:val="22"/>
        </w:rPr>
        <w:t>围绕“资产”管控开展资产认定、权益分配、价值评估等活</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动受组织外部影响因素较多（包括数据要素市场相</w:t>
      </w:r>
      <w:r>
        <w:rPr>
          <w:rFonts w:ascii="微软雅黑" w:hAnsi="微软雅黑" w:eastAsia="微软雅黑" w:cs="微软雅黑"/>
          <w:color w:val="231F20"/>
          <w:spacing w:val="-4"/>
          <w:sz w:val="22"/>
          <w:szCs w:val="22"/>
        </w:rPr>
        <w:t>关交易模式、市场机制、法律法规或政策等</w:t>
      </w:r>
      <w:r>
        <w:rPr>
          <w:rFonts w:ascii="微软雅黑" w:hAnsi="微软雅黑" w:eastAsia="微软雅黑" w:cs="微软雅黑"/>
          <w:color w:val="231F20"/>
          <w:spacing w:val="23"/>
          <w:sz w:val="22"/>
          <w:szCs w:val="22"/>
        </w:rPr>
        <w:t>），</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1"/>
          <w:sz w:val="22"/>
          <w:szCs w:val="22"/>
        </w:rPr>
        <w:t>本白皮书所定义的数据资产化强调其对于推动组织数据资产管理的作用。</w:t>
      </w:r>
    </w:p>
    <w:p w14:paraId="08314AC5">
      <w:pPr>
        <w:pStyle w:val="2"/>
        <w:spacing w:line="352" w:lineRule="auto"/>
      </w:pPr>
    </w:p>
    <w:p w14:paraId="074B1E06">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1"/>
          <w:sz w:val="28"/>
          <w:szCs w:val="28"/>
        </w:rPr>
        <w:t>( 四 ) 数据资产管理演进</w:t>
      </w:r>
    </w:p>
    <w:p w14:paraId="74DE4098">
      <w:pPr>
        <w:pStyle w:val="2"/>
        <w:spacing w:line="415" w:lineRule="auto"/>
      </w:pPr>
    </w:p>
    <w:p w14:paraId="62F89B7B">
      <w:pPr>
        <w:spacing w:before="103" w:line="178" w:lineRule="auto"/>
        <w:ind w:left="248"/>
        <w:rPr>
          <w:rFonts w:ascii="微软雅黑" w:hAnsi="微软雅黑" w:eastAsia="微软雅黑" w:cs="微软雅黑"/>
          <w:sz w:val="24"/>
          <w:szCs w:val="24"/>
        </w:rPr>
      </w:pPr>
      <w:r>
        <w:rPr>
          <w:rFonts w:ascii="微软雅黑" w:hAnsi="微软雅黑" w:eastAsia="微软雅黑" w:cs="微软雅黑"/>
          <w:color w:val="231F20"/>
          <w:spacing w:val="5"/>
          <w:sz w:val="24"/>
          <w:szCs w:val="24"/>
        </w:rPr>
        <w:t>1. 数据资产管理发展历程</w:t>
      </w:r>
    </w:p>
    <w:p w14:paraId="16A4480B">
      <w:pPr>
        <w:spacing w:before="133" w:line="292" w:lineRule="auto"/>
        <w:ind w:left="247" w:right="2" w:firstLine="481"/>
        <w:rPr>
          <w:rFonts w:ascii="微软雅黑" w:hAnsi="微软雅黑" w:eastAsia="微软雅黑" w:cs="微软雅黑"/>
          <w:sz w:val="22"/>
          <w:szCs w:val="22"/>
        </w:rPr>
      </w:pPr>
      <w:r>
        <w:rPr>
          <w:rFonts w:ascii="微软雅黑" w:hAnsi="微软雅黑" w:eastAsia="微软雅黑" w:cs="微软雅黑"/>
          <w:color w:val="231F20"/>
          <w:spacing w:val="9"/>
          <w:sz w:val="22"/>
          <w:szCs w:val="22"/>
        </w:rPr>
        <w:t>数据资产管理伴随着数据理念与技术的演变而不断发展。数据管理概念主</w:t>
      </w:r>
      <w:r>
        <w:rPr>
          <w:rFonts w:ascii="微软雅黑" w:hAnsi="微软雅黑" w:eastAsia="微软雅黑" w:cs="微软雅黑"/>
          <w:color w:val="231F20"/>
          <w:spacing w:val="8"/>
          <w:sz w:val="22"/>
          <w:szCs w:val="22"/>
        </w:rPr>
        <w:t>要诞生于上世纪</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八十年代，为方便存储和访问计算机系统中的数据，优化数据随机存储</w:t>
      </w:r>
      <w:r>
        <w:rPr>
          <w:rFonts w:ascii="微软雅黑" w:hAnsi="微软雅黑" w:eastAsia="微软雅黑" w:cs="微软雅黑"/>
          <w:color w:val="231F20"/>
          <w:spacing w:val="-2"/>
          <w:sz w:val="22"/>
          <w:szCs w:val="22"/>
        </w:rPr>
        <w:t>技术和数据库技术的使用，</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数据管理多从技术视角出发。信息化时代，数据被视为业务记录的主要载体，数据管理</w:t>
      </w:r>
      <w:r>
        <w:rPr>
          <w:rFonts w:ascii="微软雅黑" w:hAnsi="微软雅黑" w:eastAsia="微软雅黑" w:cs="微软雅黑"/>
          <w:color w:val="231F20"/>
          <w:spacing w:val="3"/>
          <w:sz w:val="22"/>
          <w:szCs w:val="22"/>
        </w:rPr>
        <w:t>与业务系</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 xml:space="preserve">统、管理系统（包括企业资源规划系统 </w:t>
      </w:r>
      <w:r>
        <w:rPr>
          <w:rFonts w:ascii="微软雅黑" w:hAnsi="微软雅黑" w:eastAsia="微软雅黑" w:cs="微软雅黑"/>
          <w:color w:val="231F20"/>
          <w:sz w:val="22"/>
          <w:szCs w:val="22"/>
        </w:rPr>
        <w:t>ERP</w:t>
      </w:r>
      <w:r>
        <w:rPr>
          <w:rFonts w:ascii="微软雅黑" w:hAnsi="微软雅黑" w:eastAsia="微软雅黑" w:cs="微软雅黑"/>
          <w:color w:val="231F20"/>
          <w:spacing w:val="3"/>
          <w:sz w:val="22"/>
          <w:szCs w:val="22"/>
        </w:rPr>
        <w:t xml:space="preserve">、自动办公系统 </w:t>
      </w:r>
      <w:r>
        <w:rPr>
          <w:rFonts w:ascii="微软雅黑" w:hAnsi="微软雅黑" w:eastAsia="微软雅黑" w:cs="微软雅黑"/>
          <w:color w:val="231F20"/>
          <w:sz w:val="22"/>
          <w:szCs w:val="22"/>
        </w:rPr>
        <w:t>OA</w:t>
      </w:r>
      <w:r>
        <w:rPr>
          <w:rFonts w:ascii="微软雅黑" w:hAnsi="微软雅黑" w:eastAsia="微软雅黑" w:cs="微软雅黑"/>
          <w:color w:val="231F20"/>
          <w:spacing w:val="3"/>
          <w:sz w:val="22"/>
          <w:szCs w:val="22"/>
        </w:rPr>
        <w:t xml:space="preserve">、管理信息系统 </w:t>
      </w:r>
      <w:r>
        <w:rPr>
          <w:rFonts w:ascii="微软雅黑" w:hAnsi="微软雅黑" w:eastAsia="微软雅黑" w:cs="微软雅黑"/>
          <w:color w:val="231F20"/>
          <w:sz w:val="22"/>
          <w:szCs w:val="22"/>
        </w:rPr>
        <w:t>MIS</w:t>
      </w:r>
      <w:r>
        <w:rPr>
          <w:rFonts w:ascii="微软雅黑" w:hAnsi="微软雅黑" w:eastAsia="微软雅黑" w:cs="微软雅黑"/>
          <w:color w:val="231F20"/>
          <w:spacing w:val="3"/>
          <w:sz w:val="22"/>
          <w:szCs w:val="22"/>
        </w:rPr>
        <w:t>、客户关系</w:t>
      </w:r>
      <w:r>
        <w:rPr>
          <w:rFonts w:ascii="微软雅黑" w:hAnsi="微软雅黑" w:eastAsia="微软雅黑" w:cs="微软雅黑"/>
          <w:color w:val="231F20"/>
          <w:spacing w:val="18"/>
          <w:sz w:val="22"/>
          <w:szCs w:val="22"/>
        </w:rPr>
        <w:t xml:space="preserve"> </w:t>
      </w:r>
      <w:r>
        <w:rPr>
          <w:rFonts w:ascii="微软雅黑" w:hAnsi="微软雅黑" w:eastAsia="微软雅黑" w:cs="微软雅黑"/>
          <w:color w:val="231F20"/>
          <w:spacing w:val="1"/>
          <w:sz w:val="22"/>
          <w:szCs w:val="22"/>
        </w:rPr>
        <w:t xml:space="preserve">管理系统 </w:t>
      </w:r>
      <w:r>
        <w:rPr>
          <w:rFonts w:ascii="微软雅黑" w:hAnsi="微软雅黑" w:eastAsia="微软雅黑" w:cs="微软雅黑"/>
          <w:color w:val="231F20"/>
          <w:sz w:val="22"/>
          <w:szCs w:val="22"/>
        </w:rPr>
        <w:t>CRM</w:t>
      </w:r>
      <w:r>
        <w:rPr>
          <w:rFonts w:ascii="微软雅黑" w:hAnsi="微软雅黑" w:eastAsia="微软雅黑" w:cs="微软雅黑"/>
          <w:color w:val="231F20"/>
          <w:spacing w:val="1"/>
          <w:sz w:val="22"/>
          <w:szCs w:val="22"/>
        </w:rPr>
        <w:t xml:space="preserve">、人力资源管理系统 </w:t>
      </w:r>
      <w:r>
        <w:rPr>
          <w:rFonts w:ascii="微软雅黑" w:hAnsi="微软雅黑" w:eastAsia="微软雅黑" w:cs="微软雅黑"/>
          <w:color w:val="231F20"/>
          <w:sz w:val="22"/>
          <w:szCs w:val="22"/>
        </w:rPr>
        <w:t>HRM</w:t>
      </w:r>
      <w:r>
        <w:rPr>
          <w:rFonts w:ascii="微软雅黑" w:hAnsi="微软雅黑" w:eastAsia="微软雅黑" w:cs="微软雅黑"/>
          <w:color w:val="231F20"/>
          <w:spacing w:val="1"/>
          <w:sz w:val="22"/>
          <w:szCs w:val="22"/>
        </w:rPr>
        <w:t xml:space="preserve"> 等）的建设和维护相结合，数据管理具备</w:t>
      </w:r>
      <w:r>
        <w:rPr>
          <w:rFonts w:ascii="微软雅黑" w:hAnsi="微软雅黑" w:eastAsia="微软雅黑" w:cs="微软雅黑"/>
          <w:color w:val="231F20"/>
          <w:sz w:val="22"/>
          <w:szCs w:val="22"/>
        </w:rPr>
        <w:t xml:space="preserve">一定的业务含 </w:t>
      </w:r>
      <w:r>
        <w:rPr>
          <w:rFonts w:ascii="微软雅黑" w:hAnsi="微软雅黑" w:eastAsia="微软雅黑" w:cs="微软雅黑"/>
          <w:color w:val="231F20"/>
          <w:spacing w:val="3"/>
          <w:sz w:val="22"/>
          <w:szCs w:val="22"/>
        </w:rPr>
        <w:t>义。大数据时代，</w:t>
      </w:r>
      <w:r>
        <w:rPr>
          <w:rFonts w:ascii="微软雅黑" w:hAnsi="微软雅黑" w:eastAsia="微软雅黑" w:cs="微软雅黑"/>
          <w:color w:val="231F20"/>
          <w:spacing w:val="-27"/>
          <w:sz w:val="22"/>
          <w:szCs w:val="22"/>
        </w:rPr>
        <w:t xml:space="preserve"> </w:t>
      </w:r>
      <w:r>
        <w:rPr>
          <w:rFonts w:ascii="微软雅黑" w:hAnsi="微软雅黑" w:eastAsia="微软雅黑" w:cs="微软雅黑"/>
          <w:color w:val="231F20"/>
          <w:spacing w:val="3"/>
          <w:sz w:val="22"/>
          <w:szCs w:val="22"/>
        </w:rPr>
        <w:t>随着数据规模持续增加以及技术成本投入下降，越来越多的组织搭建大数据平</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台，实现数据资源的集中存储和管理，组建数据管理团队，数据管理的</w:t>
      </w:r>
      <w:r>
        <w:rPr>
          <w:rFonts w:ascii="微软雅黑" w:hAnsi="微软雅黑" w:eastAsia="微软雅黑" w:cs="微软雅黑"/>
          <w:color w:val="231F20"/>
          <w:spacing w:val="-2"/>
          <w:sz w:val="22"/>
          <w:szCs w:val="22"/>
        </w:rPr>
        <w:t>重要性和必要性日益凸显，</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数据管理推动组织业务发展的作用逐步显现。数据要素化时代，数据作为资产的理念正</w:t>
      </w:r>
      <w:r>
        <w:rPr>
          <w:rFonts w:ascii="微软雅黑" w:hAnsi="微软雅黑" w:eastAsia="微软雅黑" w:cs="微软雅黑"/>
          <w:color w:val="231F20"/>
          <w:spacing w:val="3"/>
          <w:sz w:val="22"/>
          <w:szCs w:val="22"/>
        </w:rPr>
        <w:t>在共识，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数据管理演变为对数据资产的管理，以提升数据质量和保障数据安全为基础</w:t>
      </w:r>
      <w:r>
        <w:rPr>
          <w:rFonts w:ascii="微软雅黑" w:hAnsi="微软雅黑" w:eastAsia="微软雅黑" w:cs="微软雅黑"/>
          <w:color w:val="231F20"/>
          <w:spacing w:val="3"/>
          <w:sz w:val="22"/>
          <w:szCs w:val="22"/>
        </w:rPr>
        <w:t>要求，围绕数据全生</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命周期，统筹开展数据管理，以释放数据资产价值为核心目标，制定数据</w:t>
      </w:r>
      <w:r>
        <w:rPr>
          <w:rFonts w:ascii="微软雅黑" w:hAnsi="微软雅黑" w:eastAsia="微软雅黑" w:cs="微软雅黑"/>
          <w:color w:val="231F20"/>
          <w:spacing w:val="3"/>
          <w:sz w:val="22"/>
          <w:szCs w:val="22"/>
        </w:rPr>
        <w:t>赋能业务发展战略，持</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续运营数据资产。</w:t>
      </w:r>
    </w:p>
    <w:p w14:paraId="723A33CA">
      <w:pPr>
        <w:spacing w:before="16" w:line="286" w:lineRule="auto"/>
        <w:ind w:left="247" w:firstLine="481"/>
        <w:jc w:val="both"/>
        <w:rPr>
          <w:rFonts w:ascii="微软雅黑" w:hAnsi="微软雅黑" w:eastAsia="微软雅黑" w:cs="微软雅黑"/>
          <w:sz w:val="22"/>
          <w:szCs w:val="22"/>
        </w:rPr>
      </w:pPr>
      <w:r>
        <w:rPr>
          <w:rFonts w:ascii="微软雅黑" w:hAnsi="微软雅黑" w:eastAsia="微软雅黑" w:cs="微软雅黑"/>
          <w:color w:val="231F20"/>
          <w:spacing w:val="13"/>
          <w:sz w:val="22"/>
          <w:szCs w:val="22"/>
        </w:rPr>
        <w:t>数据资产管理的理论框架逐步成熟。</w:t>
      </w:r>
      <w:r>
        <w:rPr>
          <w:rFonts w:ascii="微软雅黑" w:hAnsi="微软雅黑" w:eastAsia="微软雅黑" w:cs="微软雅黑"/>
          <w:color w:val="231F20"/>
          <w:spacing w:val="-22"/>
          <w:sz w:val="22"/>
          <w:szCs w:val="22"/>
        </w:rPr>
        <w:t xml:space="preserve"> </w:t>
      </w:r>
      <w:r>
        <w:rPr>
          <w:rFonts w:ascii="微软雅黑" w:hAnsi="微软雅黑" w:eastAsia="微软雅黑" w:cs="微软雅黑"/>
          <w:color w:val="231F20"/>
          <w:spacing w:val="13"/>
          <w:sz w:val="22"/>
          <w:szCs w:val="22"/>
        </w:rPr>
        <w:t>国际上，麻省理工学院两位教授于 1988 年启动全</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6"/>
          <w:sz w:val="22"/>
          <w:szCs w:val="22"/>
        </w:rPr>
        <w:t>面数据质量管理计划（</w:t>
      </w:r>
      <w:r>
        <w:rPr>
          <w:rFonts w:ascii="微软雅黑" w:hAnsi="微软雅黑" w:eastAsia="微软雅黑" w:cs="微软雅黑"/>
          <w:color w:val="231F20"/>
          <w:sz w:val="22"/>
          <w:szCs w:val="22"/>
        </w:rPr>
        <w:t>TDQM</w:t>
      </w:r>
      <w:r>
        <w:rPr>
          <w:rFonts w:ascii="微软雅黑" w:hAnsi="微软雅黑" w:eastAsia="微软雅黑" w:cs="微软雅黑"/>
          <w:color w:val="231F20"/>
          <w:spacing w:val="-7"/>
          <w:sz w:val="22"/>
          <w:szCs w:val="22"/>
        </w:rPr>
        <w:t>）</w:t>
      </w:r>
      <w:r>
        <w:rPr>
          <w:rFonts w:ascii="微软雅黑" w:hAnsi="微软雅黑" w:eastAsia="微软雅黑" w:cs="微软雅黑"/>
          <w:color w:val="231F20"/>
          <w:spacing w:val="-24"/>
          <w:sz w:val="22"/>
          <w:szCs w:val="22"/>
        </w:rPr>
        <w:t xml:space="preserve"> </w:t>
      </w:r>
      <w:r>
        <w:rPr>
          <w:rFonts w:ascii="微软雅黑" w:hAnsi="微软雅黑" w:eastAsia="微软雅黑" w:cs="微软雅黑"/>
          <w:color w:val="231F20"/>
          <w:spacing w:val="-7"/>
          <w:sz w:val="22"/>
          <w:szCs w:val="22"/>
        </w:rPr>
        <w:t>，</w:t>
      </w:r>
      <w:r>
        <w:rPr>
          <w:rFonts w:ascii="微软雅黑" w:hAnsi="微软雅黑" w:eastAsia="微软雅黑" w:cs="微软雅黑"/>
          <w:color w:val="231F20"/>
          <w:spacing w:val="16"/>
          <w:sz w:val="22"/>
          <w:szCs w:val="22"/>
        </w:rPr>
        <w:t>提出了聚焦于质量管理的数据资产管理</w:t>
      </w:r>
      <w:r>
        <w:rPr>
          <w:rFonts w:ascii="微软雅黑" w:hAnsi="微软雅黑" w:eastAsia="微软雅黑" w:cs="微软雅黑"/>
          <w:color w:val="231F20"/>
          <w:spacing w:val="15"/>
          <w:sz w:val="22"/>
          <w:szCs w:val="22"/>
        </w:rPr>
        <w:t>框架。国际数据治</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理</w:t>
      </w:r>
      <w:r>
        <w:rPr>
          <w:rFonts w:ascii="微软雅黑" w:hAnsi="微软雅黑" w:eastAsia="微软雅黑" w:cs="微软雅黑"/>
          <w:color w:val="231F20"/>
          <w:spacing w:val="-33"/>
          <w:sz w:val="22"/>
          <w:szCs w:val="22"/>
        </w:rPr>
        <w:t xml:space="preserve"> </w:t>
      </w:r>
      <w:r>
        <w:rPr>
          <w:rFonts w:ascii="微软雅黑" w:hAnsi="微软雅黑" w:eastAsia="微软雅黑" w:cs="微软雅黑"/>
          <w:color w:val="231F20"/>
          <w:spacing w:val="-1"/>
          <w:sz w:val="22"/>
          <w:szCs w:val="22"/>
        </w:rPr>
        <w:t>研</w:t>
      </w:r>
      <w:r>
        <w:rPr>
          <w:rFonts w:ascii="微软雅黑" w:hAnsi="微软雅黑" w:eastAsia="微软雅黑" w:cs="微软雅黑"/>
          <w:color w:val="231F20"/>
          <w:spacing w:val="-31"/>
          <w:sz w:val="22"/>
          <w:szCs w:val="22"/>
        </w:rPr>
        <w:t xml:space="preserve"> </w:t>
      </w:r>
      <w:r>
        <w:rPr>
          <w:rFonts w:ascii="微软雅黑" w:hAnsi="微软雅黑" w:eastAsia="微软雅黑" w:cs="微软雅黑"/>
          <w:color w:val="231F20"/>
          <w:spacing w:val="-1"/>
          <w:sz w:val="22"/>
          <w:szCs w:val="22"/>
        </w:rPr>
        <w:t>究</w:t>
      </w:r>
      <w:r>
        <w:rPr>
          <w:rFonts w:ascii="微软雅黑" w:hAnsi="微软雅黑" w:eastAsia="微软雅黑" w:cs="微软雅黑"/>
          <w:color w:val="231F20"/>
          <w:spacing w:val="-34"/>
          <w:sz w:val="22"/>
          <w:szCs w:val="22"/>
        </w:rPr>
        <w:t xml:space="preserve"> </w:t>
      </w:r>
      <w:r>
        <w:rPr>
          <w:rFonts w:ascii="微软雅黑" w:hAnsi="微软雅黑" w:eastAsia="微软雅黑" w:cs="微软雅黑"/>
          <w:color w:val="231F20"/>
          <w:spacing w:val="-1"/>
          <w:sz w:val="22"/>
          <w:szCs w:val="22"/>
        </w:rPr>
        <w:t>所（The</w:t>
      </w:r>
      <w:r>
        <w:rPr>
          <w:rFonts w:ascii="微软雅黑" w:hAnsi="微软雅黑" w:eastAsia="微软雅黑" w:cs="微软雅黑"/>
          <w:color w:val="231F20"/>
          <w:spacing w:val="34"/>
          <w:sz w:val="22"/>
          <w:szCs w:val="22"/>
        </w:rPr>
        <w:t xml:space="preserve"> </w:t>
      </w:r>
      <w:r>
        <w:rPr>
          <w:rFonts w:ascii="微软雅黑" w:hAnsi="微软雅黑" w:eastAsia="微软雅黑" w:cs="微软雅黑"/>
          <w:color w:val="231F20"/>
          <w:spacing w:val="-1"/>
          <w:sz w:val="22"/>
          <w:szCs w:val="22"/>
        </w:rPr>
        <w:t>Data</w:t>
      </w:r>
      <w:r>
        <w:rPr>
          <w:rFonts w:ascii="微软雅黑" w:hAnsi="微软雅黑" w:eastAsia="微软雅黑" w:cs="微软雅黑"/>
          <w:color w:val="231F20"/>
          <w:spacing w:val="29"/>
          <w:w w:val="101"/>
          <w:sz w:val="22"/>
          <w:szCs w:val="22"/>
        </w:rPr>
        <w:t xml:space="preserve"> </w:t>
      </w:r>
      <w:r>
        <w:rPr>
          <w:rFonts w:ascii="微软雅黑" w:hAnsi="微软雅黑" w:eastAsia="微软雅黑" w:cs="微软雅黑"/>
          <w:color w:val="231F20"/>
          <w:spacing w:val="-1"/>
          <w:sz w:val="22"/>
          <w:szCs w:val="22"/>
        </w:rPr>
        <w:t>Governance</w:t>
      </w:r>
      <w:r>
        <w:rPr>
          <w:rFonts w:ascii="微软雅黑" w:hAnsi="微软雅黑" w:eastAsia="微软雅黑" w:cs="微软雅黑"/>
          <w:color w:val="231F20"/>
          <w:spacing w:val="38"/>
          <w:sz w:val="22"/>
          <w:szCs w:val="22"/>
        </w:rPr>
        <w:t xml:space="preserve"> </w:t>
      </w:r>
      <w:r>
        <w:rPr>
          <w:rFonts w:ascii="微软雅黑" w:hAnsi="微软雅黑" w:eastAsia="微软雅黑" w:cs="微软雅黑"/>
          <w:color w:val="231F20"/>
          <w:spacing w:val="-1"/>
          <w:sz w:val="22"/>
          <w:szCs w:val="22"/>
        </w:rPr>
        <w:t>Institute，DGI）</w:t>
      </w:r>
      <w:r>
        <w:rPr>
          <w:rFonts w:ascii="微软雅黑" w:hAnsi="微软雅黑" w:eastAsia="微软雅黑" w:cs="微软雅黑"/>
          <w:color w:val="231F20"/>
          <w:spacing w:val="-17"/>
          <w:sz w:val="22"/>
          <w:szCs w:val="22"/>
        </w:rPr>
        <w:t xml:space="preserve"> </w:t>
      </w:r>
      <w:r>
        <w:rPr>
          <w:rFonts w:ascii="微软雅黑" w:hAnsi="微软雅黑" w:eastAsia="微软雅黑" w:cs="微软雅黑"/>
          <w:color w:val="231F20"/>
          <w:spacing w:val="-1"/>
          <w:sz w:val="22"/>
          <w:szCs w:val="22"/>
        </w:rPr>
        <w:t>于 2004 年</w:t>
      </w:r>
      <w:r>
        <w:rPr>
          <w:rFonts w:ascii="微软雅黑" w:hAnsi="微软雅黑" w:eastAsia="微软雅黑" w:cs="微软雅黑"/>
          <w:color w:val="231F20"/>
          <w:spacing w:val="-34"/>
          <w:sz w:val="22"/>
          <w:szCs w:val="22"/>
        </w:rPr>
        <w:t xml:space="preserve"> </w:t>
      </w:r>
      <w:r>
        <w:rPr>
          <w:rFonts w:ascii="微软雅黑" w:hAnsi="微软雅黑" w:eastAsia="微软雅黑" w:cs="微软雅黑"/>
          <w:color w:val="231F20"/>
          <w:spacing w:val="-1"/>
          <w:sz w:val="22"/>
          <w:szCs w:val="22"/>
        </w:rPr>
        <w:t>提</w:t>
      </w:r>
      <w:r>
        <w:rPr>
          <w:rFonts w:ascii="微软雅黑" w:hAnsi="微软雅黑" w:eastAsia="微软雅黑" w:cs="微软雅黑"/>
          <w:color w:val="231F20"/>
          <w:spacing w:val="-16"/>
          <w:sz w:val="22"/>
          <w:szCs w:val="22"/>
        </w:rPr>
        <w:t xml:space="preserve"> </w:t>
      </w:r>
      <w:r>
        <w:rPr>
          <w:rFonts w:ascii="微软雅黑" w:hAnsi="微软雅黑" w:eastAsia="微软雅黑" w:cs="微软雅黑"/>
          <w:color w:val="231F20"/>
          <w:spacing w:val="-1"/>
          <w:sz w:val="22"/>
          <w:szCs w:val="22"/>
        </w:rPr>
        <w:t>出</w:t>
      </w:r>
      <w:r>
        <w:rPr>
          <w:rFonts w:ascii="微软雅黑" w:hAnsi="微软雅黑" w:eastAsia="微软雅黑" w:cs="微软雅黑"/>
          <w:color w:val="231F20"/>
          <w:spacing w:val="-25"/>
          <w:sz w:val="22"/>
          <w:szCs w:val="22"/>
        </w:rPr>
        <w:t xml:space="preserve"> </w:t>
      </w:r>
      <w:r>
        <w:rPr>
          <w:rFonts w:ascii="微软雅黑" w:hAnsi="微软雅黑" w:eastAsia="微软雅黑" w:cs="微软雅黑"/>
          <w:color w:val="231F20"/>
          <w:spacing w:val="-1"/>
          <w:sz w:val="22"/>
          <w:szCs w:val="22"/>
        </w:rPr>
        <w:t>了</w:t>
      </w:r>
      <w:r>
        <w:rPr>
          <w:rFonts w:ascii="微软雅黑" w:hAnsi="微软雅黑" w:eastAsia="微软雅黑" w:cs="微软雅黑"/>
          <w:color w:val="231F20"/>
          <w:spacing w:val="-32"/>
          <w:sz w:val="22"/>
          <w:szCs w:val="22"/>
        </w:rPr>
        <w:t xml:space="preserve"> </w:t>
      </w:r>
      <w:r>
        <w:rPr>
          <w:rFonts w:ascii="微软雅黑" w:hAnsi="微软雅黑" w:eastAsia="微软雅黑" w:cs="微软雅黑"/>
          <w:color w:val="231F20"/>
          <w:spacing w:val="-2"/>
          <w:sz w:val="22"/>
          <w:szCs w:val="22"/>
        </w:rPr>
        <w:t>数</w:t>
      </w:r>
      <w:r>
        <w:rPr>
          <w:rFonts w:ascii="微软雅黑" w:hAnsi="微软雅黑" w:eastAsia="微软雅黑" w:cs="微软雅黑"/>
          <w:color w:val="231F20"/>
          <w:spacing w:val="-33"/>
          <w:sz w:val="22"/>
          <w:szCs w:val="22"/>
        </w:rPr>
        <w:t xml:space="preserve"> </w:t>
      </w:r>
      <w:r>
        <w:rPr>
          <w:rFonts w:ascii="微软雅黑" w:hAnsi="微软雅黑" w:eastAsia="微软雅黑" w:cs="微软雅黑"/>
          <w:color w:val="231F20"/>
          <w:spacing w:val="-2"/>
          <w:sz w:val="22"/>
          <w:szCs w:val="22"/>
        </w:rPr>
        <w:t>据</w:t>
      </w:r>
      <w:r>
        <w:rPr>
          <w:rFonts w:ascii="微软雅黑" w:hAnsi="微软雅黑" w:eastAsia="微软雅黑" w:cs="微软雅黑"/>
          <w:color w:val="231F20"/>
          <w:spacing w:val="-32"/>
          <w:sz w:val="22"/>
          <w:szCs w:val="22"/>
        </w:rPr>
        <w:t xml:space="preserve"> </w:t>
      </w:r>
      <w:r>
        <w:rPr>
          <w:rFonts w:ascii="微软雅黑" w:hAnsi="微软雅黑" w:eastAsia="微软雅黑" w:cs="微软雅黑"/>
          <w:color w:val="231F20"/>
          <w:spacing w:val="-2"/>
          <w:sz w:val="22"/>
          <w:szCs w:val="22"/>
        </w:rPr>
        <w:t>治</w:t>
      </w:r>
      <w:r>
        <w:rPr>
          <w:rFonts w:ascii="微软雅黑" w:hAnsi="微软雅黑" w:eastAsia="微软雅黑" w:cs="微软雅黑"/>
          <w:color w:val="231F20"/>
          <w:spacing w:val="-33"/>
          <w:sz w:val="22"/>
          <w:szCs w:val="22"/>
        </w:rPr>
        <w:t xml:space="preserve"> </w:t>
      </w:r>
      <w:r>
        <w:rPr>
          <w:rFonts w:ascii="微软雅黑" w:hAnsi="微软雅黑" w:eastAsia="微软雅黑" w:cs="微软雅黑"/>
          <w:color w:val="231F20"/>
          <w:spacing w:val="-2"/>
          <w:sz w:val="22"/>
          <w:szCs w:val="22"/>
        </w:rPr>
        <w:t>理</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pacing w:val="-2"/>
          <w:sz w:val="22"/>
          <w:szCs w:val="22"/>
        </w:rPr>
        <w:t>框</w:t>
      </w:r>
      <w:r>
        <w:rPr>
          <w:rFonts w:ascii="微软雅黑" w:hAnsi="微软雅黑" w:eastAsia="微软雅黑" w:cs="微软雅黑"/>
          <w:color w:val="231F20"/>
          <w:spacing w:val="-31"/>
          <w:sz w:val="22"/>
          <w:szCs w:val="22"/>
        </w:rPr>
        <w:t xml:space="preserve"> </w:t>
      </w:r>
      <w:r>
        <w:rPr>
          <w:rFonts w:ascii="微软雅黑" w:hAnsi="微软雅黑" w:eastAsia="微软雅黑" w:cs="微软雅黑"/>
          <w:color w:val="231F20"/>
          <w:spacing w:val="-2"/>
          <w:sz w:val="22"/>
          <w:szCs w:val="22"/>
        </w:rPr>
        <w:t>架（Data</w:t>
      </w:r>
      <w:r>
        <w:rPr>
          <w:rFonts w:ascii="微软雅黑" w:hAnsi="微软雅黑" w:eastAsia="微软雅黑" w:cs="微软雅黑"/>
          <w:color w:val="231F20"/>
          <w:sz w:val="22"/>
          <w:szCs w:val="22"/>
        </w:rPr>
        <w:t xml:space="preserve"> Governance</w:t>
      </w:r>
      <w:r>
        <w:rPr>
          <w:rFonts w:ascii="微软雅黑" w:hAnsi="微软雅黑" w:eastAsia="微软雅黑" w:cs="微软雅黑"/>
          <w:color w:val="231F20"/>
          <w:spacing w:val="36"/>
          <w:sz w:val="22"/>
          <w:szCs w:val="22"/>
        </w:rPr>
        <w:t xml:space="preserve"> </w:t>
      </w:r>
      <w:r>
        <w:rPr>
          <w:rFonts w:ascii="微软雅黑" w:hAnsi="微软雅黑" w:eastAsia="微软雅黑" w:cs="微软雅黑"/>
          <w:color w:val="231F20"/>
          <w:sz w:val="22"/>
          <w:szCs w:val="22"/>
        </w:rPr>
        <w:t>Institute</w:t>
      </w:r>
      <w:r>
        <w:rPr>
          <w:rFonts w:ascii="微软雅黑" w:hAnsi="微软雅黑" w:eastAsia="微软雅黑" w:cs="微软雅黑"/>
          <w:color w:val="231F20"/>
          <w:spacing w:val="2"/>
          <w:sz w:val="22"/>
          <w:szCs w:val="22"/>
        </w:rPr>
        <w:t>,</w:t>
      </w:r>
      <w:r>
        <w:rPr>
          <w:rFonts w:ascii="微软雅黑" w:hAnsi="微软雅黑" w:eastAsia="微软雅黑" w:cs="微软雅黑"/>
          <w:color w:val="231F20"/>
          <w:spacing w:val="33"/>
          <w:sz w:val="22"/>
          <w:szCs w:val="22"/>
        </w:rPr>
        <w:t xml:space="preserve"> </w:t>
      </w:r>
      <w:r>
        <w:rPr>
          <w:rFonts w:ascii="微软雅黑" w:hAnsi="微软雅黑" w:eastAsia="微软雅黑" w:cs="微软雅黑"/>
          <w:color w:val="231F20"/>
          <w:sz w:val="22"/>
          <w:szCs w:val="22"/>
        </w:rPr>
        <w:t>DGI</w:t>
      </w:r>
      <w:r>
        <w:rPr>
          <w:rFonts w:ascii="微软雅黑" w:hAnsi="微软雅黑" w:eastAsia="微软雅黑" w:cs="微软雅黑"/>
          <w:color w:val="231F20"/>
          <w:spacing w:val="4"/>
          <w:sz w:val="22"/>
          <w:szCs w:val="22"/>
        </w:rPr>
        <w:t>），</w:t>
      </w:r>
      <w:r>
        <w:rPr>
          <w:rFonts w:ascii="微软雅黑" w:hAnsi="微软雅黑" w:eastAsia="微软雅黑" w:cs="微软雅黑"/>
          <w:color w:val="231F20"/>
          <w:spacing w:val="2"/>
          <w:sz w:val="22"/>
          <w:szCs w:val="22"/>
        </w:rPr>
        <w:t>国际数据管理协会（</w:t>
      </w:r>
      <w:r>
        <w:rPr>
          <w:rFonts w:ascii="微软雅黑" w:hAnsi="微软雅黑" w:eastAsia="微软雅黑" w:cs="微软雅黑"/>
          <w:color w:val="231F20"/>
          <w:sz w:val="22"/>
          <w:szCs w:val="22"/>
        </w:rPr>
        <w:t>DAMA</w:t>
      </w:r>
      <w:r>
        <w:rPr>
          <w:rFonts w:ascii="微软雅黑" w:hAnsi="微软雅黑" w:eastAsia="微软雅黑" w:cs="微软雅黑"/>
          <w:color w:val="231F20"/>
          <w:spacing w:val="2"/>
          <w:sz w:val="22"/>
          <w:szCs w:val="22"/>
        </w:rPr>
        <w:t>，</w:t>
      </w:r>
      <w:r>
        <w:rPr>
          <w:rFonts w:ascii="微软雅黑" w:hAnsi="微软雅黑" w:eastAsia="微软雅黑" w:cs="微软雅黑"/>
          <w:color w:val="231F20"/>
          <w:sz w:val="22"/>
          <w:szCs w:val="22"/>
        </w:rPr>
        <w:t>Data</w:t>
      </w:r>
      <w:r>
        <w:rPr>
          <w:rFonts w:ascii="微软雅黑" w:hAnsi="微软雅黑" w:eastAsia="微软雅黑" w:cs="微软雅黑"/>
          <w:color w:val="231F20"/>
          <w:spacing w:val="34"/>
          <w:sz w:val="22"/>
          <w:szCs w:val="22"/>
        </w:rPr>
        <w:t xml:space="preserve"> </w:t>
      </w:r>
      <w:r>
        <w:rPr>
          <w:rFonts w:ascii="微软雅黑" w:hAnsi="微软雅黑" w:eastAsia="微软雅黑" w:cs="微软雅黑"/>
          <w:color w:val="231F20"/>
          <w:sz w:val="22"/>
          <w:szCs w:val="22"/>
        </w:rPr>
        <w:t>Management</w:t>
      </w:r>
      <w:r>
        <w:rPr>
          <w:rFonts w:ascii="微软雅黑" w:hAnsi="微软雅黑" w:eastAsia="微软雅黑" w:cs="微软雅黑"/>
          <w:color w:val="231F20"/>
          <w:spacing w:val="2"/>
          <w:sz w:val="22"/>
          <w:szCs w:val="22"/>
        </w:rPr>
        <w:t xml:space="preserve"> </w:t>
      </w:r>
      <w:r>
        <w:rPr>
          <w:rFonts w:ascii="微软雅黑" w:hAnsi="微软雅黑" w:eastAsia="微软雅黑" w:cs="微软雅黑"/>
          <w:color w:val="231F20"/>
          <w:sz w:val="22"/>
          <w:szCs w:val="22"/>
        </w:rPr>
        <w:t>Association</w:t>
      </w:r>
    </w:p>
    <w:p w14:paraId="5CFF1D02">
      <w:pPr>
        <w:pStyle w:val="2"/>
        <w:spacing w:line="299" w:lineRule="auto"/>
      </w:pPr>
    </w:p>
    <w:p w14:paraId="59033849">
      <w:pPr>
        <w:spacing w:before="78" w:line="212" w:lineRule="auto"/>
        <w:ind w:left="5513"/>
        <w:rPr>
          <w:rFonts w:hint="eastAsia" w:ascii="宋体" w:hAnsi="宋体" w:eastAsia="宋体" w:cs="宋体"/>
          <w:sz w:val="24"/>
          <w:szCs w:val="24"/>
          <w:lang w:eastAsia="zh-CN"/>
        </w:rPr>
      </w:pPr>
      <w:r>
        <w:pict>
          <v:shape id="_x0000_s1062" o:spid="_x0000_s1062" o:spt="202" type="#_x0000_t202" style="position:absolute;left:0pt;margin-left:244pt;margin-top:-1.75pt;height:11.3pt;width:7.2pt;z-index:251693056;mso-width-relative:page;mso-height-relative:page;" filled="f" stroked="f" coordsize="21600,21600">
            <v:path/>
            <v:fill on="f" focussize="0,0"/>
            <v:stroke on="f"/>
            <v:imagedata o:title=""/>
            <o:lock v:ext="edit" aspectratio="f"/>
            <v:textbox inset="0mm,0mm,0mm,0mm">
              <w:txbxContent>
                <w:p w14:paraId="1EA8FD49">
                  <w:pPr>
                    <w:pStyle w:val="2"/>
                    <w:spacing w:before="20" w:line="194" w:lineRule="auto"/>
                    <w:ind w:left="20"/>
                    <w:rPr>
                      <w:sz w:val="20"/>
                      <w:szCs w:val="20"/>
                    </w:rPr>
                  </w:pPr>
                  <w:r>
                    <w:rPr>
                      <w:color w:val="231F20"/>
                      <w:sz w:val="20"/>
                      <w:szCs w:val="20"/>
                    </w:rPr>
                    <w:t>6</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428064E3">
      <w:pPr>
        <w:spacing w:line="212" w:lineRule="auto"/>
        <w:rPr>
          <w:rFonts w:ascii="宋体" w:hAnsi="宋体" w:eastAsia="宋体" w:cs="宋体"/>
          <w:sz w:val="24"/>
          <w:szCs w:val="24"/>
        </w:rPr>
        <w:sectPr>
          <w:pgSz w:w="11906" w:h="16158"/>
          <w:pgMar w:top="400" w:right="1244" w:bottom="400" w:left="1004" w:header="0" w:footer="0" w:gutter="0"/>
          <w:cols w:space="720" w:num="1"/>
        </w:sectPr>
      </w:pPr>
    </w:p>
    <w:p w14:paraId="1C67A47C">
      <w:pPr>
        <w:pStyle w:val="2"/>
        <w:spacing w:line="349" w:lineRule="auto"/>
      </w:pPr>
    </w:p>
    <w:p w14:paraId="66469BD7">
      <w:pPr>
        <w:pStyle w:val="2"/>
        <w:spacing w:line="350" w:lineRule="auto"/>
      </w:pPr>
    </w:p>
    <w:p w14:paraId="5056BB17">
      <w:pPr>
        <w:spacing w:before="80" w:line="182" w:lineRule="auto"/>
        <w:rPr>
          <w:rFonts w:ascii="Segoe UI" w:hAnsi="Segoe UI" w:eastAsia="Segoe UI" w:cs="Segoe UI"/>
          <w:sz w:val="24"/>
          <w:szCs w:val="24"/>
        </w:rPr>
      </w:pPr>
      <w:r>
        <w:rPr>
          <w:rFonts w:ascii="Segoe UI" w:hAnsi="Segoe UI" w:eastAsia="Segoe UI" w:cs="Segoe UI"/>
          <w:b/>
          <w:bCs/>
          <w:color w:val="648676"/>
          <w:spacing w:val="29"/>
          <w:w w:val="108"/>
          <w:sz w:val="24"/>
          <w:szCs w:val="24"/>
        </w:rPr>
        <w:t>CHAPTER -1</w:t>
      </w:r>
    </w:p>
    <w:p w14:paraId="362C1C2E">
      <w:pPr>
        <w:spacing w:before="55" w:line="178" w:lineRule="auto"/>
        <w:ind w:left="422"/>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数据资产管理概述</w:t>
      </w:r>
    </w:p>
    <w:p w14:paraId="3E68CEA9">
      <w:pPr>
        <w:pStyle w:val="2"/>
        <w:spacing w:line="289" w:lineRule="auto"/>
      </w:pPr>
    </w:p>
    <w:p w14:paraId="13031E8B">
      <w:pPr>
        <w:pStyle w:val="2"/>
        <w:spacing w:line="290" w:lineRule="auto"/>
      </w:pPr>
    </w:p>
    <w:p w14:paraId="194490C3">
      <w:pPr>
        <w:pStyle w:val="2"/>
        <w:spacing w:line="290" w:lineRule="auto"/>
      </w:pPr>
    </w:p>
    <w:p w14:paraId="7220A356">
      <w:pPr>
        <w:spacing w:before="94" w:line="291" w:lineRule="auto"/>
        <w:ind w:left="247" w:firstLine="17"/>
        <w:jc w:val="both"/>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International）于 2009 年发布了数据管理知识体系</w:t>
      </w:r>
      <w:r>
        <w:rPr>
          <w:rFonts w:ascii="微软雅黑" w:hAnsi="微软雅黑" w:eastAsia="微软雅黑" w:cs="微软雅黑"/>
          <w:color w:val="231F20"/>
          <w:spacing w:val="-10"/>
          <w:sz w:val="22"/>
          <w:szCs w:val="22"/>
        </w:rPr>
        <w:t xml:space="preserve"> </w:t>
      </w:r>
      <w:r>
        <w:rPr>
          <w:rFonts w:ascii="微软雅黑" w:hAnsi="微软雅黑" w:eastAsia="微软雅黑" w:cs="微软雅黑"/>
          <w:color w:val="231F20"/>
          <w:spacing w:val="-4"/>
          <w:position w:val="10"/>
          <w:sz w:val="12"/>
          <w:szCs w:val="12"/>
        </w:rPr>
        <w:t>1</w:t>
      </w:r>
      <w:r>
        <w:rPr>
          <w:rFonts w:ascii="微软雅黑" w:hAnsi="微软雅黑" w:eastAsia="微软雅黑" w:cs="微软雅黑"/>
          <w:color w:val="231F20"/>
          <w:spacing w:val="-4"/>
          <w:sz w:val="22"/>
          <w:szCs w:val="22"/>
        </w:rPr>
        <w:t>，并于 2017</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pacing w:val="-4"/>
          <w:sz w:val="22"/>
          <w:szCs w:val="22"/>
        </w:rPr>
        <w:t>年对数据管理模型进行了更新</w:t>
      </w:r>
      <w:r>
        <w:rPr>
          <w:rFonts w:ascii="微软雅黑" w:hAnsi="微软雅黑" w:eastAsia="微软雅黑" w:cs="微软雅黑"/>
          <w:color w:val="231F20"/>
          <w:spacing w:val="-15"/>
          <w:sz w:val="22"/>
          <w:szCs w:val="22"/>
        </w:rPr>
        <w:t xml:space="preserve"> </w:t>
      </w:r>
      <w:r>
        <w:rPr>
          <w:rFonts w:ascii="微软雅黑" w:hAnsi="微软雅黑" w:eastAsia="微软雅黑" w:cs="微软雅黑"/>
          <w:color w:val="231F20"/>
          <w:spacing w:val="-4"/>
          <w:position w:val="10"/>
          <w:sz w:val="12"/>
          <w:szCs w:val="12"/>
        </w:rPr>
        <w:t>2</w:t>
      </w:r>
      <w:r>
        <w:rPr>
          <w:rFonts w:ascii="微软雅黑" w:hAnsi="微软雅黑" w:eastAsia="微软雅黑" w:cs="微软雅黑"/>
          <w:color w:val="231F20"/>
          <w:spacing w:val="-12"/>
          <w:position w:val="10"/>
          <w:sz w:val="12"/>
          <w:szCs w:val="12"/>
        </w:rPr>
        <w:t xml:space="preserve"> </w:t>
      </w:r>
      <w:r>
        <w:rPr>
          <w:rFonts w:ascii="微软雅黑" w:hAnsi="微软雅黑" w:eastAsia="微软雅黑" w:cs="微软雅黑"/>
          <w:color w:val="231F20"/>
          <w:spacing w:val="-4"/>
          <w:sz w:val="22"/>
          <w:szCs w:val="22"/>
        </w:rPr>
        <w:t>。</w:t>
      </w:r>
      <w:r>
        <w:rPr>
          <w:rFonts w:ascii="微软雅黑" w:hAnsi="微软雅黑" w:eastAsia="微软雅黑" w:cs="微软雅黑"/>
          <w:color w:val="231F20"/>
          <w:sz w:val="22"/>
          <w:szCs w:val="22"/>
        </w:rPr>
        <w:t xml:space="preserve"> 此外，Gartner、IBM 等企业纷纷提出了数据管理能力评价模型。我国于 2018 年发布《数</w:t>
      </w:r>
      <w:r>
        <w:rPr>
          <w:rFonts w:ascii="微软雅黑" w:hAnsi="微软雅黑" w:eastAsia="微软雅黑" w:cs="微软雅黑"/>
          <w:color w:val="231F20"/>
          <w:spacing w:val="-1"/>
          <w:sz w:val="22"/>
          <w:szCs w:val="22"/>
        </w:rPr>
        <w:t>据管理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5"/>
          <w:sz w:val="22"/>
          <w:szCs w:val="22"/>
        </w:rPr>
        <w:t>能力成熟度评估模型》（GB/T 36073-3018）国家标准，成为国内数据管理领域的第</w:t>
      </w:r>
      <w:r>
        <w:rPr>
          <w:rFonts w:ascii="微软雅黑" w:hAnsi="微软雅黑" w:eastAsia="微软雅黑" w:cs="微软雅黑"/>
          <w:color w:val="231F20"/>
          <w:spacing w:val="-6"/>
          <w:sz w:val="22"/>
          <w:szCs w:val="22"/>
        </w:rPr>
        <w:t>一个国家标准，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相对全面的定义了数据管理活动框架，包含 8 个能力域、28 个能力项。</w:t>
      </w:r>
    </w:p>
    <w:p w14:paraId="2BB85518">
      <w:pPr>
        <w:spacing w:before="17" w:line="289" w:lineRule="auto"/>
        <w:ind w:left="248" w:right="95" w:firstLine="481"/>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整体来看，目前主要的数据管理理论框架之间有很强的相似性，主要从数据管理的技术侧或</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管理侧出发，明确数据管理的活动职能和管理手段，并按照一定标准对组织的数据能力</w:t>
      </w:r>
      <w:r>
        <w:rPr>
          <w:rFonts w:ascii="微软雅黑" w:hAnsi="微软雅黑" w:eastAsia="微软雅黑" w:cs="微软雅黑"/>
          <w:color w:val="231F20"/>
          <w:spacing w:val="3"/>
          <w:sz w:val="22"/>
          <w:szCs w:val="22"/>
        </w:rPr>
        <w:t>进行等级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评定。但是，多数框架未强调数据资产价值性，忽略了数据资产价值实现路径。</w:t>
      </w:r>
    </w:p>
    <w:p w14:paraId="6CE8C965">
      <w:pPr>
        <w:pStyle w:val="2"/>
        <w:spacing w:line="384" w:lineRule="auto"/>
      </w:pPr>
    </w:p>
    <w:p w14:paraId="4ABF950E">
      <w:pPr>
        <w:spacing w:before="103" w:line="178" w:lineRule="auto"/>
        <w:ind w:left="251"/>
        <w:rPr>
          <w:rFonts w:ascii="微软雅黑" w:hAnsi="微软雅黑" w:eastAsia="微软雅黑" w:cs="微软雅黑"/>
          <w:sz w:val="24"/>
          <w:szCs w:val="24"/>
        </w:rPr>
      </w:pPr>
      <w:r>
        <w:rPr>
          <w:rFonts w:ascii="微软雅黑" w:hAnsi="微软雅黑" w:eastAsia="微软雅黑" w:cs="微软雅黑"/>
          <w:color w:val="231F20"/>
          <w:spacing w:val="2"/>
          <w:sz w:val="24"/>
          <w:szCs w:val="24"/>
        </w:rPr>
        <w:t>2. 数据资产管理发展现状</w:t>
      </w:r>
    </w:p>
    <w:p w14:paraId="10159DE4">
      <w:pPr>
        <w:spacing w:before="142" w:line="287" w:lineRule="auto"/>
        <w:ind w:left="248" w:right="100" w:firstLine="479"/>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根据《数据管理能力成熟度评估模型》（以下简称“</w:t>
      </w:r>
      <w:r>
        <w:rPr>
          <w:rFonts w:ascii="微软雅黑" w:hAnsi="微软雅黑" w:eastAsia="微软雅黑" w:cs="微软雅黑"/>
          <w:color w:val="231F20"/>
          <w:sz w:val="22"/>
          <w:szCs w:val="22"/>
        </w:rPr>
        <w:t>DCMM</w:t>
      </w:r>
      <w:r>
        <w:rPr>
          <w:rFonts w:ascii="微软雅黑" w:hAnsi="微软雅黑" w:eastAsia="微软雅黑" w:cs="微软雅黑"/>
          <w:color w:val="231F20"/>
          <w:spacing w:val="1"/>
          <w:sz w:val="22"/>
          <w:szCs w:val="22"/>
        </w:rPr>
        <w:t>”）的评估与调研结果，现</w:t>
      </w:r>
      <w:r>
        <w:rPr>
          <w:rFonts w:ascii="微软雅黑" w:hAnsi="微软雅黑" w:eastAsia="微软雅黑" w:cs="微软雅黑"/>
          <w:color w:val="231F20"/>
          <w:sz w:val="22"/>
          <w:szCs w:val="22"/>
        </w:rPr>
        <w:t xml:space="preserve">阶段 </w:t>
      </w:r>
      <w:r>
        <w:rPr>
          <w:rFonts w:ascii="微软雅黑" w:hAnsi="微软雅黑" w:eastAsia="微软雅黑" w:cs="微软雅黑"/>
          <w:color w:val="231F20"/>
          <w:spacing w:val="-2"/>
          <w:sz w:val="22"/>
          <w:szCs w:val="22"/>
        </w:rPr>
        <w:t>数据资产管理在能力分布、实践模式等方面呈现如下特点：</w:t>
      </w:r>
    </w:p>
    <w:p w14:paraId="4D947CD9">
      <w:pPr>
        <w:spacing w:before="18" w:line="291" w:lineRule="auto"/>
        <w:ind w:left="247" w:right="94" w:firstLine="482"/>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一是行业间数据资产管理能力差异分布显著。工业和制造业、能源行业、医疗行业、教</w:t>
      </w:r>
      <w:r>
        <w:rPr>
          <w:rFonts w:ascii="微软雅黑" w:hAnsi="微软雅黑" w:eastAsia="微软雅黑" w:cs="微软雅黑"/>
          <w:color w:val="231F20"/>
          <w:spacing w:val="2"/>
          <w:sz w:val="22"/>
          <w:szCs w:val="22"/>
        </w:rPr>
        <w:t>育行</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业等传统行业仍处于初级阶段，数据资产管理的意识和动力不足，数据资产</w:t>
      </w:r>
      <w:r>
        <w:rPr>
          <w:rFonts w:ascii="微软雅黑" w:hAnsi="微软雅黑" w:eastAsia="微软雅黑" w:cs="微软雅黑"/>
          <w:color w:val="231F20"/>
          <w:spacing w:val="3"/>
          <w:sz w:val="22"/>
          <w:szCs w:val="22"/>
        </w:rPr>
        <w:t>管理的资源投入仍集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中于大数据平台建设，尚未组建相对专业化的数据资产管理团队，尝试性对核心</w:t>
      </w:r>
      <w:r>
        <w:rPr>
          <w:rFonts w:ascii="微软雅黑" w:hAnsi="微软雅黑" w:eastAsia="微软雅黑" w:cs="微软雅黑"/>
          <w:color w:val="231F20"/>
          <w:spacing w:val="3"/>
          <w:sz w:val="22"/>
          <w:szCs w:val="22"/>
        </w:rPr>
        <w:t>业务开展数据标</w:t>
      </w:r>
      <w:r>
        <w:rPr>
          <w:rFonts w:ascii="微软雅黑" w:hAnsi="微软雅黑" w:eastAsia="微软雅黑" w:cs="微软雅黑"/>
          <w:color w:val="231F20"/>
          <w:sz w:val="22"/>
          <w:szCs w:val="22"/>
        </w:rPr>
        <w:t xml:space="preserve"> 准化工作。DCMM 评估结果显示，以上行</w:t>
      </w:r>
      <w:r>
        <w:rPr>
          <w:rFonts w:ascii="微软雅黑" w:hAnsi="微软雅黑" w:eastAsia="微软雅黑" w:cs="微软雅黑"/>
          <w:color w:val="231F20"/>
          <w:spacing w:val="-1"/>
          <w:sz w:val="22"/>
          <w:szCs w:val="22"/>
        </w:rPr>
        <w:t>业评估结果集中于第 2 级。金融行业、互联网行业、通</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信行业、零售行业等较早享受到了“数据红利”，持续推进业务线上化，</w:t>
      </w:r>
      <w:r>
        <w:rPr>
          <w:rFonts w:ascii="微软雅黑" w:hAnsi="微软雅黑" w:eastAsia="微软雅黑" w:cs="微软雅黑"/>
          <w:color w:val="231F20"/>
          <w:spacing w:val="3"/>
          <w:sz w:val="22"/>
          <w:szCs w:val="22"/>
        </w:rPr>
        <w:t>数据资产管理重要性随</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之提升，逐步发展数据资产管理部门，加大技术创新与应用，开展数据分析和数据服务。</w:t>
      </w:r>
      <w:r>
        <w:rPr>
          <w:rFonts w:ascii="微软雅黑" w:hAnsi="微软雅黑" w:eastAsia="微软雅黑" w:cs="微软雅黑"/>
          <w:color w:val="231F20"/>
          <w:sz w:val="22"/>
          <w:szCs w:val="22"/>
        </w:rPr>
        <w:t>DCMM</w:t>
      </w:r>
      <w:r>
        <w:rPr>
          <w:rFonts w:ascii="微软雅黑" w:hAnsi="微软雅黑" w:eastAsia="微软雅黑" w:cs="微软雅黑"/>
          <w:color w:val="231F20"/>
          <w:spacing w:val="4"/>
          <w:sz w:val="22"/>
          <w:szCs w:val="22"/>
        </w:rPr>
        <w:t xml:space="preserve"> </w:t>
      </w:r>
      <w:r>
        <w:rPr>
          <w:rFonts w:ascii="微软雅黑" w:hAnsi="微软雅黑" w:eastAsia="微软雅黑" w:cs="微软雅黑"/>
          <w:color w:val="231F20"/>
          <w:spacing w:val="-1"/>
          <w:sz w:val="22"/>
          <w:szCs w:val="22"/>
        </w:rPr>
        <w:t xml:space="preserve">评估结果显示，以上行业评估结果集中于第 3 </w:t>
      </w:r>
      <w:r>
        <w:rPr>
          <w:rFonts w:ascii="微软雅黑" w:hAnsi="微软雅黑" w:eastAsia="微软雅黑" w:cs="微软雅黑"/>
          <w:color w:val="231F20"/>
          <w:spacing w:val="-2"/>
          <w:sz w:val="22"/>
          <w:szCs w:val="22"/>
        </w:rPr>
        <w:t>级或以上。</w:t>
      </w:r>
    </w:p>
    <w:p w14:paraId="6FE75DCC">
      <w:pPr>
        <w:spacing w:before="16" w:line="290" w:lineRule="auto"/>
        <w:ind w:left="247" w:right="96" w:firstLine="487"/>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二是企业间数据资产管理实践模式有所不同。对于数据资产管理能力相对薄</w:t>
      </w:r>
      <w:r>
        <w:rPr>
          <w:rFonts w:ascii="微软雅黑" w:hAnsi="微软雅黑" w:eastAsia="微软雅黑" w:cs="微软雅黑"/>
          <w:color w:val="231F20"/>
          <w:spacing w:val="2"/>
          <w:sz w:val="22"/>
          <w:szCs w:val="22"/>
        </w:rPr>
        <w:t>弱的企业，多以</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5"/>
          <w:sz w:val="22"/>
          <w:szCs w:val="22"/>
        </w:rPr>
        <w:t>主数据管理作为数据资产管理的切入点，</w:t>
      </w:r>
      <w:r>
        <w:rPr>
          <w:rFonts w:ascii="微软雅黑" w:hAnsi="微软雅黑" w:eastAsia="微软雅黑" w:cs="微软雅黑"/>
          <w:color w:val="231F20"/>
          <w:spacing w:val="-25"/>
          <w:sz w:val="22"/>
          <w:szCs w:val="22"/>
        </w:rPr>
        <w:t xml:space="preserve"> </w:t>
      </w:r>
      <w:r>
        <w:rPr>
          <w:rFonts w:ascii="微软雅黑" w:hAnsi="微软雅黑" w:eastAsia="微软雅黑" w:cs="微软雅黑"/>
          <w:color w:val="231F20"/>
          <w:spacing w:val="5"/>
          <w:sz w:val="22"/>
          <w:szCs w:val="22"/>
        </w:rPr>
        <w:t xml:space="preserve">以数据标准化作为试点期间主要目标（表现为 </w:t>
      </w:r>
      <w:r>
        <w:rPr>
          <w:rFonts w:ascii="微软雅黑" w:hAnsi="微软雅黑" w:eastAsia="微软雅黑" w:cs="微软雅黑"/>
          <w:color w:val="231F20"/>
          <w:sz w:val="22"/>
          <w:szCs w:val="22"/>
        </w:rPr>
        <w:t xml:space="preserve">DCMM </w:t>
      </w:r>
      <w:r>
        <w:rPr>
          <w:rFonts w:ascii="微软雅黑" w:hAnsi="微软雅黑" w:eastAsia="微软雅黑" w:cs="微软雅黑"/>
          <w:color w:val="231F20"/>
          <w:spacing w:val="3"/>
          <w:sz w:val="22"/>
          <w:szCs w:val="22"/>
        </w:rPr>
        <w:t>评估数据标准管理能力域得分显著高于其它能力域</w:t>
      </w:r>
      <w:r>
        <w:rPr>
          <w:rFonts w:ascii="微软雅黑" w:hAnsi="微软雅黑" w:eastAsia="微软雅黑" w:cs="微软雅黑"/>
          <w:color w:val="231F20"/>
          <w:spacing w:val="1"/>
          <w:sz w:val="22"/>
          <w:szCs w:val="22"/>
        </w:rPr>
        <w:t>）</w:t>
      </w:r>
      <w:r>
        <w:rPr>
          <w:rFonts w:ascii="微软雅黑" w:hAnsi="微软雅黑" w:eastAsia="微软雅黑" w:cs="微软雅黑"/>
          <w:color w:val="231F20"/>
          <w:spacing w:val="-26"/>
          <w:sz w:val="22"/>
          <w:szCs w:val="22"/>
        </w:rPr>
        <w:t xml:space="preserve"> </w:t>
      </w:r>
      <w:r>
        <w:rPr>
          <w:rFonts w:ascii="微软雅黑" w:hAnsi="微软雅黑" w:eastAsia="微软雅黑" w:cs="微软雅黑"/>
          <w:color w:val="231F20"/>
          <w:spacing w:val="1"/>
          <w:sz w:val="22"/>
          <w:szCs w:val="22"/>
        </w:rPr>
        <w:t>；</w:t>
      </w:r>
      <w:r>
        <w:rPr>
          <w:rFonts w:ascii="微软雅黑" w:hAnsi="微软雅黑" w:eastAsia="微软雅黑" w:cs="微软雅黑"/>
          <w:color w:val="231F20"/>
          <w:spacing w:val="3"/>
          <w:sz w:val="22"/>
          <w:szCs w:val="22"/>
        </w:rPr>
        <w:t>对于数据资产管理能力基础较好</w:t>
      </w:r>
      <w:r>
        <w:rPr>
          <w:rFonts w:ascii="微软雅黑" w:hAnsi="微软雅黑" w:eastAsia="微软雅黑" w:cs="微软雅黑"/>
          <w:color w:val="231F20"/>
          <w:spacing w:val="2"/>
          <w:sz w:val="22"/>
          <w:szCs w:val="22"/>
        </w:rPr>
        <w:t>的企业，</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制定数据战略与实施路线，确保数据资产管</w:t>
      </w:r>
      <w:r>
        <w:rPr>
          <w:rFonts w:ascii="微软雅黑" w:hAnsi="微软雅黑" w:eastAsia="微软雅黑" w:cs="微软雅黑"/>
          <w:color w:val="231F20"/>
          <w:spacing w:val="2"/>
          <w:sz w:val="22"/>
          <w:szCs w:val="22"/>
        </w:rPr>
        <w:t>理与业务发展、</w:t>
      </w:r>
      <w:r>
        <w:rPr>
          <w:rFonts w:ascii="微软雅黑" w:hAnsi="微软雅黑" w:eastAsia="微软雅黑" w:cs="微软雅黑"/>
          <w:color w:val="231F20"/>
          <w:sz w:val="22"/>
          <w:szCs w:val="22"/>
        </w:rPr>
        <w:t>IT</w:t>
      </w:r>
      <w:r>
        <w:rPr>
          <w:rFonts w:ascii="微软雅黑" w:hAnsi="微软雅黑" w:eastAsia="微软雅黑" w:cs="微软雅黑"/>
          <w:color w:val="231F20"/>
          <w:spacing w:val="2"/>
          <w:sz w:val="22"/>
          <w:szCs w:val="22"/>
        </w:rPr>
        <w:t xml:space="preserve"> 发展的一致性，以提高管理效率、</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提升数据价值为主要目标（表现为</w:t>
      </w:r>
      <w:r>
        <w:rPr>
          <w:rFonts w:ascii="微软雅黑" w:hAnsi="微软雅黑" w:eastAsia="微软雅黑" w:cs="微软雅黑"/>
          <w:color w:val="231F20"/>
          <w:spacing w:val="47"/>
          <w:w w:val="101"/>
          <w:sz w:val="22"/>
          <w:szCs w:val="22"/>
        </w:rPr>
        <w:t xml:space="preserve"> </w:t>
      </w:r>
      <w:r>
        <w:rPr>
          <w:rFonts w:ascii="微软雅黑" w:hAnsi="微软雅黑" w:eastAsia="微软雅黑" w:cs="微软雅黑"/>
          <w:color w:val="231F20"/>
          <w:sz w:val="22"/>
          <w:szCs w:val="22"/>
        </w:rPr>
        <w:t>DCMM</w:t>
      </w:r>
      <w:r>
        <w:rPr>
          <w:rFonts w:ascii="微软雅黑" w:hAnsi="微软雅黑" w:eastAsia="微软雅黑" w:cs="微软雅黑"/>
          <w:color w:val="231F20"/>
          <w:spacing w:val="3"/>
          <w:sz w:val="22"/>
          <w:szCs w:val="22"/>
        </w:rPr>
        <w:t xml:space="preserve"> 评估数据战略、数据架构、数据应用能力域得分显著</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高于平均水平）。</w:t>
      </w:r>
    </w:p>
    <w:p w14:paraId="0EBB19F6">
      <w:pPr>
        <w:pStyle w:val="2"/>
        <w:spacing w:line="317" w:lineRule="auto"/>
      </w:pPr>
    </w:p>
    <w:p w14:paraId="1CB409F9">
      <w:pPr>
        <w:pStyle w:val="2"/>
        <w:spacing w:line="318" w:lineRule="auto"/>
      </w:pPr>
      <w:r>
        <w:pict>
          <v:shape id="_x0000_s1063" o:spid="_x0000_s1063" style="position:absolute;left:0pt;margin-left:12.25pt;margin-top:10pt;height:0.25pt;width:470.6pt;z-index:251695104;mso-width-relative:page;mso-height-relative:page;" filled="f" stroked="t" coordsize="9412,5" path="m0,2l9411,2e">
            <v:fill on="f" focussize="0,0"/>
            <v:stroke weight="0.25pt" color="#231F20" miterlimit="4" joinstyle="miter"/>
            <v:imagedata o:title=""/>
            <o:lock v:ext="edit"/>
          </v:shape>
        </w:pict>
      </w:r>
    </w:p>
    <w:p w14:paraId="19AC2EEC">
      <w:pPr>
        <w:spacing w:before="59" w:line="289" w:lineRule="auto"/>
        <w:ind w:left="248" w:right="3141" w:firstLine="9"/>
        <w:rPr>
          <w:rFonts w:ascii="楷体" w:hAnsi="楷体" w:eastAsia="楷体" w:cs="楷体"/>
          <w:sz w:val="18"/>
          <w:szCs w:val="18"/>
        </w:rPr>
      </w:pPr>
      <w:r>
        <w:rPr>
          <w:rFonts w:ascii="楷体" w:hAnsi="楷体" w:eastAsia="楷体" w:cs="楷体"/>
          <w:color w:val="231F20"/>
          <w:spacing w:val="16"/>
          <w:sz w:val="18"/>
          <w:szCs w:val="18"/>
        </w:rPr>
        <w:t>1. 【美】</w:t>
      </w:r>
      <w:r>
        <w:rPr>
          <w:rFonts w:ascii="楷体" w:hAnsi="楷体" w:eastAsia="楷体" w:cs="楷体"/>
          <w:color w:val="231F20"/>
          <w:sz w:val="18"/>
          <w:szCs w:val="18"/>
        </w:rPr>
        <w:t>DAMA</w:t>
      </w:r>
      <w:r>
        <w:rPr>
          <w:rFonts w:ascii="楷体" w:hAnsi="楷体" w:eastAsia="楷体" w:cs="楷体"/>
          <w:color w:val="231F20"/>
          <w:spacing w:val="-4"/>
          <w:sz w:val="18"/>
          <w:szCs w:val="18"/>
        </w:rPr>
        <w:t xml:space="preserve"> </w:t>
      </w:r>
      <w:r>
        <w:rPr>
          <w:rFonts w:ascii="楷体" w:hAnsi="楷体" w:eastAsia="楷体" w:cs="楷体"/>
          <w:color w:val="231F20"/>
          <w:spacing w:val="16"/>
          <w:sz w:val="18"/>
          <w:szCs w:val="18"/>
        </w:rPr>
        <w:t>国际</w:t>
      </w:r>
      <w:r>
        <w:rPr>
          <w:rFonts w:ascii="楷体" w:hAnsi="楷体" w:eastAsia="楷体" w:cs="楷体"/>
          <w:color w:val="231F20"/>
          <w:spacing w:val="-28"/>
          <w:sz w:val="18"/>
          <w:szCs w:val="18"/>
        </w:rPr>
        <w:t xml:space="preserve"> </w:t>
      </w:r>
      <w:r>
        <w:rPr>
          <w:rFonts w:ascii="楷体" w:hAnsi="楷体" w:eastAsia="楷体" w:cs="楷体"/>
          <w:color w:val="231F20"/>
          <w:spacing w:val="16"/>
          <w:sz w:val="18"/>
          <w:szCs w:val="18"/>
        </w:rPr>
        <w:t>,《</w:t>
      </w:r>
      <w:r>
        <w:rPr>
          <w:rFonts w:ascii="楷体" w:hAnsi="楷体" w:eastAsia="楷体" w:cs="楷体"/>
          <w:color w:val="231F20"/>
          <w:sz w:val="18"/>
          <w:szCs w:val="18"/>
        </w:rPr>
        <w:t>Data</w:t>
      </w:r>
      <w:r>
        <w:rPr>
          <w:rFonts w:ascii="楷体" w:hAnsi="楷体" w:eastAsia="楷体" w:cs="楷体"/>
          <w:color w:val="231F20"/>
          <w:spacing w:val="-29"/>
          <w:sz w:val="18"/>
          <w:szCs w:val="18"/>
        </w:rPr>
        <w:t xml:space="preserve"> </w:t>
      </w:r>
      <w:r>
        <w:rPr>
          <w:rFonts w:ascii="楷体" w:hAnsi="楷体" w:eastAsia="楷体" w:cs="楷体"/>
          <w:color w:val="231F20"/>
          <w:sz w:val="18"/>
          <w:szCs w:val="18"/>
        </w:rPr>
        <w:t>Management</w:t>
      </w:r>
      <w:r>
        <w:rPr>
          <w:rFonts w:ascii="楷体" w:hAnsi="楷体" w:eastAsia="楷体" w:cs="楷体"/>
          <w:color w:val="231F20"/>
          <w:spacing w:val="-31"/>
          <w:sz w:val="18"/>
          <w:szCs w:val="18"/>
        </w:rPr>
        <w:t xml:space="preserve"> </w:t>
      </w:r>
      <w:r>
        <w:rPr>
          <w:rFonts w:ascii="楷体" w:hAnsi="楷体" w:eastAsia="楷体" w:cs="楷体"/>
          <w:color w:val="231F20"/>
          <w:sz w:val="18"/>
          <w:szCs w:val="18"/>
        </w:rPr>
        <w:t>Body</w:t>
      </w:r>
      <w:r>
        <w:rPr>
          <w:rFonts w:ascii="楷体" w:hAnsi="楷体" w:eastAsia="楷体" w:cs="楷体"/>
          <w:color w:val="231F20"/>
          <w:spacing w:val="-24"/>
          <w:sz w:val="18"/>
          <w:szCs w:val="18"/>
        </w:rPr>
        <w:t xml:space="preserve"> </w:t>
      </w:r>
      <w:r>
        <w:rPr>
          <w:rFonts w:ascii="楷体" w:hAnsi="楷体" w:eastAsia="楷体" w:cs="楷体"/>
          <w:color w:val="231F20"/>
          <w:sz w:val="18"/>
          <w:szCs w:val="18"/>
        </w:rPr>
        <w:t>of</w:t>
      </w:r>
      <w:r>
        <w:rPr>
          <w:rFonts w:ascii="楷体" w:hAnsi="楷体" w:eastAsia="楷体" w:cs="楷体"/>
          <w:color w:val="231F20"/>
          <w:spacing w:val="-53"/>
          <w:sz w:val="18"/>
          <w:szCs w:val="18"/>
        </w:rPr>
        <w:t xml:space="preserve"> </w:t>
      </w:r>
      <w:r>
        <w:rPr>
          <w:rFonts w:ascii="楷体" w:hAnsi="楷体" w:eastAsia="楷体" w:cs="楷体"/>
          <w:color w:val="231F20"/>
          <w:sz w:val="18"/>
          <w:szCs w:val="18"/>
        </w:rPr>
        <w:t>Knowledge</w:t>
      </w:r>
      <w:r>
        <w:rPr>
          <w:rFonts w:ascii="楷体" w:hAnsi="楷体" w:eastAsia="楷体" w:cs="楷体"/>
          <w:color w:val="231F20"/>
          <w:spacing w:val="16"/>
          <w:sz w:val="18"/>
          <w:szCs w:val="18"/>
        </w:rPr>
        <w:t>,</w:t>
      </w:r>
      <w:r>
        <w:rPr>
          <w:rFonts w:ascii="楷体" w:hAnsi="楷体" w:eastAsia="楷体" w:cs="楷体"/>
          <w:color w:val="231F20"/>
          <w:spacing w:val="-28"/>
          <w:sz w:val="18"/>
          <w:szCs w:val="18"/>
        </w:rPr>
        <w:t xml:space="preserve"> </w:t>
      </w:r>
      <w:r>
        <w:rPr>
          <w:rFonts w:ascii="楷体" w:hAnsi="楷体" w:eastAsia="楷体" w:cs="楷体"/>
          <w:color w:val="231F20"/>
          <w:sz w:val="18"/>
          <w:szCs w:val="18"/>
        </w:rPr>
        <w:t>DMBOK</w:t>
      </w:r>
      <w:r>
        <w:rPr>
          <w:rFonts w:ascii="楷体" w:hAnsi="楷体" w:eastAsia="楷体" w:cs="楷体"/>
          <w:color w:val="231F20"/>
          <w:spacing w:val="-26"/>
          <w:sz w:val="18"/>
          <w:szCs w:val="18"/>
        </w:rPr>
        <w:t xml:space="preserve"> </w:t>
      </w:r>
      <w:r>
        <w:rPr>
          <w:rFonts w:ascii="楷体" w:hAnsi="楷体" w:eastAsia="楷体" w:cs="楷体"/>
          <w:color w:val="231F20"/>
          <w:spacing w:val="16"/>
          <w:sz w:val="18"/>
          <w:szCs w:val="18"/>
        </w:rPr>
        <w:t>2009》.</w:t>
      </w:r>
      <w:r>
        <w:rPr>
          <w:rFonts w:ascii="楷体" w:hAnsi="楷体" w:eastAsia="楷体" w:cs="楷体"/>
          <w:color w:val="231F20"/>
          <w:sz w:val="18"/>
          <w:szCs w:val="18"/>
        </w:rPr>
        <w:t xml:space="preserve"> </w:t>
      </w:r>
      <w:r>
        <w:rPr>
          <w:rFonts w:ascii="楷体" w:hAnsi="楷体" w:eastAsia="楷体" w:cs="楷体"/>
          <w:color w:val="231F20"/>
          <w:spacing w:val="7"/>
          <w:sz w:val="18"/>
          <w:szCs w:val="18"/>
        </w:rPr>
        <w:t>2. 【美】</w:t>
      </w:r>
      <w:r>
        <w:rPr>
          <w:rFonts w:ascii="楷体" w:hAnsi="楷体" w:eastAsia="楷体" w:cs="楷体"/>
          <w:color w:val="231F20"/>
          <w:sz w:val="18"/>
          <w:szCs w:val="18"/>
        </w:rPr>
        <w:t>DAMA</w:t>
      </w:r>
      <w:r>
        <w:rPr>
          <w:rFonts w:ascii="楷体" w:hAnsi="楷体" w:eastAsia="楷体" w:cs="楷体"/>
          <w:color w:val="231F20"/>
          <w:spacing w:val="1"/>
          <w:sz w:val="18"/>
          <w:szCs w:val="18"/>
        </w:rPr>
        <w:t xml:space="preserve"> </w:t>
      </w:r>
      <w:r>
        <w:rPr>
          <w:rFonts w:ascii="楷体" w:hAnsi="楷体" w:eastAsia="楷体" w:cs="楷体"/>
          <w:color w:val="231F20"/>
          <w:spacing w:val="7"/>
          <w:sz w:val="18"/>
          <w:szCs w:val="18"/>
        </w:rPr>
        <w:t>国际</w:t>
      </w:r>
      <w:r>
        <w:rPr>
          <w:rFonts w:ascii="楷体" w:hAnsi="楷体" w:eastAsia="楷体" w:cs="楷体"/>
          <w:color w:val="231F20"/>
          <w:spacing w:val="-28"/>
          <w:sz w:val="18"/>
          <w:szCs w:val="18"/>
        </w:rPr>
        <w:t xml:space="preserve"> </w:t>
      </w:r>
      <w:r>
        <w:rPr>
          <w:rFonts w:ascii="楷体" w:hAnsi="楷体" w:eastAsia="楷体" w:cs="楷体"/>
          <w:color w:val="231F20"/>
          <w:spacing w:val="7"/>
          <w:sz w:val="18"/>
          <w:szCs w:val="18"/>
        </w:rPr>
        <w:t>,《</w:t>
      </w:r>
      <w:r>
        <w:rPr>
          <w:rFonts w:ascii="楷体" w:hAnsi="楷体" w:eastAsia="楷体" w:cs="楷体"/>
          <w:color w:val="231F20"/>
          <w:sz w:val="18"/>
          <w:szCs w:val="18"/>
        </w:rPr>
        <w:t>DAMA</w:t>
      </w:r>
      <w:r>
        <w:rPr>
          <w:rFonts w:ascii="楷体" w:hAnsi="楷体" w:eastAsia="楷体" w:cs="楷体"/>
          <w:color w:val="231F20"/>
          <w:spacing w:val="-39"/>
          <w:sz w:val="18"/>
          <w:szCs w:val="18"/>
        </w:rPr>
        <w:t xml:space="preserve"> </w:t>
      </w:r>
      <w:r>
        <w:rPr>
          <w:rFonts w:ascii="楷体" w:hAnsi="楷体" w:eastAsia="楷体" w:cs="楷体"/>
          <w:color w:val="231F20"/>
          <w:spacing w:val="7"/>
          <w:sz w:val="18"/>
          <w:szCs w:val="18"/>
        </w:rPr>
        <w:t>数据管理知识体系指南》(2017).</w:t>
      </w:r>
    </w:p>
    <w:p w14:paraId="3FEC5D22">
      <w:pPr>
        <w:pStyle w:val="2"/>
        <w:spacing w:line="327" w:lineRule="auto"/>
      </w:pPr>
    </w:p>
    <w:p w14:paraId="67AEE474">
      <w:pPr>
        <w:pStyle w:val="2"/>
        <w:spacing w:before="58" w:line="192" w:lineRule="auto"/>
        <w:ind w:left="4901"/>
        <w:rPr>
          <w:sz w:val="20"/>
          <w:szCs w:val="20"/>
        </w:rPr>
      </w:pPr>
      <w:r>
        <w:pict>
          <v:shape id="_x0000_s1064" o:spid="_x0000_s1064" o:spt="202" type="#_x0000_t202" style="position:absolute;left:0pt;margin-left:274.65pt;margin-top:6.45pt;height:15.95pt;width:199.4pt;z-index:251694080;mso-width-relative:page;mso-height-relative:page;" filled="f" stroked="f" coordsize="21600,21600">
            <v:path/>
            <v:fill on="f" focussize="0,0"/>
            <v:stroke on="f"/>
            <v:imagedata o:title=""/>
            <o:lock v:ext="edit" aspectratio="f"/>
            <v:textbox inset="0mm,0mm,0mm,0mm">
              <w:txbxContent>
                <w:p w14:paraId="7AEF6843">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z w:val="20"/>
          <w:szCs w:val="20"/>
        </w:rPr>
        <w:t>7</w:t>
      </w:r>
    </w:p>
    <w:p w14:paraId="4AF64638">
      <w:pPr>
        <w:spacing w:line="192" w:lineRule="auto"/>
        <w:rPr>
          <w:sz w:val="20"/>
          <w:szCs w:val="20"/>
        </w:rPr>
        <w:sectPr>
          <w:pgSz w:w="11906" w:h="16158"/>
          <w:pgMar w:top="400" w:right="1150" w:bottom="400" w:left="1004" w:header="0" w:footer="0" w:gutter="0"/>
          <w:cols w:space="720" w:num="1"/>
        </w:sectPr>
      </w:pPr>
    </w:p>
    <w:p w14:paraId="10C93B31">
      <w:pPr>
        <w:pStyle w:val="2"/>
        <w:spacing w:line="349" w:lineRule="auto"/>
      </w:pPr>
    </w:p>
    <w:p w14:paraId="3C755A51">
      <w:pPr>
        <w:pStyle w:val="2"/>
        <w:spacing w:line="350" w:lineRule="auto"/>
      </w:pPr>
    </w:p>
    <w:p w14:paraId="62ECE409">
      <w:pPr>
        <w:spacing w:before="80" w:line="182" w:lineRule="auto"/>
        <w:rPr>
          <w:rFonts w:ascii="Segoe UI" w:hAnsi="Segoe UI" w:eastAsia="Segoe UI" w:cs="Segoe UI"/>
          <w:sz w:val="24"/>
          <w:szCs w:val="24"/>
        </w:rPr>
      </w:pPr>
      <w:r>
        <w:rPr>
          <w:rFonts w:ascii="Segoe UI" w:hAnsi="Segoe UI" w:eastAsia="Segoe UI" w:cs="Segoe UI"/>
          <w:b/>
          <w:bCs/>
          <w:color w:val="648676"/>
          <w:spacing w:val="29"/>
          <w:w w:val="108"/>
          <w:sz w:val="24"/>
          <w:szCs w:val="24"/>
        </w:rPr>
        <w:t>CHAPTER -1</w:t>
      </w:r>
    </w:p>
    <w:p w14:paraId="37778F9C">
      <w:pPr>
        <w:spacing w:before="55" w:line="178" w:lineRule="auto"/>
        <w:ind w:left="422"/>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数据资产管理概述</w:t>
      </w:r>
    </w:p>
    <w:p w14:paraId="5F22B899">
      <w:pPr>
        <w:pStyle w:val="2"/>
        <w:spacing w:line="294" w:lineRule="auto"/>
      </w:pPr>
    </w:p>
    <w:p w14:paraId="417BE905">
      <w:pPr>
        <w:pStyle w:val="2"/>
        <w:spacing w:line="294" w:lineRule="auto"/>
      </w:pPr>
    </w:p>
    <w:p w14:paraId="2B30E847">
      <w:pPr>
        <w:pStyle w:val="2"/>
        <w:spacing w:line="294" w:lineRule="auto"/>
      </w:pPr>
    </w:p>
    <w:p w14:paraId="21611EB3">
      <w:pPr>
        <w:spacing w:before="94" w:line="291" w:lineRule="auto"/>
        <w:ind w:left="247" w:firstLine="485"/>
        <w:jc w:val="both"/>
        <w:rPr>
          <w:rFonts w:ascii="微软雅黑" w:hAnsi="微软雅黑" w:eastAsia="微软雅黑" w:cs="微软雅黑"/>
          <w:sz w:val="22"/>
          <w:szCs w:val="22"/>
        </w:rPr>
      </w:pPr>
      <w:bookmarkStart w:id="30" w:name="bookmark30"/>
      <w:bookmarkEnd w:id="30"/>
      <w:r>
        <w:rPr>
          <w:rFonts w:ascii="微软雅黑" w:hAnsi="微软雅黑" w:eastAsia="微软雅黑" w:cs="微软雅黑"/>
          <w:color w:val="231F20"/>
          <w:spacing w:val="3"/>
          <w:sz w:val="22"/>
          <w:szCs w:val="22"/>
        </w:rPr>
        <w:t>三是评估数据资产价值成为企业关注焦点，部分企业已开展探索性实践。数据资产价值评估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是量化数据资产价值的有效方式，推动企业持续投入资源开展数据资产管理，</w:t>
      </w:r>
      <w:r>
        <w:rPr>
          <w:rFonts w:ascii="微软雅黑" w:hAnsi="微软雅黑" w:eastAsia="微软雅黑" w:cs="微软雅黑"/>
          <w:color w:val="231F20"/>
          <w:spacing w:val="3"/>
          <w:sz w:val="22"/>
          <w:szCs w:val="22"/>
        </w:rPr>
        <w:t>为企业参与数据要</w:t>
      </w:r>
      <w:r>
        <w:rPr>
          <w:rFonts w:ascii="微软雅黑" w:hAnsi="微软雅黑" w:eastAsia="微软雅黑" w:cs="微软雅黑"/>
          <w:color w:val="231F20"/>
          <w:sz w:val="22"/>
          <w:szCs w:val="22"/>
        </w:rPr>
        <w:t xml:space="preserve">  素流通奠定基础。2021 年 1 月，光大银行发布《商</w:t>
      </w:r>
      <w:r>
        <w:rPr>
          <w:rFonts w:ascii="微软雅黑" w:hAnsi="微软雅黑" w:eastAsia="微软雅黑" w:cs="微软雅黑"/>
          <w:color w:val="231F20"/>
          <w:spacing w:val="-1"/>
          <w:sz w:val="22"/>
          <w:szCs w:val="22"/>
        </w:rPr>
        <w:t>业银行数据资产估值白皮书》，系统研究了商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7"/>
          <w:sz w:val="22"/>
          <w:szCs w:val="22"/>
        </w:rPr>
        <w:t>业银行的数据资产估值体系建设，提出了成本法、收益法、市场法等货币化估值</w:t>
      </w:r>
      <w:r>
        <w:rPr>
          <w:rFonts w:ascii="微软雅黑" w:hAnsi="微软雅黑" w:eastAsia="微软雅黑" w:cs="微软雅黑"/>
          <w:color w:val="231F20"/>
          <w:spacing w:val="-8"/>
          <w:sz w:val="22"/>
          <w:szCs w:val="22"/>
        </w:rPr>
        <w:t>方法。2021</w:t>
      </w:r>
      <w:r>
        <w:rPr>
          <w:rFonts w:ascii="微软雅黑" w:hAnsi="微软雅黑" w:eastAsia="微软雅黑" w:cs="微软雅黑"/>
          <w:color w:val="231F20"/>
          <w:spacing w:val="-20"/>
          <w:sz w:val="22"/>
          <w:szCs w:val="22"/>
        </w:rPr>
        <w:t xml:space="preserve"> </w:t>
      </w:r>
      <w:r>
        <w:rPr>
          <w:rFonts w:ascii="微软雅黑" w:hAnsi="微软雅黑" w:eastAsia="微软雅黑" w:cs="微软雅黑"/>
          <w:color w:val="231F20"/>
          <w:spacing w:val="-8"/>
          <w:sz w:val="22"/>
          <w:szCs w:val="22"/>
        </w:rPr>
        <w:t>年</w:t>
      </w:r>
      <w:r>
        <w:rPr>
          <w:rFonts w:ascii="微软雅黑" w:hAnsi="微软雅黑" w:eastAsia="微软雅黑" w:cs="微软雅黑"/>
          <w:color w:val="231F20"/>
          <w:spacing w:val="-18"/>
          <w:sz w:val="22"/>
          <w:szCs w:val="22"/>
        </w:rPr>
        <w:t xml:space="preserve"> </w:t>
      </w:r>
      <w:r>
        <w:rPr>
          <w:rFonts w:ascii="微软雅黑" w:hAnsi="微软雅黑" w:eastAsia="微软雅黑" w:cs="微软雅黑"/>
          <w:color w:val="231F20"/>
          <w:spacing w:val="-8"/>
          <w:sz w:val="22"/>
          <w:szCs w:val="22"/>
        </w:rPr>
        <w:t>3</w:t>
      </w:r>
      <w:r>
        <w:rPr>
          <w:rFonts w:ascii="微软雅黑" w:hAnsi="微软雅黑" w:eastAsia="微软雅黑" w:cs="微软雅黑"/>
          <w:color w:val="231F20"/>
          <w:spacing w:val="-15"/>
          <w:sz w:val="22"/>
          <w:szCs w:val="22"/>
        </w:rPr>
        <w:t xml:space="preserve"> </w:t>
      </w:r>
      <w:r>
        <w:rPr>
          <w:rFonts w:ascii="微软雅黑" w:hAnsi="微软雅黑" w:eastAsia="微软雅黑" w:cs="微软雅黑"/>
          <w:color w:val="231F20"/>
          <w:spacing w:val="-8"/>
          <w:sz w:val="22"/>
          <w:szCs w:val="22"/>
        </w:rPr>
        <w:t>月，</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南方电网发布《中国南方电网有限责任公司数据资产定价方法（试行）</w:t>
      </w:r>
      <w:r>
        <w:rPr>
          <w:rFonts w:ascii="微软雅黑" w:hAnsi="微软雅黑" w:eastAsia="微软雅黑" w:cs="微软雅黑"/>
          <w:color w:val="231F20"/>
          <w:spacing w:val="-31"/>
          <w:sz w:val="22"/>
          <w:szCs w:val="22"/>
        </w:rPr>
        <w:t xml:space="preserve"> </w:t>
      </w:r>
      <w:r>
        <w:rPr>
          <w:rFonts w:ascii="微软雅黑" w:hAnsi="微软雅黑" w:eastAsia="微软雅黑" w:cs="微软雅黑"/>
          <w:color w:val="231F20"/>
          <w:spacing w:val="3"/>
          <w:sz w:val="22"/>
          <w:szCs w:val="22"/>
        </w:rPr>
        <w:t>》，规定了公司</w:t>
      </w:r>
      <w:r>
        <w:rPr>
          <w:rFonts w:ascii="微软雅黑" w:hAnsi="微软雅黑" w:eastAsia="微软雅黑" w:cs="微软雅黑"/>
          <w:color w:val="231F20"/>
          <w:spacing w:val="2"/>
          <w:sz w:val="22"/>
          <w:szCs w:val="22"/>
        </w:rPr>
        <w:t>数据资产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的基本特征、产品类型、成本构成、定价方法并给出相关费用标准，为后续</w:t>
      </w:r>
      <w:r>
        <w:rPr>
          <w:rFonts w:ascii="微软雅黑" w:hAnsi="微软雅黑" w:eastAsia="微软雅黑" w:cs="微软雅黑"/>
          <w:color w:val="231F20"/>
          <w:spacing w:val="3"/>
          <w:sz w:val="22"/>
          <w:szCs w:val="22"/>
        </w:rPr>
        <w:t>数据资产的高效流通</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做好准备。2021 年 10 月，浦发</w:t>
      </w:r>
      <w:r>
        <w:rPr>
          <w:rFonts w:ascii="微软雅黑" w:hAnsi="微软雅黑" w:eastAsia="微软雅黑" w:cs="微软雅黑"/>
          <w:color w:val="231F20"/>
          <w:spacing w:val="1"/>
          <w:sz w:val="22"/>
          <w:szCs w:val="22"/>
        </w:rPr>
        <w:t>银行发布《商业银行数据资产管理体系建设实践报告》，根据数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据资产能否直接产生价值，将数据资产分类为基础型数据资产和服务型数据</w:t>
      </w:r>
      <w:r>
        <w:rPr>
          <w:rFonts w:ascii="微软雅黑" w:hAnsi="微软雅黑" w:eastAsia="微软雅黑" w:cs="微软雅黑"/>
          <w:color w:val="231F20"/>
          <w:spacing w:val="3"/>
          <w:sz w:val="22"/>
          <w:szCs w:val="22"/>
        </w:rPr>
        <w:t>资产，并将数据资产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写入资产负债表、现金流量表和利润表之外的第四张表—“数据资产经营报表”。</w:t>
      </w:r>
    </w:p>
    <w:p w14:paraId="5DB3A1BE">
      <w:pPr>
        <w:pStyle w:val="2"/>
        <w:spacing w:line="352" w:lineRule="auto"/>
      </w:pPr>
    </w:p>
    <w:p w14:paraId="2FC485A3">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1"/>
          <w:sz w:val="28"/>
          <w:szCs w:val="28"/>
        </w:rPr>
        <w:t>( 五 ) 数据资产管理难点</w:t>
      </w:r>
    </w:p>
    <w:p w14:paraId="11678E94">
      <w:pPr>
        <w:pStyle w:val="2"/>
        <w:spacing w:line="411" w:lineRule="auto"/>
      </w:pPr>
    </w:p>
    <w:p w14:paraId="27A31F71">
      <w:pPr>
        <w:spacing w:before="94" w:line="287" w:lineRule="auto"/>
        <w:ind w:left="248" w:right="93" w:firstLine="489"/>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当前，数据资产管理仍然面临一系列的问题和挑战，涉及数据资产管理的理</w:t>
      </w:r>
      <w:r>
        <w:rPr>
          <w:rFonts w:ascii="微软雅黑" w:hAnsi="微软雅黑" w:eastAsia="微软雅黑" w:cs="微软雅黑"/>
          <w:color w:val="231F20"/>
          <w:spacing w:val="-4"/>
          <w:sz w:val="22"/>
          <w:szCs w:val="22"/>
        </w:rPr>
        <w:t>念、效率、技术、</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安全等方面，阻碍了组织数据资产能力的持续提升。</w:t>
      </w:r>
    </w:p>
    <w:p w14:paraId="447118D0">
      <w:pPr>
        <w:pStyle w:val="2"/>
        <w:spacing w:line="271" w:lineRule="auto"/>
      </w:pPr>
    </w:p>
    <w:p w14:paraId="296B2563">
      <w:pPr>
        <w:spacing w:before="82" w:line="197" w:lineRule="exact"/>
        <w:ind w:left="3693"/>
        <w:rPr>
          <w:rFonts w:ascii="微软雅黑" w:hAnsi="微软雅黑" w:eastAsia="微软雅黑" w:cs="微软雅黑"/>
          <w:sz w:val="19"/>
          <w:szCs w:val="19"/>
        </w:rPr>
      </w:pPr>
      <w:r>
        <w:rPr>
          <w:rFonts w:ascii="微软雅黑" w:hAnsi="微软雅黑" w:eastAsia="微软雅黑" w:cs="微软雅黑"/>
          <w:color w:val="6E9E85"/>
          <w:spacing w:val="8"/>
          <w:position w:val="-1"/>
          <w:sz w:val="19"/>
          <w:szCs w:val="19"/>
        </w:rPr>
        <w:t>数据质量难以及时满足业务预期</w:t>
      </w:r>
    </w:p>
    <w:p w14:paraId="3294D452">
      <w:pPr>
        <w:pStyle w:val="2"/>
        <w:spacing w:line="300" w:lineRule="auto"/>
      </w:pPr>
      <w:r>
        <w:drawing>
          <wp:anchor distT="0" distB="0" distL="0" distR="0" simplePos="0" relativeHeight="251700224" behindDoc="0" locked="0" layoutInCell="1" allowOverlap="1">
            <wp:simplePos x="0" y="0"/>
            <wp:positionH relativeFrom="column">
              <wp:posOffset>2989580</wp:posOffset>
            </wp:positionH>
            <wp:positionV relativeFrom="paragraph">
              <wp:posOffset>129540</wp:posOffset>
            </wp:positionV>
            <wp:extent cx="527050" cy="635635"/>
            <wp:effectExtent l="0" t="0" r="0" b="0"/>
            <wp:wrapNone/>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35"/>
                    <a:stretch>
                      <a:fillRect/>
                    </a:stretch>
                  </pic:blipFill>
                  <pic:spPr>
                    <a:xfrm>
                      <a:off x="0" y="0"/>
                      <a:ext cx="527132" cy="635876"/>
                    </a:xfrm>
                    <a:prstGeom prst="rect">
                      <a:avLst/>
                    </a:prstGeom>
                  </pic:spPr>
                </pic:pic>
              </a:graphicData>
            </a:graphic>
          </wp:anchor>
        </w:drawing>
      </w:r>
    </w:p>
    <w:p w14:paraId="225B1778">
      <w:pPr>
        <w:pStyle w:val="2"/>
        <w:spacing w:line="301" w:lineRule="auto"/>
      </w:pPr>
    </w:p>
    <w:p w14:paraId="67F2042D">
      <w:pPr>
        <w:pStyle w:val="2"/>
        <w:spacing w:line="301" w:lineRule="auto"/>
      </w:pPr>
      <w:r>
        <w:drawing>
          <wp:anchor distT="0" distB="0" distL="0" distR="0" simplePos="0" relativeHeight="251696128" behindDoc="0" locked="0" layoutInCell="1" allowOverlap="1">
            <wp:simplePos x="0" y="0"/>
            <wp:positionH relativeFrom="column">
              <wp:posOffset>2753360</wp:posOffset>
            </wp:positionH>
            <wp:positionV relativeFrom="paragraph">
              <wp:posOffset>92075</wp:posOffset>
            </wp:positionV>
            <wp:extent cx="1330960" cy="1710690"/>
            <wp:effectExtent l="0" t="0" r="0" b="0"/>
            <wp:wrapNone/>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36"/>
                    <a:stretch>
                      <a:fillRect/>
                    </a:stretch>
                  </pic:blipFill>
                  <pic:spPr>
                    <a:xfrm>
                      <a:off x="0" y="0"/>
                      <a:ext cx="1330736" cy="1710861"/>
                    </a:xfrm>
                    <a:prstGeom prst="rect">
                      <a:avLst/>
                    </a:prstGeom>
                  </pic:spPr>
                </pic:pic>
              </a:graphicData>
            </a:graphic>
          </wp:anchor>
        </w:drawing>
      </w:r>
      <w:r>
        <w:drawing>
          <wp:anchor distT="0" distB="0" distL="0" distR="0" simplePos="0" relativeHeight="251702272" behindDoc="0" locked="0" layoutInCell="1" allowOverlap="1">
            <wp:simplePos x="0" y="0"/>
            <wp:positionH relativeFrom="column">
              <wp:posOffset>2381250</wp:posOffset>
            </wp:positionH>
            <wp:positionV relativeFrom="paragraph">
              <wp:posOffset>92075</wp:posOffset>
            </wp:positionV>
            <wp:extent cx="443865" cy="451485"/>
            <wp:effectExtent l="0" t="0" r="0" b="0"/>
            <wp:wrapNone/>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37"/>
                    <a:stretch>
                      <a:fillRect/>
                    </a:stretch>
                  </pic:blipFill>
                  <pic:spPr>
                    <a:xfrm>
                      <a:off x="0" y="0"/>
                      <a:ext cx="443572" cy="451497"/>
                    </a:xfrm>
                    <a:prstGeom prst="rect">
                      <a:avLst/>
                    </a:prstGeom>
                  </pic:spPr>
                </pic:pic>
              </a:graphicData>
            </a:graphic>
          </wp:anchor>
        </w:drawing>
      </w:r>
    </w:p>
    <w:p w14:paraId="6DDC018D">
      <w:pPr>
        <w:spacing w:before="82" w:line="195" w:lineRule="exact"/>
        <w:ind w:left="6641"/>
        <w:rPr>
          <w:rFonts w:ascii="微软雅黑" w:hAnsi="微软雅黑" w:eastAsia="微软雅黑" w:cs="微软雅黑"/>
          <w:sz w:val="19"/>
          <w:szCs w:val="19"/>
        </w:rPr>
      </w:pPr>
      <w:r>
        <w:pict>
          <v:shape id="_x0000_s1065" o:spid="_x0000_s1065" o:spt="202" type="#_x0000_t202" style="position:absolute;left:0pt;margin-left:51.55pt;margin-top:3.35pt;height:11.75pt;width:121.5pt;z-index:251704320;mso-width-relative:page;mso-height-relative:page;" filled="f" stroked="f" coordsize="21600,21600">
            <v:path/>
            <v:fill on="f" focussize="0,0"/>
            <v:stroke on="f"/>
            <v:imagedata o:title=""/>
            <o:lock v:ext="edit" aspectratio="f"/>
            <v:textbox inset="0mm,0mm,0mm,0mm">
              <w:txbxContent>
                <w:p w14:paraId="4B6570A0">
                  <w:pPr>
                    <w:spacing w:before="20" w:line="194" w:lineRule="exact"/>
                    <w:ind w:left="20"/>
                    <w:rPr>
                      <w:rFonts w:ascii="微软雅黑" w:hAnsi="微软雅黑" w:eastAsia="微软雅黑" w:cs="微软雅黑"/>
                      <w:sz w:val="19"/>
                      <w:szCs w:val="19"/>
                    </w:rPr>
                  </w:pPr>
                  <w:r>
                    <w:rPr>
                      <w:rFonts w:ascii="微软雅黑" w:hAnsi="微软雅黑" w:eastAsia="微软雅黑" w:cs="微软雅黑"/>
                      <w:color w:val="787878"/>
                      <w:spacing w:val="9"/>
                      <w:position w:val="-1"/>
                      <w:sz w:val="19"/>
                      <w:szCs w:val="19"/>
                    </w:rPr>
                    <w:t>数据孤岛阻碍数据内部共享</w:t>
                  </w:r>
                </w:p>
              </w:txbxContent>
            </v:textbox>
          </v:shape>
        </w:pict>
      </w:r>
      <w:r>
        <w:drawing>
          <wp:anchor distT="0" distB="0" distL="0" distR="0" simplePos="0" relativeHeight="251708416" behindDoc="0" locked="0" layoutInCell="1" allowOverlap="1">
            <wp:simplePos x="0" y="0"/>
            <wp:positionH relativeFrom="column">
              <wp:posOffset>2511425</wp:posOffset>
            </wp:positionH>
            <wp:positionV relativeFrom="paragraph">
              <wp:posOffset>61595</wp:posOffset>
            </wp:positionV>
            <wp:extent cx="184150" cy="99060"/>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38"/>
                    <a:stretch>
                      <a:fillRect/>
                    </a:stretch>
                  </pic:blipFill>
                  <pic:spPr>
                    <a:xfrm>
                      <a:off x="0" y="0"/>
                      <a:ext cx="184276" cy="99136"/>
                    </a:xfrm>
                    <a:prstGeom prst="rect">
                      <a:avLst/>
                    </a:prstGeom>
                  </pic:spPr>
                </pic:pic>
              </a:graphicData>
            </a:graphic>
          </wp:anchor>
        </w:drawing>
      </w:r>
      <w:r>
        <w:rPr>
          <w:rFonts w:ascii="微软雅黑" w:hAnsi="微软雅黑" w:eastAsia="微软雅黑" w:cs="微软雅黑"/>
          <w:color w:val="787878"/>
          <w:spacing w:val="9"/>
          <w:position w:val="-1"/>
          <w:sz w:val="19"/>
          <w:szCs w:val="19"/>
        </w:rPr>
        <w:t>数据开发效率和敏捷程度较低</w:t>
      </w:r>
    </w:p>
    <w:p w14:paraId="256DE46D">
      <w:pPr>
        <w:pStyle w:val="2"/>
        <w:spacing w:line="348" w:lineRule="auto"/>
      </w:pPr>
    </w:p>
    <w:p w14:paraId="5090FE2B">
      <w:pPr>
        <w:pStyle w:val="2"/>
        <w:spacing w:line="349" w:lineRule="auto"/>
      </w:pPr>
      <w:r>
        <w:drawing>
          <wp:anchor distT="0" distB="0" distL="0" distR="0" simplePos="0" relativeHeight="251710464" behindDoc="0" locked="0" layoutInCell="1" allowOverlap="1">
            <wp:simplePos x="0" y="0"/>
            <wp:positionH relativeFrom="column">
              <wp:posOffset>662305</wp:posOffset>
            </wp:positionH>
            <wp:positionV relativeFrom="paragraph">
              <wp:posOffset>16510</wp:posOffset>
            </wp:positionV>
            <wp:extent cx="1726565" cy="7620"/>
            <wp:effectExtent l="0" t="0" r="0" b="0"/>
            <wp:wrapNone/>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39"/>
                    <a:stretch>
                      <a:fillRect/>
                    </a:stretch>
                  </pic:blipFill>
                  <pic:spPr>
                    <a:xfrm>
                      <a:off x="0" y="0"/>
                      <a:ext cx="1726857" cy="7924"/>
                    </a:xfrm>
                    <a:prstGeom prst="rect">
                      <a:avLst/>
                    </a:prstGeom>
                  </pic:spPr>
                </pic:pic>
              </a:graphicData>
            </a:graphic>
          </wp:anchor>
        </w:drawing>
      </w:r>
      <w:r>
        <w:drawing>
          <wp:anchor distT="0" distB="0" distL="0" distR="0" simplePos="0" relativeHeight="251712512" behindDoc="0" locked="0" layoutInCell="1" allowOverlap="1">
            <wp:simplePos x="0" y="0"/>
            <wp:positionH relativeFrom="column">
              <wp:posOffset>4068445</wp:posOffset>
            </wp:positionH>
            <wp:positionV relativeFrom="paragraph">
              <wp:posOffset>16510</wp:posOffset>
            </wp:positionV>
            <wp:extent cx="1726565" cy="7620"/>
            <wp:effectExtent l="0" t="0" r="0" b="0"/>
            <wp:wrapNone/>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40"/>
                    <a:stretch>
                      <a:fillRect/>
                    </a:stretch>
                  </pic:blipFill>
                  <pic:spPr>
                    <a:xfrm>
                      <a:off x="0" y="0"/>
                      <a:ext cx="1726844" cy="7924"/>
                    </a:xfrm>
                    <a:prstGeom prst="rect">
                      <a:avLst/>
                    </a:prstGeom>
                  </pic:spPr>
                </pic:pic>
              </a:graphicData>
            </a:graphic>
          </wp:anchor>
        </w:drawing>
      </w:r>
      <w:r>
        <w:drawing>
          <wp:anchor distT="0" distB="0" distL="0" distR="0" simplePos="0" relativeHeight="251698176" behindDoc="0" locked="0" layoutInCell="1" allowOverlap="1">
            <wp:simplePos x="0" y="0"/>
            <wp:positionH relativeFrom="column">
              <wp:posOffset>2061210</wp:posOffset>
            </wp:positionH>
            <wp:positionV relativeFrom="paragraph">
              <wp:posOffset>74295</wp:posOffset>
            </wp:positionV>
            <wp:extent cx="635635" cy="527050"/>
            <wp:effectExtent l="0" t="0" r="0" b="0"/>
            <wp:wrapNone/>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41"/>
                    <a:stretch>
                      <a:fillRect/>
                    </a:stretch>
                  </pic:blipFill>
                  <pic:spPr>
                    <a:xfrm>
                      <a:off x="0" y="0"/>
                      <a:ext cx="635876" cy="527142"/>
                    </a:xfrm>
                    <a:prstGeom prst="rect">
                      <a:avLst/>
                    </a:prstGeom>
                  </pic:spPr>
                </pic:pic>
              </a:graphicData>
            </a:graphic>
          </wp:anchor>
        </w:drawing>
      </w:r>
      <w:r>
        <w:drawing>
          <wp:anchor distT="0" distB="0" distL="0" distR="0" simplePos="0" relativeHeight="251699200" behindDoc="0" locked="0" layoutInCell="1" allowOverlap="1">
            <wp:simplePos x="0" y="0"/>
            <wp:positionH relativeFrom="column">
              <wp:posOffset>3761740</wp:posOffset>
            </wp:positionH>
            <wp:positionV relativeFrom="paragraph">
              <wp:posOffset>74295</wp:posOffset>
            </wp:positionV>
            <wp:extent cx="635635" cy="527050"/>
            <wp:effectExtent l="0" t="0" r="0" b="0"/>
            <wp:wrapNone/>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42"/>
                    <a:stretch>
                      <a:fillRect/>
                    </a:stretch>
                  </pic:blipFill>
                  <pic:spPr>
                    <a:xfrm>
                      <a:off x="0" y="0"/>
                      <a:ext cx="635875" cy="527142"/>
                    </a:xfrm>
                    <a:prstGeom prst="rect">
                      <a:avLst/>
                    </a:prstGeom>
                  </pic:spPr>
                </pic:pic>
              </a:graphicData>
            </a:graphic>
          </wp:anchor>
        </w:drawing>
      </w:r>
    </w:p>
    <w:p w14:paraId="3A7EBA6C">
      <w:pPr>
        <w:spacing w:before="81" w:line="196" w:lineRule="exact"/>
        <w:ind w:left="580"/>
        <w:rPr>
          <w:rFonts w:ascii="微软雅黑" w:hAnsi="微软雅黑" w:eastAsia="微软雅黑" w:cs="微软雅黑"/>
          <w:sz w:val="19"/>
          <w:szCs w:val="19"/>
        </w:rPr>
      </w:pPr>
      <w:r>
        <w:pict>
          <v:shape id="_x0000_s1066" o:spid="_x0000_s1066" o:spt="202" type="#_x0000_t202" style="position:absolute;left:0pt;margin-left:350.25pt;margin-top:3.05pt;height:11.8pt;width:101.5pt;z-index:251705344;mso-width-relative:page;mso-height-relative:page;" filled="f" stroked="f" coordsize="21600,21600">
            <v:path/>
            <v:fill on="f" focussize="0,0"/>
            <v:stroke on="f"/>
            <v:imagedata o:title=""/>
            <o:lock v:ext="edit" aspectratio="f"/>
            <v:textbox inset="0mm,0mm,0mm,0mm">
              <w:txbxContent>
                <w:p w14:paraId="5B76F189">
                  <w:pPr>
                    <w:spacing w:before="20" w:line="195" w:lineRule="exact"/>
                    <w:ind w:left="20"/>
                    <w:rPr>
                      <w:rFonts w:ascii="微软雅黑" w:hAnsi="微软雅黑" w:eastAsia="微软雅黑" w:cs="微软雅黑"/>
                      <w:sz w:val="19"/>
                      <w:szCs w:val="19"/>
                    </w:rPr>
                  </w:pPr>
                  <w:r>
                    <w:rPr>
                      <w:rFonts w:ascii="微软雅黑" w:hAnsi="微软雅黑" w:eastAsia="微软雅黑" w:cs="微软雅黑"/>
                      <w:color w:val="6E9E85"/>
                      <w:spacing w:val="8"/>
                      <w:position w:val="-1"/>
                      <w:sz w:val="19"/>
                      <w:szCs w:val="19"/>
                    </w:rPr>
                    <w:t>数据资产无法持续运营</w:t>
                  </w:r>
                </w:p>
              </w:txbxContent>
            </v:textbox>
          </v:shape>
        </w:pict>
      </w:r>
      <w:r>
        <w:drawing>
          <wp:anchor distT="0" distB="0" distL="0" distR="0" simplePos="0" relativeHeight="251707392" behindDoc="0" locked="0" layoutInCell="1" allowOverlap="1">
            <wp:simplePos x="0" y="0"/>
            <wp:positionH relativeFrom="column">
              <wp:posOffset>2281555</wp:posOffset>
            </wp:positionH>
            <wp:positionV relativeFrom="paragraph">
              <wp:posOffset>52070</wp:posOffset>
            </wp:positionV>
            <wp:extent cx="184785" cy="99060"/>
            <wp:effectExtent l="0" t="0" r="0" b="0"/>
            <wp:wrapNone/>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43"/>
                    <a:stretch>
                      <a:fillRect/>
                    </a:stretch>
                  </pic:blipFill>
                  <pic:spPr>
                    <a:xfrm>
                      <a:off x="0" y="0"/>
                      <a:ext cx="184658" cy="99136"/>
                    </a:xfrm>
                    <a:prstGeom prst="rect">
                      <a:avLst/>
                    </a:prstGeom>
                  </pic:spPr>
                </pic:pic>
              </a:graphicData>
            </a:graphic>
          </wp:anchor>
        </w:drawing>
      </w:r>
      <w:r>
        <w:rPr>
          <w:rFonts w:ascii="微软雅黑" w:hAnsi="微软雅黑" w:eastAsia="微软雅黑" w:cs="微软雅黑"/>
          <w:color w:val="6E9E85"/>
          <w:spacing w:val="9"/>
          <w:position w:val="-1"/>
          <w:sz w:val="19"/>
          <w:szCs w:val="19"/>
        </w:rPr>
        <w:t>数据管理与业务发展存在割裂</w:t>
      </w:r>
    </w:p>
    <w:p w14:paraId="066313A9">
      <w:pPr>
        <w:pStyle w:val="2"/>
        <w:spacing w:line="326" w:lineRule="auto"/>
      </w:pPr>
    </w:p>
    <w:p w14:paraId="718D00E8">
      <w:pPr>
        <w:pStyle w:val="2"/>
        <w:spacing w:line="327" w:lineRule="auto"/>
      </w:pPr>
      <w:r>
        <w:drawing>
          <wp:anchor distT="0" distB="0" distL="0" distR="0" simplePos="0" relativeHeight="251709440" behindDoc="0" locked="0" layoutInCell="1" allowOverlap="1">
            <wp:simplePos x="0" y="0"/>
            <wp:positionH relativeFrom="column">
              <wp:posOffset>662305</wp:posOffset>
            </wp:positionH>
            <wp:positionV relativeFrom="paragraph">
              <wp:posOffset>50800</wp:posOffset>
            </wp:positionV>
            <wp:extent cx="1726565" cy="7620"/>
            <wp:effectExtent l="0" t="0" r="0" b="0"/>
            <wp:wrapNone/>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44"/>
                    <a:stretch>
                      <a:fillRect/>
                    </a:stretch>
                  </pic:blipFill>
                  <pic:spPr>
                    <a:xfrm>
                      <a:off x="0" y="0"/>
                      <a:ext cx="1726857" cy="7924"/>
                    </a:xfrm>
                    <a:prstGeom prst="rect">
                      <a:avLst/>
                    </a:prstGeom>
                  </pic:spPr>
                </pic:pic>
              </a:graphicData>
            </a:graphic>
          </wp:anchor>
        </w:drawing>
      </w:r>
      <w:r>
        <w:drawing>
          <wp:anchor distT="0" distB="0" distL="0" distR="0" simplePos="0" relativeHeight="251711488" behindDoc="0" locked="0" layoutInCell="1" allowOverlap="1">
            <wp:simplePos x="0" y="0"/>
            <wp:positionH relativeFrom="column">
              <wp:posOffset>4068445</wp:posOffset>
            </wp:positionH>
            <wp:positionV relativeFrom="paragraph">
              <wp:posOffset>50800</wp:posOffset>
            </wp:positionV>
            <wp:extent cx="1726565" cy="7620"/>
            <wp:effectExtent l="0" t="0" r="0" b="0"/>
            <wp:wrapNone/>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45"/>
                    <a:stretch>
                      <a:fillRect/>
                    </a:stretch>
                  </pic:blipFill>
                  <pic:spPr>
                    <a:xfrm>
                      <a:off x="0" y="0"/>
                      <a:ext cx="1726844" cy="7924"/>
                    </a:xfrm>
                    <a:prstGeom prst="rect">
                      <a:avLst/>
                    </a:prstGeom>
                  </pic:spPr>
                </pic:pic>
              </a:graphicData>
            </a:graphic>
          </wp:anchor>
        </w:drawing>
      </w:r>
      <w:r>
        <w:drawing>
          <wp:anchor distT="0" distB="0" distL="0" distR="0" simplePos="0" relativeHeight="251706368" behindDoc="0" locked="0" layoutInCell="1" allowOverlap="1">
            <wp:simplePos x="0" y="0"/>
            <wp:positionH relativeFrom="column">
              <wp:posOffset>2511425</wp:posOffset>
            </wp:positionH>
            <wp:positionV relativeFrom="paragraph">
              <wp:posOffset>244475</wp:posOffset>
            </wp:positionV>
            <wp:extent cx="185420" cy="99060"/>
            <wp:effectExtent l="0" t="0" r="0" b="0"/>
            <wp:wrapNone/>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46"/>
                    <a:stretch>
                      <a:fillRect/>
                    </a:stretch>
                  </pic:blipFill>
                  <pic:spPr>
                    <a:xfrm>
                      <a:off x="0" y="0"/>
                      <a:ext cx="185267" cy="99199"/>
                    </a:xfrm>
                    <a:prstGeom prst="rect">
                      <a:avLst/>
                    </a:prstGeom>
                  </pic:spPr>
                </pic:pic>
              </a:graphicData>
            </a:graphic>
          </wp:anchor>
        </w:drawing>
      </w:r>
      <w:r>
        <w:drawing>
          <wp:anchor distT="0" distB="0" distL="0" distR="0" simplePos="0" relativeHeight="251701248" behindDoc="0" locked="0" layoutInCell="1" allowOverlap="1">
            <wp:simplePos x="0" y="0"/>
            <wp:positionH relativeFrom="column">
              <wp:posOffset>2381250</wp:posOffset>
            </wp:positionH>
            <wp:positionV relativeFrom="paragraph">
              <wp:posOffset>82550</wp:posOffset>
            </wp:positionV>
            <wp:extent cx="443865" cy="451485"/>
            <wp:effectExtent l="0" t="0" r="0" b="0"/>
            <wp:wrapNone/>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47"/>
                    <a:stretch>
                      <a:fillRect/>
                    </a:stretch>
                  </pic:blipFill>
                  <pic:spPr>
                    <a:xfrm>
                      <a:off x="0" y="0"/>
                      <a:ext cx="443572" cy="451497"/>
                    </a:xfrm>
                    <a:prstGeom prst="rect">
                      <a:avLst/>
                    </a:prstGeom>
                  </pic:spPr>
                </pic:pic>
              </a:graphicData>
            </a:graphic>
          </wp:anchor>
        </w:drawing>
      </w:r>
    </w:p>
    <w:p w14:paraId="24532A0C">
      <w:pPr>
        <w:spacing w:before="82" w:line="196" w:lineRule="exact"/>
        <w:ind w:left="6634"/>
        <w:rPr>
          <w:rFonts w:ascii="微软雅黑" w:hAnsi="微软雅黑" w:eastAsia="微软雅黑" w:cs="微软雅黑"/>
          <w:sz w:val="19"/>
          <w:szCs w:val="19"/>
        </w:rPr>
      </w:pPr>
      <w:r>
        <w:pict>
          <v:shape id="_x0000_s1067" o:spid="_x0000_s1067" o:spt="202" type="#_x0000_t202" style="position:absolute;left:0pt;margin-left:56.75pt;margin-top:3.1pt;height:11.8pt;width:121.55pt;z-index:251703296;mso-width-relative:page;mso-height-relative:page;" filled="f" stroked="f" coordsize="21600,21600">
            <v:path/>
            <v:fill on="f" focussize="0,0"/>
            <v:stroke on="f"/>
            <v:imagedata o:title=""/>
            <o:lock v:ext="edit" aspectratio="f"/>
            <v:textbox inset="0mm,0mm,0mm,0mm">
              <w:txbxContent>
                <w:p w14:paraId="056C7DBC">
                  <w:pPr>
                    <w:spacing w:before="20" w:line="195" w:lineRule="exact"/>
                    <w:ind w:left="20"/>
                    <w:rPr>
                      <w:rFonts w:ascii="微软雅黑" w:hAnsi="微软雅黑" w:eastAsia="微软雅黑" w:cs="微软雅黑"/>
                      <w:sz w:val="19"/>
                      <w:szCs w:val="19"/>
                    </w:rPr>
                  </w:pPr>
                  <w:r>
                    <w:rPr>
                      <w:rFonts w:ascii="微软雅黑" w:hAnsi="微软雅黑" w:eastAsia="微软雅黑" w:cs="微软雅黑"/>
                      <w:color w:val="787878"/>
                      <w:spacing w:val="9"/>
                      <w:position w:val="-1"/>
                      <w:sz w:val="19"/>
                      <w:szCs w:val="19"/>
                    </w:rPr>
                    <w:t>数据资产管理内驱动力不足</w:t>
                  </w:r>
                </w:p>
              </w:txbxContent>
            </v:textbox>
          </v:shape>
        </w:pict>
      </w:r>
      <w:r>
        <w:rPr>
          <w:rFonts w:ascii="微软雅黑" w:hAnsi="微软雅黑" w:eastAsia="微软雅黑" w:cs="微软雅黑"/>
          <w:color w:val="787878"/>
          <w:spacing w:val="9"/>
          <w:position w:val="-1"/>
          <w:sz w:val="19"/>
          <w:szCs w:val="19"/>
        </w:rPr>
        <w:t>难以兼顾数据流通和数据安全</w:t>
      </w:r>
    </w:p>
    <w:p w14:paraId="525FCC36">
      <w:pPr>
        <w:pStyle w:val="2"/>
        <w:spacing w:line="252" w:lineRule="auto"/>
      </w:pPr>
    </w:p>
    <w:p w14:paraId="75E2256E">
      <w:pPr>
        <w:pStyle w:val="2"/>
        <w:spacing w:line="252" w:lineRule="auto"/>
      </w:pPr>
    </w:p>
    <w:p w14:paraId="1C0B6AAB">
      <w:pPr>
        <w:spacing w:before="86" w:line="204" w:lineRule="auto"/>
        <w:ind w:left="3920"/>
        <w:rPr>
          <w:rFonts w:ascii="微软雅黑" w:hAnsi="微软雅黑" w:eastAsia="微软雅黑" w:cs="微软雅黑"/>
          <w:sz w:val="20"/>
          <w:szCs w:val="20"/>
        </w:rPr>
      </w:pPr>
      <w:r>
        <w:rPr>
          <w:rFonts w:ascii="微软雅黑" w:hAnsi="微软雅黑" w:eastAsia="微软雅黑" w:cs="微软雅黑"/>
          <w:color w:val="231F20"/>
          <w:spacing w:val="2"/>
          <w:sz w:val="20"/>
          <w:szCs w:val="20"/>
        </w:rPr>
        <w:t>图 4</w:t>
      </w:r>
      <w:r>
        <w:rPr>
          <w:rFonts w:ascii="微软雅黑" w:hAnsi="微软雅黑" w:eastAsia="微软雅黑" w:cs="微软雅黑"/>
          <w:color w:val="231F20"/>
          <w:spacing w:val="12"/>
          <w:sz w:val="20"/>
          <w:szCs w:val="20"/>
        </w:rPr>
        <w:t xml:space="preserve"> </w:t>
      </w:r>
      <w:r>
        <w:rPr>
          <w:rFonts w:ascii="微软雅黑" w:hAnsi="微软雅黑" w:eastAsia="微软雅黑" w:cs="微软雅黑"/>
          <w:color w:val="231F20"/>
          <w:spacing w:val="2"/>
          <w:sz w:val="20"/>
          <w:szCs w:val="20"/>
        </w:rPr>
        <w:t>数据资产管理难点</w:t>
      </w:r>
    </w:p>
    <w:p w14:paraId="13B95D08">
      <w:pPr>
        <w:pStyle w:val="2"/>
        <w:spacing w:line="445" w:lineRule="auto"/>
      </w:pPr>
    </w:p>
    <w:p w14:paraId="6350FBB9">
      <w:pPr>
        <w:spacing w:before="95" w:line="287" w:lineRule="auto"/>
        <w:ind w:left="250" w:right="67" w:firstLine="479"/>
        <w:rPr>
          <w:rFonts w:ascii="微软雅黑" w:hAnsi="微软雅黑" w:eastAsia="微软雅黑" w:cs="微软雅黑"/>
          <w:sz w:val="22"/>
          <w:szCs w:val="22"/>
        </w:rPr>
      </w:pPr>
      <w:r>
        <w:rPr>
          <w:rFonts w:ascii="微软雅黑" w:hAnsi="微软雅黑" w:eastAsia="微软雅黑" w:cs="微软雅黑"/>
          <w:color w:val="231F20"/>
          <w:spacing w:val="9"/>
          <w:sz w:val="22"/>
          <w:szCs w:val="22"/>
        </w:rPr>
        <w:t>一是数据资产管理内驱动力不足。组织管理数据资产的动力主要来自外在</w:t>
      </w:r>
      <w:r>
        <w:rPr>
          <w:rFonts w:ascii="微软雅黑" w:hAnsi="微软雅黑" w:eastAsia="微软雅黑" w:cs="微软雅黑"/>
          <w:color w:val="231F20"/>
          <w:spacing w:val="8"/>
          <w:sz w:val="22"/>
          <w:szCs w:val="22"/>
        </w:rPr>
        <w:t>动力和内在动力</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两个方面。随着鼓励组织开展数字化转型的国家和行业政策陆续发布，以及数据分析和应用对</w:t>
      </w:r>
    </w:p>
    <w:p w14:paraId="1BD411B6">
      <w:pPr>
        <w:pStyle w:val="2"/>
        <w:spacing w:before="261" w:line="194" w:lineRule="auto"/>
        <w:ind w:left="4900"/>
        <w:rPr>
          <w:sz w:val="20"/>
          <w:szCs w:val="20"/>
        </w:rPr>
      </w:pPr>
      <w:r>
        <w:pict>
          <v:shape id="_x0000_s1068" o:spid="_x0000_s1068" o:spt="202" type="#_x0000_t202" style="position:absolute;left:0pt;margin-left:274.65pt;margin-top:16.7pt;height:15.95pt;width:199.4pt;z-index:251697152;mso-width-relative:page;mso-height-relative:page;" filled="f" stroked="f" coordsize="21600,21600">
            <v:path/>
            <v:fill on="f" focussize="0,0"/>
            <v:stroke on="f"/>
            <v:imagedata o:title=""/>
            <o:lock v:ext="edit" aspectratio="f"/>
            <v:textbox inset="0mm,0mm,0mm,0mm">
              <w:txbxContent>
                <w:p w14:paraId="696A6617">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z w:val="20"/>
          <w:szCs w:val="20"/>
        </w:rPr>
        <w:t>8</w:t>
      </w:r>
    </w:p>
    <w:p w14:paraId="13085E0A">
      <w:pPr>
        <w:spacing w:line="194" w:lineRule="auto"/>
        <w:rPr>
          <w:sz w:val="20"/>
          <w:szCs w:val="20"/>
        </w:rPr>
        <w:sectPr>
          <w:pgSz w:w="11906" w:h="16158"/>
          <w:pgMar w:top="400" w:right="1178" w:bottom="400" w:left="1004" w:header="0" w:footer="0" w:gutter="0"/>
          <w:cols w:space="720" w:num="1"/>
        </w:sectPr>
      </w:pPr>
    </w:p>
    <w:p w14:paraId="12EBB269">
      <w:pPr>
        <w:pStyle w:val="2"/>
        <w:spacing w:line="349" w:lineRule="auto"/>
      </w:pPr>
    </w:p>
    <w:p w14:paraId="1FA0954A">
      <w:pPr>
        <w:pStyle w:val="2"/>
        <w:spacing w:line="350" w:lineRule="auto"/>
      </w:pPr>
    </w:p>
    <w:p w14:paraId="1609C8C7">
      <w:pPr>
        <w:spacing w:before="80" w:line="182" w:lineRule="auto"/>
        <w:rPr>
          <w:rFonts w:ascii="Segoe UI" w:hAnsi="Segoe UI" w:eastAsia="Segoe UI" w:cs="Segoe UI"/>
          <w:sz w:val="24"/>
          <w:szCs w:val="24"/>
        </w:rPr>
      </w:pPr>
      <w:r>
        <w:rPr>
          <w:rFonts w:ascii="Segoe UI" w:hAnsi="Segoe UI" w:eastAsia="Segoe UI" w:cs="Segoe UI"/>
          <w:b/>
          <w:bCs/>
          <w:color w:val="648676"/>
          <w:spacing w:val="29"/>
          <w:w w:val="108"/>
          <w:sz w:val="24"/>
          <w:szCs w:val="24"/>
        </w:rPr>
        <w:t>CHAPTER -1</w:t>
      </w:r>
    </w:p>
    <w:p w14:paraId="7F13AA89">
      <w:pPr>
        <w:spacing w:before="55" w:line="178" w:lineRule="auto"/>
        <w:ind w:left="422"/>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数据资产管理概述</w:t>
      </w:r>
    </w:p>
    <w:p w14:paraId="5ECCBD5D">
      <w:pPr>
        <w:pStyle w:val="2"/>
        <w:spacing w:line="293" w:lineRule="auto"/>
      </w:pPr>
    </w:p>
    <w:p w14:paraId="0B4B77C4">
      <w:pPr>
        <w:pStyle w:val="2"/>
        <w:spacing w:line="293" w:lineRule="auto"/>
      </w:pPr>
    </w:p>
    <w:p w14:paraId="17546F96">
      <w:pPr>
        <w:pStyle w:val="2"/>
        <w:spacing w:line="293" w:lineRule="auto"/>
      </w:pPr>
    </w:p>
    <w:p w14:paraId="3C5969DF">
      <w:pPr>
        <w:spacing w:before="94" w:line="290" w:lineRule="auto"/>
        <w:ind w:left="248" w:right="73"/>
        <w:jc w:val="both"/>
        <w:rPr>
          <w:rFonts w:ascii="微软雅黑" w:hAnsi="微软雅黑" w:eastAsia="微软雅黑" w:cs="微软雅黑"/>
          <w:sz w:val="22"/>
          <w:szCs w:val="22"/>
        </w:rPr>
      </w:pPr>
      <w:r>
        <w:rPr>
          <w:rFonts w:ascii="微软雅黑" w:hAnsi="微软雅黑" w:eastAsia="微软雅黑" w:cs="微软雅黑"/>
          <w:color w:val="231F20"/>
          <w:spacing w:val="9"/>
          <w:sz w:val="22"/>
          <w:szCs w:val="22"/>
        </w:rPr>
        <w:t>于同业竞争的优势日趋显著，组织开展数据资产管理的外部动力逐渐增强。但是，对于多数组 织而言，仍面临数据资产管理价值不明显、数据资产管理路径不清晰等问题，管理层尚未达成</w:t>
      </w:r>
      <w:r>
        <w:rPr>
          <w:rFonts w:ascii="微软雅黑" w:hAnsi="微软雅黑" w:eastAsia="微软雅黑" w:cs="微软雅黑"/>
          <w:color w:val="231F20"/>
          <w:spacing w:val="10"/>
          <w:sz w:val="22"/>
          <w:szCs w:val="22"/>
        </w:rPr>
        <w:t xml:space="preserve"> </w:t>
      </w:r>
      <w:r>
        <w:rPr>
          <w:rFonts w:ascii="微软雅黑" w:hAnsi="微软雅黑" w:eastAsia="微软雅黑" w:cs="微软雅黑"/>
          <w:color w:val="231F20"/>
          <w:spacing w:val="9"/>
          <w:sz w:val="22"/>
          <w:szCs w:val="22"/>
        </w:rPr>
        <w:t>数据战略共识，短时期内数据资产管理投入产出比较低，导致组织开展数据资产</w:t>
      </w:r>
      <w:r>
        <w:rPr>
          <w:rFonts w:ascii="微软雅黑" w:hAnsi="微软雅黑" w:eastAsia="微软雅黑" w:cs="微软雅黑"/>
          <w:color w:val="231F20"/>
          <w:spacing w:val="8"/>
          <w:sz w:val="22"/>
          <w:szCs w:val="22"/>
        </w:rPr>
        <w:t>管理内驱动力</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不足。</w:t>
      </w:r>
    </w:p>
    <w:p w14:paraId="532098A0">
      <w:pPr>
        <w:spacing w:before="9" w:line="287" w:lineRule="auto"/>
        <w:ind w:left="247" w:right="68" w:firstLine="487"/>
        <w:jc w:val="both"/>
        <w:rPr>
          <w:rFonts w:ascii="微软雅黑" w:hAnsi="微软雅黑" w:eastAsia="微软雅黑" w:cs="微软雅黑"/>
          <w:sz w:val="22"/>
          <w:szCs w:val="22"/>
        </w:rPr>
      </w:pPr>
      <w:r>
        <w:rPr>
          <w:rFonts w:ascii="微软雅黑" w:hAnsi="微软雅黑" w:eastAsia="微软雅黑" w:cs="微软雅黑"/>
          <w:color w:val="231F20"/>
          <w:spacing w:val="9"/>
          <w:sz w:val="22"/>
          <w:szCs w:val="22"/>
        </w:rPr>
        <w:t>二是数据资产管理与业务发展存在割裂。现阶段企业开展数</w:t>
      </w:r>
      <w:r>
        <w:rPr>
          <w:rFonts w:ascii="微软雅黑" w:hAnsi="微软雅黑" w:eastAsia="微软雅黑" w:cs="微软雅黑"/>
          <w:color w:val="231F20"/>
          <w:spacing w:val="8"/>
          <w:sz w:val="22"/>
          <w:szCs w:val="22"/>
        </w:rPr>
        <w:t>据资产管理主要是为经营管理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和业务决策提供数据支持，数据资产管理应与业务发展紧密耦合，数据资产也需要借助业务活</w:t>
      </w:r>
      <w:r>
        <w:rPr>
          <w:rFonts w:ascii="微软雅黑" w:hAnsi="微软雅黑" w:eastAsia="微软雅黑" w:cs="微软雅黑"/>
          <w:color w:val="231F20"/>
          <w:spacing w:val="12"/>
          <w:sz w:val="22"/>
          <w:szCs w:val="22"/>
        </w:rPr>
        <w:t xml:space="preserve"> </w:t>
      </w:r>
      <w:r>
        <w:rPr>
          <w:rFonts w:ascii="微软雅黑" w:hAnsi="微软雅黑" w:eastAsia="微软雅黑" w:cs="微软雅黑"/>
          <w:color w:val="231F20"/>
          <w:spacing w:val="9"/>
          <w:sz w:val="22"/>
          <w:szCs w:val="22"/>
        </w:rPr>
        <w:t>动实现价值释放。然而，很多组织的数据资产管理工</w:t>
      </w:r>
      <w:r>
        <w:rPr>
          <w:rFonts w:ascii="微软雅黑" w:hAnsi="微软雅黑" w:eastAsia="微软雅黑" w:cs="微软雅黑"/>
          <w:color w:val="231F20"/>
          <w:spacing w:val="8"/>
          <w:sz w:val="22"/>
          <w:szCs w:val="22"/>
        </w:rPr>
        <w:t>作与实际业务存在“脱节”情况。</w:t>
      </w:r>
      <w:r>
        <w:rPr>
          <w:rFonts w:ascii="微软雅黑" w:hAnsi="微软雅黑" w:eastAsia="微软雅黑" w:cs="微软雅黑"/>
          <w:color w:val="231F20"/>
          <w:spacing w:val="-32"/>
          <w:sz w:val="22"/>
          <w:szCs w:val="22"/>
        </w:rPr>
        <w:t xml:space="preserve"> </w:t>
      </w:r>
      <w:r>
        <w:rPr>
          <w:rFonts w:ascii="微软雅黑" w:hAnsi="微软雅黑" w:eastAsia="微软雅黑" w:cs="微软雅黑"/>
          <w:color w:val="231F20"/>
          <w:spacing w:val="8"/>
          <w:sz w:val="22"/>
          <w:szCs w:val="22"/>
        </w:rPr>
        <w:t>战略层</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面不一致，多数企业尽管具备一定的数据资产管理意识，但是并未在企业发展规划中明确数据</w:t>
      </w:r>
      <w:r>
        <w:rPr>
          <w:rFonts w:ascii="微软雅黑" w:hAnsi="微软雅黑" w:eastAsia="微软雅黑" w:cs="微软雅黑"/>
          <w:color w:val="231F20"/>
          <w:spacing w:val="10"/>
          <w:sz w:val="22"/>
          <w:szCs w:val="22"/>
        </w:rPr>
        <w:t xml:space="preserve"> </w:t>
      </w:r>
      <w:r>
        <w:rPr>
          <w:rFonts w:ascii="微软雅黑" w:hAnsi="微软雅黑" w:eastAsia="微软雅黑" w:cs="微软雅黑"/>
          <w:color w:val="231F20"/>
          <w:spacing w:val="8"/>
          <w:sz w:val="22"/>
          <w:szCs w:val="22"/>
        </w:rPr>
        <w:t>资产管理如何与业务结合。同时，</w:t>
      </w:r>
      <w:r>
        <w:rPr>
          <w:rFonts w:ascii="微软雅黑" w:hAnsi="微软雅黑" w:eastAsia="微软雅黑" w:cs="微软雅黑"/>
          <w:color w:val="231F20"/>
          <w:spacing w:val="-25"/>
          <w:sz w:val="22"/>
          <w:szCs w:val="22"/>
        </w:rPr>
        <w:t xml:space="preserve"> </w:t>
      </w:r>
      <w:r>
        <w:rPr>
          <w:rFonts w:ascii="微软雅黑" w:hAnsi="微软雅黑" w:eastAsia="微软雅黑" w:cs="微软雅黑"/>
          <w:color w:val="231F20"/>
          <w:spacing w:val="8"/>
          <w:sz w:val="22"/>
          <w:szCs w:val="22"/>
        </w:rPr>
        <w:t>组织层面不统一，数据资产管理团队与业务团队缺乏有效的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协同机制，使数据资产管理团队不清楚业务的数据需求，业务团队不知道如何参与数据资产管</w:t>
      </w:r>
      <w:r>
        <w:rPr>
          <w:rFonts w:ascii="微软雅黑" w:hAnsi="微软雅黑" w:eastAsia="微软雅黑" w:cs="微软雅黑"/>
          <w:color w:val="231F20"/>
          <w:spacing w:val="12"/>
          <w:sz w:val="22"/>
          <w:szCs w:val="22"/>
        </w:rPr>
        <w:t xml:space="preserve"> </w:t>
      </w:r>
      <w:r>
        <w:rPr>
          <w:rFonts w:ascii="微软雅黑" w:hAnsi="微软雅黑" w:eastAsia="微软雅黑" w:cs="微软雅黑"/>
          <w:color w:val="231F20"/>
          <w:spacing w:val="1"/>
          <w:sz w:val="22"/>
          <w:szCs w:val="22"/>
        </w:rPr>
        <w:t>理工作。</w:t>
      </w:r>
    </w:p>
    <w:p w14:paraId="4F2E5ECE">
      <w:pPr>
        <w:spacing w:before="64" w:line="290" w:lineRule="auto"/>
        <w:ind w:left="248" w:right="68" w:firstLine="483"/>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三是数据孤岛阻碍数据内部共享。打通组织内数据流通壁垒，是推进数据资产在</w:t>
      </w:r>
      <w:r>
        <w:rPr>
          <w:rFonts w:ascii="微软雅黑" w:hAnsi="微软雅黑" w:eastAsia="微软雅黑" w:cs="微软雅黑"/>
          <w:color w:val="231F20"/>
          <w:spacing w:val="2"/>
          <w:sz w:val="22"/>
          <w:szCs w:val="22"/>
        </w:rPr>
        <w:t>组织内高效</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流转的关键环节。但是，由于信息化阶数据系统分散建设，数据能力分散</w:t>
      </w:r>
      <w:r>
        <w:rPr>
          <w:rFonts w:ascii="微软雅黑" w:hAnsi="微软雅黑" w:eastAsia="微软雅黑" w:cs="微软雅黑"/>
          <w:color w:val="231F20"/>
          <w:spacing w:val="3"/>
          <w:sz w:val="22"/>
          <w:szCs w:val="22"/>
        </w:rPr>
        <w:t>培养，缺乏体系化管理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数据资产的意识，缺少统一的数据资产管理平台与团队，使得数据孤岛发展为普遍问题</w:t>
      </w:r>
      <w:r>
        <w:rPr>
          <w:rFonts w:ascii="微软雅黑" w:hAnsi="微软雅黑" w:eastAsia="微软雅黑" w:cs="微软雅黑"/>
          <w:color w:val="231F20"/>
          <w:spacing w:val="3"/>
          <w:sz w:val="22"/>
          <w:szCs w:val="22"/>
        </w:rPr>
        <w:t>，并进一</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步成为组织全面开启数字化转型、构建业务技术协同机制的“绊脚石”。</w:t>
      </w:r>
    </w:p>
    <w:p w14:paraId="0D76A585">
      <w:pPr>
        <w:spacing w:before="15" w:line="291" w:lineRule="auto"/>
        <w:ind w:left="247" w:firstLine="493"/>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四是数据质量难以及时满足业务预期。数据资产管理的核心目</w:t>
      </w:r>
      <w:r>
        <w:rPr>
          <w:rFonts w:ascii="微软雅黑" w:hAnsi="微软雅黑" w:eastAsia="微软雅黑" w:cs="微软雅黑"/>
          <w:color w:val="231F20"/>
          <w:spacing w:val="2"/>
          <w:sz w:val="22"/>
          <w:szCs w:val="22"/>
        </w:rPr>
        <w:t>标之一是提升数据质量，以提</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高数据决策的准确性。但是，目前多数企业面临数据质</w:t>
      </w:r>
      <w:r>
        <w:rPr>
          <w:rFonts w:ascii="微软雅黑" w:hAnsi="微软雅黑" w:eastAsia="微软雅黑" w:cs="微软雅黑"/>
          <w:color w:val="231F20"/>
          <w:spacing w:val="-10"/>
          <w:sz w:val="22"/>
          <w:szCs w:val="22"/>
        </w:rPr>
        <w:t>量不达预期、质量提升缓慢的问题。究其原因，</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主要包括以下三个方面：一是未进行源头数据质量治理，“垃圾”数据</w:t>
      </w:r>
      <w:r>
        <w:rPr>
          <w:rFonts w:ascii="微软雅黑" w:hAnsi="微软雅黑" w:eastAsia="微软雅黑" w:cs="微软雅黑"/>
          <w:color w:val="231F20"/>
          <w:spacing w:val="3"/>
          <w:sz w:val="22"/>
          <w:szCs w:val="22"/>
        </w:rPr>
        <w:t>流入数据中心；二是数据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资产管理人员未与数据使用者之间形成协同，数</w:t>
      </w:r>
      <w:r>
        <w:rPr>
          <w:rFonts w:ascii="微软雅黑" w:hAnsi="微软雅黑" w:eastAsia="微软雅黑" w:cs="微软雅黑"/>
          <w:color w:val="231F20"/>
          <w:spacing w:val="3"/>
          <w:sz w:val="22"/>
          <w:szCs w:val="22"/>
        </w:rPr>
        <w:t>据质量规则并未得到数据生产者或数据使用者的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确认；三是数据质量管理的技术支持不足，手工操作在数据质量管理中占比较高，导致数</w:t>
      </w:r>
      <w:r>
        <w:rPr>
          <w:rFonts w:ascii="微软雅黑" w:hAnsi="微软雅黑" w:eastAsia="微软雅黑" w:cs="微软雅黑"/>
          <w:color w:val="231F20"/>
          <w:spacing w:val="3"/>
          <w:sz w:val="22"/>
          <w:szCs w:val="22"/>
        </w:rPr>
        <w:t>据质量</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问题发现与整改不及时。</w:t>
      </w:r>
    </w:p>
    <w:p w14:paraId="542AF036">
      <w:pPr>
        <w:spacing w:before="17" w:line="290" w:lineRule="auto"/>
        <w:ind w:left="247" w:right="68" w:firstLine="483"/>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五是数据开发效率和敏捷程度较低。数据开发的效率及效果需要有配套的技术能力及设施保</w:t>
      </w:r>
      <w:r>
        <w:rPr>
          <w:rFonts w:ascii="微软雅黑" w:hAnsi="微软雅黑" w:eastAsia="微软雅黑" w:cs="微软雅黑"/>
          <w:color w:val="231F20"/>
          <w:spacing w:val="2"/>
          <w:sz w:val="22"/>
          <w:szCs w:val="22"/>
        </w:rPr>
        <w:t xml:space="preserve"> </w:t>
      </w:r>
      <w:r>
        <w:rPr>
          <w:rFonts w:ascii="微软雅黑" w:hAnsi="微软雅黑" w:eastAsia="微软雅黑" w:cs="微软雅黑"/>
          <w:color w:val="231F20"/>
          <w:spacing w:val="4"/>
          <w:sz w:val="22"/>
          <w:szCs w:val="22"/>
        </w:rPr>
        <w:t>障，数据开发的效率影响了数据资产的形成效率，数据开发的效果影响了数据</w:t>
      </w:r>
      <w:r>
        <w:rPr>
          <w:rFonts w:ascii="微软雅黑" w:hAnsi="微软雅黑" w:eastAsia="微软雅黑" w:cs="微软雅黑"/>
          <w:color w:val="231F20"/>
          <w:spacing w:val="3"/>
          <w:sz w:val="22"/>
          <w:szCs w:val="22"/>
        </w:rPr>
        <w:t>资产对业务的指导</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效果。大多数企业因为无体系化的数据开发及数据资产沉淀机制，无法及时</w:t>
      </w:r>
      <w:r>
        <w:rPr>
          <w:rFonts w:ascii="微软雅黑" w:hAnsi="微软雅黑" w:eastAsia="微软雅黑" w:cs="微软雅黑"/>
          <w:color w:val="231F20"/>
          <w:spacing w:val="3"/>
          <w:sz w:val="22"/>
          <w:szCs w:val="22"/>
        </w:rPr>
        <w:t>有效形成数据资产并</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沉淀下来。</w:t>
      </w:r>
    </w:p>
    <w:p w14:paraId="3B7D2789">
      <w:pPr>
        <w:spacing w:before="14" w:line="287" w:lineRule="auto"/>
        <w:ind w:left="266" w:firstLine="467"/>
        <w:rPr>
          <w:rFonts w:ascii="微软雅黑" w:hAnsi="微软雅黑" w:eastAsia="微软雅黑" w:cs="微软雅黑"/>
          <w:sz w:val="22"/>
          <w:szCs w:val="22"/>
        </w:rPr>
      </w:pPr>
      <w:r>
        <w:rPr>
          <w:rFonts w:ascii="微软雅黑" w:hAnsi="微软雅黑" w:eastAsia="微软雅黑" w:cs="微软雅黑"/>
          <w:color w:val="231F20"/>
          <w:spacing w:val="-6"/>
          <w:sz w:val="22"/>
          <w:szCs w:val="22"/>
        </w:rPr>
        <w:t>六是数据资产无法持续运营。数据资产运营是推动数据资产管理长期、持续开展的关键。但是，</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由于多数组织仍处于数据资产管理的初级阶段，尚未建立数据资产运营的理念与方法，难以充分</w:t>
      </w:r>
    </w:p>
    <w:p w14:paraId="4A44F780">
      <w:pPr>
        <w:pStyle w:val="2"/>
        <w:spacing w:line="275" w:lineRule="auto"/>
      </w:pPr>
    </w:p>
    <w:p w14:paraId="604A60F7">
      <w:pPr>
        <w:spacing w:before="78" w:line="212" w:lineRule="auto"/>
        <w:ind w:left="5513"/>
        <w:rPr>
          <w:rFonts w:hint="eastAsia" w:ascii="宋体" w:hAnsi="宋体" w:eastAsia="宋体" w:cs="宋体"/>
          <w:sz w:val="24"/>
          <w:szCs w:val="24"/>
          <w:lang w:eastAsia="zh-CN"/>
        </w:rPr>
      </w:pPr>
      <w:r>
        <w:pict>
          <v:shape id="_x0000_s1069" o:spid="_x0000_s1069" o:spt="202" type="#_x0000_t202" style="position:absolute;left:0pt;margin-left:244pt;margin-top:-1.75pt;height:11.3pt;width:7.15pt;z-index:251713536;mso-width-relative:page;mso-height-relative:page;" filled="f" stroked="f" coordsize="21600,21600">
            <v:path/>
            <v:fill on="f" focussize="0,0"/>
            <v:stroke on="f"/>
            <v:imagedata o:title=""/>
            <o:lock v:ext="edit" aspectratio="f"/>
            <v:textbox inset="0mm,0mm,0mm,0mm">
              <w:txbxContent>
                <w:p w14:paraId="30547466">
                  <w:pPr>
                    <w:pStyle w:val="2"/>
                    <w:spacing w:before="20" w:line="194" w:lineRule="auto"/>
                    <w:ind w:left="20"/>
                    <w:rPr>
                      <w:sz w:val="20"/>
                      <w:szCs w:val="20"/>
                    </w:rPr>
                  </w:pPr>
                  <w:r>
                    <w:rPr>
                      <w:color w:val="231F20"/>
                      <w:sz w:val="20"/>
                      <w:szCs w:val="20"/>
                    </w:rPr>
                    <w:t>9</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7C635754">
      <w:pPr>
        <w:spacing w:line="212" w:lineRule="auto"/>
        <w:rPr>
          <w:rFonts w:ascii="宋体" w:hAnsi="宋体" w:eastAsia="宋体" w:cs="宋体"/>
          <w:sz w:val="24"/>
          <w:szCs w:val="24"/>
        </w:rPr>
        <w:sectPr>
          <w:pgSz w:w="11906" w:h="16158"/>
          <w:pgMar w:top="400" w:right="1178" w:bottom="400" w:left="1004" w:header="0" w:footer="0" w:gutter="0"/>
          <w:cols w:space="720" w:num="1"/>
        </w:sectPr>
      </w:pPr>
    </w:p>
    <w:p w14:paraId="5B13C922">
      <w:pPr>
        <w:pStyle w:val="2"/>
        <w:spacing w:line="349" w:lineRule="auto"/>
      </w:pPr>
    </w:p>
    <w:p w14:paraId="78805129">
      <w:pPr>
        <w:pStyle w:val="2"/>
        <w:spacing w:line="350" w:lineRule="auto"/>
      </w:pPr>
    </w:p>
    <w:p w14:paraId="02E9ACEC">
      <w:pPr>
        <w:spacing w:before="80" w:line="182" w:lineRule="auto"/>
        <w:rPr>
          <w:rFonts w:ascii="Segoe UI" w:hAnsi="Segoe UI" w:eastAsia="Segoe UI" w:cs="Segoe UI"/>
          <w:sz w:val="24"/>
          <w:szCs w:val="24"/>
        </w:rPr>
      </w:pPr>
      <w:r>
        <w:rPr>
          <w:rFonts w:ascii="Segoe UI" w:hAnsi="Segoe UI" w:eastAsia="Segoe UI" w:cs="Segoe UI"/>
          <w:b/>
          <w:bCs/>
          <w:color w:val="648676"/>
          <w:spacing w:val="29"/>
          <w:w w:val="108"/>
          <w:sz w:val="24"/>
          <w:szCs w:val="24"/>
        </w:rPr>
        <w:t>CHAPTER -1</w:t>
      </w:r>
    </w:p>
    <w:p w14:paraId="675202B4">
      <w:pPr>
        <w:spacing w:before="55" w:line="178" w:lineRule="auto"/>
        <w:ind w:left="422"/>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数据资产管理概述</w:t>
      </w:r>
    </w:p>
    <w:p w14:paraId="05C6A92B">
      <w:pPr>
        <w:pStyle w:val="2"/>
        <w:spacing w:line="292" w:lineRule="auto"/>
      </w:pPr>
    </w:p>
    <w:p w14:paraId="7A0C3E18">
      <w:pPr>
        <w:pStyle w:val="2"/>
        <w:spacing w:line="293" w:lineRule="auto"/>
      </w:pPr>
    </w:p>
    <w:p w14:paraId="3AD1C000">
      <w:pPr>
        <w:pStyle w:val="2"/>
        <w:spacing w:line="293" w:lineRule="auto"/>
      </w:pPr>
    </w:p>
    <w:p w14:paraId="26B1A34F">
      <w:pPr>
        <w:spacing w:before="95" w:line="287" w:lineRule="auto"/>
        <w:ind w:left="247" w:right="94" w:firstLine="1"/>
        <w:rPr>
          <w:rFonts w:ascii="微软雅黑" w:hAnsi="微软雅黑" w:eastAsia="微软雅黑" w:cs="微软雅黑"/>
          <w:sz w:val="22"/>
          <w:szCs w:val="22"/>
        </w:rPr>
      </w:pPr>
      <w:bookmarkStart w:id="31" w:name="bookmark31"/>
      <w:bookmarkEnd w:id="31"/>
      <w:r>
        <w:rPr>
          <w:rFonts w:ascii="微软雅黑" w:hAnsi="微软雅黑" w:eastAsia="微软雅黑" w:cs="微软雅黑"/>
          <w:color w:val="231F20"/>
          <w:spacing w:val="4"/>
          <w:sz w:val="22"/>
          <w:szCs w:val="22"/>
        </w:rPr>
        <w:t>调动数据使用方参与数据资产管理的积极性，数据资产管理方与</w:t>
      </w:r>
      <w:r>
        <w:rPr>
          <w:rFonts w:ascii="微软雅黑" w:hAnsi="微软雅黑" w:eastAsia="微软雅黑" w:cs="微软雅黑"/>
          <w:color w:val="231F20"/>
          <w:spacing w:val="3"/>
          <w:sz w:val="22"/>
          <w:szCs w:val="22"/>
        </w:rPr>
        <w:t>使用方之间缺少良性沟通和反馈</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机制，降低了数据产品的应用效果。</w:t>
      </w:r>
    </w:p>
    <w:p w14:paraId="77A15D5F">
      <w:pPr>
        <w:spacing w:before="19" w:line="290" w:lineRule="auto"/>
        <w:ind w:left="247" w:right="83" w:firstLine="482"/>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七是难以兼顾数据流通和数据安全的平衡。近几年</w:t>
      </w:r>
      <w:r>
        <w:rPr>
          <w:rFonts w:ascii="微软雅黑" w:hAnsi="微软雅黑" w:eastAsia="微软雅黑" w:cs="微软雅黑"/>
          <w:color w:val="231F20"/>
          <w:spacing w:val="-4"/>
          <w:sz w:val="22"/>
          <w:szCs w:val="22"/>
        </w:rPr>
        <w:t>，</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pacing w:val="-4"/>
          <w:sz w:val="22"/>
          <w:szCs w:val="22"/>
        </w:rPr>
        <w:t>涉及个人信息泄露的数据安全事件频繁。</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2019 年 2 月，</w:t>
      </w:r>
      <w:r>
        <w:rPr>
          <w:rFonts w:ascii="微软雅黑" w:hAnsi="微软雅黑" w:eastAsia="微软雅黑" w:cs="微软雅黑"/>
          <w:color w:val="231F20"/>
          <w:sz w:val="22"/>
          <w:szCs w:val="22"/>
        </w:rPr>
        <w:t>Security</w:t>
      </w:r>
      <w:r>
        <w:rPr>
          <w:rFonts w:ascii="微软雅黑" w:hAnsi="微软雅黑" w:eastAsia="微软雅黑" w:cs="微软雅黑"/>
          <w:color w:val="231F20"/>
          <w:spacing w:val="46"/>
          <w:sz w:val="22"/>
          <w:szCs w:val="22"/>
        </w:rPr>
        <w:t xml:space="preserve"> </w:t>
      </w:r>
      <w:r>
        <w:rPr>
          <w:rFonts w:ascii="微软雅黑" w:hAnsi="微软雅黑" w:eastAsia="微软雅黑" w:cs="微软雅黑"/>
          <w:color w:val="231F20"/>
          <w:sz w:val="22"/>
          <w:szCs w:val="22"/>
        </w:rPr>
        <w:t>Discovery</w:t>
      </w:r>
      <w:r>
        <w:rPr>
          <w:rFonts w:ascii="微软雅黑" w:hAnsi="微软雅黑" w:eastAsia="微软雅黑" w:cs="微软雅黑"/>
          <w:color w:val="231F20"/>
          <w:spacing w:val="4"/>
          <w:sz w:val="22"/>
          <w:szCs w:val="22"/>
        </w:rPr>
        <w:t xml:space="preserve"> 安全研究人员发现，一个不受保护服务器公开了美国电子邮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件公司 Verifications.io 四个在线 MongoDB 数据库，其中包含 150GB 的详细营销数据和 8 亿多</w:t>
      </w:r>
      <w:r>
        <w:rPr>
          <w:rFonts w:ascii="微软雅黑" w:hAnsi="微软雅黑" w:eastAsia="微软雅黑" w:cs="微软雅黑"/>
          <w:color w:val="231F20"/>
          <w:sz w:val="22"/>
          <w:szCs w:val="22"/>
        </w:rPr>
        <w:t xml:space="preserve"> 个不同的电子邮箱地址。2020 年，我国微博超 5 亿用户数据</w:t>
      </w:r>
      <w:r>
        <w:rPr>
          <w:rFonts w:ascii="微软雅黑" w:hAnsi="微软雅黑" w:eastAsia="微软雅黑" w:cs="微软雅黑"/>
          <w:color w:val="231F20"/>
          <w:spacing w:val="-1"/>
          <w:sz w:val="22"/>
          <w:szCs w:val="22"/>
        </w:rPr>
        <w:t>在暗网出售，个人信息安全遭受巨大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危险，如此种种数据安全事件造成的损失不可估量。</w:t>
      </w:r>
    </w:p>
    <w:p w14:paraId="1A5AD3F2">
      <w:pPr>
        <w:pStyle w:val="2"/>
        <w:spacing w:line="382" w:lineRule="auto"/>
      </w:pPr>
    </w:p>
    <w:p w14:paraId="2E224616">
      <w:pPr>
        <w:spacing w:before="95" w:line="290" w:lineRule="auto"/>
        <w:ind w:left="247" w:firstLine="453"/>
        <w:jc w:val="both"/>
        <w:rPr>
          <w:rFonts w:ascii="微软雅黑" w:hAnsi="微软雅黑" w:eastAsia="微软雅黑" w:cs="微软雅黑"/>
          <w:sz w:val="22"/>
          <w:szCs w:val="22"/>
        </w:rPr>
      </w:pPr>
      <w:r>
        <w:rPr>
          <w:rFonts w:ascii="微软雅黑" w:hAnsi="微软雅黑" w:eastAsia="微软雅黑" w:cs="微软雅黑"/>
          <w:color w:val="231F20"/>
          <w:spacing w:val="-10"/>
          <w:sz w:val="22"/>
          <w:szCs w:val="22"/>
        </w:rPr>
        <w:t>《数据安全法》、《个人信息保护法》的颁布和实施为规范数据处理活动、保障数据安全和个人、</w:t>
      </w:r>
      <w:r>
        <w:rPr>
          <w:rFonts w:ascii="微软雅黑" w:hAnsi="微软雅黑" w:eastAsia="微软雅黑" w:cs="微软雅黑"/>
          <w:color w:val="231F20"/>
          <w:spacing w:val="6"/>
          <w:sz w:val="22"/>
          <w:szCs w:val="22"/>
        </w:rPr>
        <w:t xml:space="preserve"> </w:t>
      </w:r>
      <w:r>
        <w:rPr>
          <w:rFonts w:ascii="微软雅黑" w:hAnsi="微软雅黑" w:eastAsia="微软雅黑" w:cs="微软雅黑"/>
          <w:color w:val="231F20"/>
          <w:spacing w:val="3"/>
          <w:sz w:val="22"/>
          <w:szCs w:val="22"/>
        </w:rPr>
        <w:t>组织的合法权益奠定了法律基础，同时也对组织的数据安全治理能力与个人信息保护能力提出了</w:t>
      </w:r>
      <w:r>
        <w:rPr>
          <w:rFonts w:ascii="微软雅黑" w:hAnsi="微软雅黑" w:eastAsia="微软雅黑" w:cs="微软雅黑"/>
          <w:color w:val="231F20"/>
          <w:spacing w:val="7"/>
          <w:sz w:val="22"/>
          <w:szCs w:val="22"/>
        </w:rPr>
        <w:t xml:space="preserve">  </w:t>
      </w:r>
      <w:r>
        <w:rPr>
          <w:rFonts w:ascii="微软雅黑" w:hAnsi="微软雅黑" w:eastAsia="微软雅黑" w:cs="微软雅黑"/>
          <w:color w:val="231F20"/>
          <w:spacing w:val="3"/>
          <w:sz w:val="22"/>
          <w:szCs w:val="22"/>
        </w:rPr>
        <w:t>更高的要求。但是，</w:t>
      </w:r>
      <w:r>
        <w:rPr>
          <w:rFonts w:ascii="微软雅黑" w:hAnsi="微软雅黑" w:eastAsia="微软雅黑" w:cs="微软雅黑"/>
          <w:color w:val="231F20"/>
          <w:spacing w:val="-27"/>
          <w:sz w:val="22"/>
          <w:szCs w:val="22"/>
        </w:rPr>
        <w:t xml:space="preserve"> </w:t>
      </w:r>
      <w:r>
        <w:rPr>
          <w:rFonts w:ascii="微软雅黑" w:hAnsi="微软雅黑" w:eastAsia="微软雅黑" w:cs="微软雅黑"/>
          <w:color w:val="231F20"/>
          <w:spacing w:val="3"/>
          <w:sz w:val="22"/>
          <w:szCs w:val="22"/>
        </w:rPr>
        <w:t>由于目前多数组织的数据安全能力处于较为初步的阶段，对于数据资产流通</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的需求却在逐步攀升，随着数据规模的持续增加，多数</w:t>
      </w:r>
      <w:r>
        <w:rPr>
          <w:rFonts w:ascii="微软雅黑" w:hAnsi="微软雅黑" w:eastAsia="微软雅黑" w:cs="微软雅黑"/>
          <w:color w:val="231F20"/>
          <w:spacing w:val="3"/>
          <w:sz w:val="22"/>
          <w:szCs w:val="22"/>
        </w:rPr>
        <w:t>组织现阶段面临难以平衡数据资产流通和</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数据安全合规的问题。</w:t>
      </w:r>
    </w:p>
    <w:p w14:paraId="527F1D1A">
      <w:pPr>
        <w:pStyle w:val="2"/>
        <w:spacing w:line="244" w:lineRule="auto"/>
      </w:pPr>
    </w:p>
    <w:p w14:paraId="0804512C">
      <w:pPr>
        <w:pStyle w:val="2"/>
        <w:spacing w:line="244" w:lineRule="auto"/>
      </w:pPr>
    </w:p>
    <w:p w14:paraId="28445ED7">
      <w:pPr>
        <w:pStyle w:val="2"/>
        <w:spacing w:line="244" w:lineRule="auto"/>
      </w:pPr>
    </w:p>
    <w:p w14:paraId="04E20D7A">
      <w:pPr>
        <w:pStyle w:val="2"/>
        <w:spacing w:line="244" w:lineRule="auto"/>
      </w:pPr>
    </w:p>
    <w:p w14:paraId="33AD3708">
      <w:pPr>
        <w:pStyle w:val="2"/>
        <w:spacing w:line="244" w:lineRule="auto"/>
      </w:pPr>
    </w:p>
    <w:p w14:paraId="1BE93F54">
      <w:pPr>
        <w:pStyle w:val="2"/>
        <w:spacing w:line="244" w:lineRule="auto"/>
      </w:pPr>
    </w:p>
    <w:p w14:paraId="0FDDE48F">
      <w:pPr>
        <w:pStyle w:val="2"/>
        <w:spacing w:line="244" w:lineRule="auto"/>
      </w:pPr>
    </w:p>
    <w:p w14:paraId="4D961FE6">
      <w:pPr>
        <w:pStyle w:val="2"/>
        <w:spacing w:line="244" w:lineRule="auto"/>
      </w:pPr>
    </w:p>
    <w:p w14:paraId="3EF927D1">
      <w:pPr>
        <w:pStyle w:val="2"/>
        <w:spacing w:line="244" w:lineRule="auto"/>
      </w:pPr>
    </w:p>
    <w:p w14:paraId="0A3B7481">
      <w:pPr>
        <w:pStyle w:val="2"/>
        <w:spacing w:line="244" w:lineRule="auto"/>
      </w:pPr>
    </w:p>
    <w:p w14:paraId="10EBF162">
      <w:pPr>
        <w:pStyle w:val="2"/>
        <w:spacing w:line="244" w:lineRule="auto"/>
      </w:pPr>
    </w:p>
    <w:p w14:paraId="3E58DAEE">
      <w:pPr>
        <w:pStyle w:val="2"/>
        <w:spacing w:line="244" w:lineRule="auto"/>
      </w:pPr>
    </w:p>
    <w:p w14:paraId="72EAEB5A">
      <w:pPr>
        <w:pStyle w:val="2"/>
        <w:spacing w:line="244" w:lineRule="auto"/>
      </w:pPr>
    </w:p>
    <w:p w14:paraId="5BF7A59C">
      <w:pPr>
        <w:pStyle w:val="2"/>
        <w:spacing w:line="245" w:lineRule="auto"/>
      </w:pPr>
    </w:p>
    <w:p w14:paraId="5C667C5E">
      <w:pPr>
        <w:pStyle w:val="2"/>
        <w:spacing w:line="245" w:lineRule="auto"/>
      </w:pPr>
    </w:p>
    <w:p w14:paraId="2B8A7776">
      <w:pPr>
        <w:pStyle w:val="2"/>
        <w:spacing w:line="245" w:lineRule="auto"/>
      </w:pPr>
    </w:p>
    <w:p w14:paraId="3D0B7FAC">
      <w:pPr>
        <w:pStyle w:val="2"/>
        <w:spacing w:line="245" w:lineRule="auto"/>
      </w:pPr>
    </w:p>
    <w:p w14:paraId="738E91F6">
      <w:pPr>
        <w:pStyle w:val="2"/>
        <w:spacing w:line="245" w:lineRule="auto"/>
      </w:pPr>
    </w:p>
    <w:p w14:paraId="1FA72252">
      <w:pPr>
        <w:pStyle w:val="2"/>
        <w:spacing w:line="245" w:lineRule="auto"/>
      </w:pPr>
    </w:p>
    <w:p w14:paraId="1112EC08">
      <w:pPr>
        <w:pStyle w:val="2"/>
        <w:spacing w:line="245" w:lineRule="auto"/>
      </w:pPr>
    </w:p>
    <w:p w14:paraId="37E0FC60">
      <w:pPr>
        <w:pStyle w:val="2"/>
        <w:spacing w:line="245" w:lineRule="auto"/>
      </w:pPr>
    </w:p>
    <w:p w14:paraId="0EC8E302">
      <w:pPr>
        <w:pStyle w:val="2"/>
        <w:spacing w:line="245" w:lineRule="auto"/>
      </w:pPr>
    </w:p>
    <w:p w14:paraId="2BF067AE">
      <w:pPr>
        <w:pStyle w:val="2"/>
        <w:spacing w:line="245" w:lineRule="auto"/>
      </w:pPr>
    </w:p>
    <w:p w14:paraId="14EB6517">
      <w:pPr>
        <w:pStyle w:val="2"/>
        <w:spacing w:line="245" w:lineRule="auto"/>
      </w:pPr>
    </w:p>
    <w:p w14:paraId="48BE063C">
      <w:pPr>
        <w:pStyle w:val="2"/>
        <w:spacing w:line="245" w:lineRule="auto"/>
      </w:pPr>
    </w:p>
    <w:p w14:paraId="2EFA7080">
      <w:pPr>
        <w:pStyle w:val="2"/>
        <w:spacing w:line="245" w:lineRule="auto"/>
      </w:pPr>
    </w:p>
    <w:p w14:paraId="2A1533B7">
      <w:pPr>
        <w:pStyle w:val="2"/>
        <w:spacing w:line="245" w:lineRule="auto"/>
      </w:pPr>
    </w:p>
    <w:p w14:paraId="0C6B4B46">
      <w:pPr>
        <w:pStyle w:val="2"/>
        <w:spacing w:before="57" w:line="194" w:lineRule="auto"/>
        <w:ind w:left="4858"/>
        <w:rPr>
          <w:sz w:val="20"/>
          <w:szCs w:val="20"/>
        </w:rPr>
      </w:pPr>
      <w:r>
        <w:pict>
          <v:shape id="_x0000_s1070" o:spid="_x0000_s1070" o:spt="202" type="#_x0000_t202" style="position:absolute;left:0pt;margin-left:274.65pt;margin-top:6.55pt;height:15.95pt;width:199.4pt;z-index:251714560;mso-width-relative:page;mso-height-relative:page;" filled="f" stroked="f" coordsize="21600,21600">
            <v:path/>
            <v:fill on="f" focussize="0,0"/>
            <v:stroke on="f"/>
            <v:imagedata o:title=""/>
            <o:lock v:ext="edit" aspectratio="f"/>
            <v:textbox inset="0mm,0mm,0mm,0mm">
              <w:txbxContent>
                <w:p w14:paraId="4A3A432F">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6"/>
          <w:sz w:val="20"/>
          <w:szCs w:val="20"/>
        </w:rPr>
        <w:t>10</w:t>
      </w:r>
    </w:p>
    <w:p w14:paraId="7F493DC3">
      <w:pPr>
        <w:spacing w:line="194" w:lineRule="auto"/>
        <w:rPr>
          <w:sz w:val="20"/>
          <w:szCs w:val="20"/>
        </w:rPr>
        <w:sectPr>
          <w:pgSz w:w="11906" w:h="16158"/>
          <w:pgMar w:top="400" w:right="1162" w:bottom="400" w:left="1004" w:header="0" w:footer="0" w:gutter="0"/>
          <w:cols w:space="720" w:num="1"/>
        </w:sectPr>
      </w:pPr>
    </w:p>
    <w:p w14:paraId="46014EE0">
      <w:pPr>
        <w:pStyle w:val="2"/>
        <w:spacing w:line="349" w:lineRule="auto"/>
      </w:pPr>
    </w:p>
    <w:p w14:paraId="63EE53BF">
      <w:pPr>
        <w:pStyle w:val="2"/>
        <w:spacing w:line="350" w:lineRule="auto"/>
      </w:pPr>
    </w:p>
    <w:p w14:paraId="27A756D1">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-2</w:t>
      </w:r>
    </w:p>
    <w:p w14:paraId="6F89495F">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322B497D">
      <w:pPr>
        <w:pStyle w:val="2"/>
        <w:spacing w:line="255" w:lineRule="auto"/>
      </w:pPr>
    </w:p>
    <w:p w14:paraId="144453B6">
      <w:pPr>
        <w:pStyle w:val="2"/>
        <w:spacing w:line="255" w:lineRule="auto"/>
      </w:pPr>
    </w:p>
    <w:p w14:paraId="13C5D410">
      <w:pPr>
        <w:pStyle w:val="2"/>
        <w:spacing w:line="255" w:lineRule="auto"/>
      </w:pPr>
    </w:p>
    <w:p w14:paraId="14D47A62">
      <w:pPr>
        <w:spacing w:before="223" w:line="179" w:lineRule="auto"/>
        <w:ind w:left="267"/>
        <w:rPr>
          <w:rFonts w:ascii="微软雅黑" w:hAnsi="微软雅黑" w:eastAsia="微软雅黑" w:cs="微软雅黑"/>
          <w:sz w:val="52"/>
          <w:szCs w:val="52"/>
        </w:rPr>
      </w:pPr>
      <w:r>
        <w:rPr>
          <w:rFonts w:ascii="微软雅黑" w:hAnsi="微软雅黑" w:eastAsia="微软雅黑" w:cs="微软雅黑"/>
          <w:color w:val="648676"/>
          <w:spacing w:val="-2"/>
          <w:sz w:val="52"/>
          <w:szCs w:val="52"/>
        </w:rPr>
        <w:t>二、数据资产管理活动职能</w:t>
      </w:r>
    </w:p>
    <w:p w14:paraId="00894B99">
      <w:pPr>
        <w:pStyle w:val="2"/>
        <w:spacing w:line="264" w:lineRule="auto"/>
      </w:pPr>
    </w:p>
    <w:p w14:paraId="38578514">
      <w:pPr>
        <w:pStyle w:val="2"/>
        <w:spacing w:line="264" w:lineRule="auto"/>
      </w:pPr>
    </w:p>
    <w:p w14:paraId="0287443F">
      <w:pPr>
        <w:pStyle w:val="2"/>
        <w:spacing w:line="265" w:lineRule="auto"/>
      </w:pPr>
    </w:p>
    <w:p w14:paraId="7F41CDCF">
      <w:pPr>
        <w:pStyle w:val="2"/>
        <w:spacing w:line="265" w:lineRule="auto"/>
      </w:pPr>
    </w:p>
    <w:p w14:paraId="32493DB4">
      <w:pPr>
        <w:spacing w:before="94" w:line="289" w:lineRule="auto"/>
        <w:ind w:left="247" w:right="33" w:firstLine="481"/>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活动职能是数据资产管理的基本管理单元。数据资产管理包括数据模型管理、数据标准管理、</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2"/>
          <w:sz w:val="22"/>
          <w:szCs w:val="22"/>
        </w:rPr>
        <w:t>数据质量管理等 10 个活动职能，覆盖数据资源化、数据资产化两个阶段。本章参考 P</w:t>
      </w:r>
      <w:r>
        <w:rPr>
          <w:rFonts w:ascii="微软雅黑" w:hAnsi="微软雅黑" w:eastAsia="微软雅黑" w:cs="微软雅黑"/>
          <w:color w:val="231F20"/>
          <w:spacing w:val="-3"/>
          <w:sz w:val="22"/>
          <w:szCs w:val="22"/>
        </w:rPr>
        <w:t>DCA 方法，</w:t>
      </w:r>
      <w:r>
        <w:rPr>
          <w:rFonts w:ascii="微软雅黑" w:hAnsi="微软雅黑" w:eastAsia="微软雅黑" w:cs="微软雅黑"/>
          <w:color w:val="231F20"/>
          <w:sz w:val="22"/>
          <w:szCs w:val="22"/>
        </w:rPr>
        <w:t xml:space="preserve"> 从计划、执行、检查、改进四个环节着手，阐述数</w:t>
      </w:r>
      <w:r>
        <w:rPr>
          <w:rFonts w:ascii="微软雅黑" w:hAnsi="微软雅黑" w:eastAsia="微软雅黑" w:cs="微软雅黑"/>
          <w:color w:val="231F20"/>
          <w:spacing w:val="-1"/>
          <w:sz w:val="22"/>
          <w:szCs w:val="22"/>
        </w:rPr>
        <w:t>据资产管理活动职能的核心理念与实践要点。</w:t>
      </w:r>
    </w:p>
    <w:p w14:paraId="3556240A">
      <w:pPr>
        <w:pStyle w:val="2"/>
        <w:spacing w:line="352" w:lineRule="auto"/>
      </w:pPr>
    </w:p>
    <w:p w14:paraId="106E6D8C">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8"/>
          <w:sz w:val="28"/>
          <w:szCs w:val="28"/>
        </w:rPr>
        <w:t>( 一 )</w:t>
      </w:r>
      <w:r>
        <w:rPr>
          <w:rFonts w:ascii="微软雅黑" w:hAnsi="微软雅黑" w:eastAsia="微软雅黑" w:cs="微软雅黑"/>
          <w:color w:val="648676"/>
          <w:spacing w:val="30"/>
          <w:sz w:val="28"/>
          <w:szCs w:val="28"/>
        </w:rPr>
        <w:t xml:space="preserve"> </w:t>
      </w:r>
      <w:r>
        <w:rPr>
          <w:rFonts w:ascii="微软雅黑" w:hAnsi="微软雅黑" w:eastAsia="微软雅黑" w:cs="微软雅黑"/>
          <w:color w:val="648676"/>
          <w:spacing w:val="8"/>
          <w:sz w:val="28"/>
          <w:szCs w:val="28"/>
        </w:rPr>
        <w:t>数据模型管理</w:t>
      </w:r>
    </w:p>
    <w:p w14:paraId="497B96E3">
      <w:pPr>
        <w:pStyle w:val="2"/>
        <w:spacing w:line="410" w:lineRule="auto"/>
      </w:pPr>
    </w:p>
    <w:p w14:paraId="1D3117DE">
      <w:pPr>
        <w:spacing w:before="95" w:line="289" w:lineRule="auto"/>
        <w:ind w:left="247" w:right="8" w:firstLine="481"/>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 xml:space="preserve">数据模型是指现实世界数据特征的抽象，用于描述一组数据的概念和定义。数据模型管理是 </w:t>
      </w:r>
      <w:r>
        <w:rPr>
          <w:rFonts w:ascii="微软雅黑" w:hAnsi="微软雅黑" w:eastAsia="微软雅黑" w:cs="微软雅黑"/>
          <w:color w:val="231F20"/>
          <w:spacing w:val="4"/>
          <w:sz w:val="22"/>
          <w:szCs w:val="22"/>
        </w:rPr>
        <w:t>指在信息系统设计时，参考逻辑模型，使用标准化用语、单词等数据要素</w:t>
      </w:r>
      <w:r>
        <w:rPr>
          <w:rFonts w:ascii="微软雅黑" w:hAnsi="微软雅黑" w:eastAsia="微软雅黑" w:cs="微软雅黑"/>
          <w:color w:val="231F20"/>
          <w:spacing w:val="3"/>
          <w:sz w:val="22"/>
          <w:szCs w:val="22"/>
        </w:rPr>
        <w:t>设计数据模型，并在信</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息系统建设和运行维护过程中，严格按照数</w:t>
      </w:r>
      <w:r>
        <w:rPr>
          <w:rFonts w:ascii="微软雅黑" w:hAnsi="微软雅黑" w:eastAsia="微软雅黑" w:cs="微软雅黑"/>
          <w:color w:val="231F20"/>
          <w:spacing w:val="-2"/>
          <w:sz w:val="22"/>
          <w:szCs w:val="22"/>
        </w:rPr>
        <w:t>据模型管理制度，审核和管理新建和存量的数据模型。</w:t>
      </w:r>
    </w:p>
    <w:p w14:paraId="2A2E2789">
      <w:pPr>
        <w:pStyle w:val="2"/>
        <w:spacing w:line="392" w:lineRule="auto"/>
      </w:pPr>
    </w:p>
    <w:p w14:paraId="2A424358">
      <w:pPr>
        <w:spacing w:before="94" w:line="178" w:lineRule="auto"/>
        <w:ind w:left="728"/>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数据模型管理的关键活动包括：</w:t>
      </w:r>
    </w:p>
    <w:p w14:paraId="001863B1">
      <w:pPr>
        <w:spacing w:before="166" w:line="288" w:lineRule="auto"/>
        <w:ind w:left="247" w:firstLine="571"/>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pacing w:val="-1"/>
          <w:sz w:val="22"/>
          <w:szCs w:val="22"/>
        </w:rPr>
        <w:t>数据模型计划：确认数据模型管理的相关利益方；采集、定义和分析组织级数据模型需求；</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确定遵循数据模型标准与要求，设计企业级数据模型（包括主题域数据模型</w:t>
      </w:r>
      <w:r>
        <w:rPr>
          <w:rFonts w:ascii="微软雅黑" w:hAnsi="微软雅黑" w:eastAsia="微软雅黑" w:cs="微软雅黑"/>
          <w:color w:val="231F20"/>
          <w:spacing w:val="3"/>
          <w:sz w:val="22"/>
          <w:szCs w:val="22"/>
        </w:rPr>
        <w:t>、概念数据模型、逻</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w w:val="98"/>
          <w:sz w:val="22"/>
          <w:szCs w:val="22"/>
        </w:rPr>
        <w:t>辑数据模型</w:t>
      </w:r>
      <w:r>
        <w:rPr>
          <w:rFonts w:ascii="微软雅黑" w:hAnsi="微软雅黑" w:eastAsia="微软雅黑" w:cs="微软雅黑"/>
          <w:color w:val="231F20"/>
          <w:spacing w:val="-2"/>
          <w:sz w:val="22"/>
          <w:szCs w:val="22"/>
        </w:rPr>
        <w:t>）；</w:t>
      </w:r>
    </w:p>
    <w:p w14:paraId="532DE113">
      <w:pPr>
        <w:spacing w:before="24" w:line="287" w:lineRule="auto"/>
        <w:ind w:left="248" w:right="17" w:firstLine="569"/>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·数据模型执行：参考逻辑数据模型开发物理数据模型，保留开发过程记</w:t>
      </w:r>
      <w:r>
        <w:rPr>
          <w:rFonts w:ascii="微软雅黑" w:hAnsi="微软雅黑" w:eastAsia="微软雅黑" w:cs="微软雅黑"/>
          <w:color w:val="231F20"/>
          <w:spacing w:val="4"/>
          <w:sz w:val="22"/>
          <w:szCs w:val="22"/>
        </w:rPr>
        <w:t>录；根据数据模型</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评审准则与测试结果，由数据模型管理的参与方进行模型评审，评审无</w:t>
      </w:r>
      <w:r>
        <w:rPr>
          <w:rFonts w:ascii="微软雅黑" w:hAnsi="微软雅黑" w:eastAsia="微软雅黑" w:cs="微软雅黑"/>
          <w:color w:val="231F20"/>
          <w:spacing w:val="-2"/>
          <w:sz w:val="22"/>
          <w:szCs w:val="22"/>
        </w:rPr>
        <w:t>异议后发布并上线模型；</w:t>
      </w:r>
    </w:p>
    <w:p w14:paraId="3D5FC2C8">
      <w:pPr>
        <w:spacing w:before="17" w:line="287" w:lineRule="auto"/>
        <w:ind w:left="247" w:right="18" w:firstLine="570"/>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w:t>
      </w:r>
      <w:r>
        <w:rPr>
          <w:rFonts w:ascii="微软雅黑" w:hAnsi="微软雅黑" w:eastAsia="微软雅黑" w:cs="微软雅黑"/>
          <w:color w:val="231F20"/>
          <w:spacing w:val="-34"/>
          <w:sz w:val="22"/>
          <w:szCs w:val="22"/>
        </w:rPr>
        <w:t xml:space="preserve"> </w:t>
      </w:r>
      <w:r>
        <w:rPr>
          <w:rFonts w:ascii="微软雅黑" w:hAnsi="微软雅黑" w:eastAsia="微软雅黑" w:cs="微软雅黑"/>
          <w:color w:val="231F20"/>
          <w:spacing w:val="4"/>
          <w:sz w:val="22"/>
          <w:szCs w:val="22"/>
        </w:rPr>
        <w:t>数据模型检查：确定数据模型检查标准，定期开展数据模型检查，以确保数据模型与组织</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级业务架构、数据架构、IT 架构的一致性；保留数据模型检查结果，建立数据模型</w:t>
      </w:r>
      <w:r>
        <w:rPr>
          <w:rFonts w:ascii="微软雅黑" w:hAnsi="微软雅黑" w:eastAsia="微软雅黑" w:cs="微软雅黑"/>
          <w:color w:val="231F20"/>
          <w:spacing w:val="-2"/>
          <w:sz w:val="22"/>
          <w:szCs w:val="22"/>
        </w:rPr>
        <w:t>检查基线；</w:t>
      </w:r>
    </w:p>
    <w:p w14:paraId="6F526446">
      <w:pPr>
        <w:spacing w:before="17" w:line="287" w:lineRule="auto"/>
        <w:ind w:left="247" w:right="18" w:firstLine="570"/>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w:t>
      </w:r>
      <w:r>
        <w:rPr>
          <w:rFonts w:ascii="微软雅黑" w:hAnsi="微软雅黑" w:eastAsia="微软雅黑" w:cs="微软雅黑"/>
          <w:color w:val="231F20"/>
          <w:spacing w:val="-34"/>
          <w:sz w:val="22"/>
          <w:szCs w:val="22"/>
        </w:rPr>
        <w:t xml:space="preserve"> </w:t>
      </w:r>
      <w:r>
        <w:rPr>
          <w:rFonts w:ascii="微软雅黑" w:hAnsi="微软雅黑" w:eastAsia="微软雅黑" w:cs="微软雅黑"/>
          <w:color w:val="231F20"/>
          <w:spacing w:val="4"/>
          <w:sz w:val="22"/>
          <w:szCs w:val="22"/>
        </w:rPr>
        <w:t>数据模型改进：根据数据模型检查结果，召集数据模型管理的相关利益方，明确数据模型</w:t>
      </w:r>
      <w:r>
        <w:rPr>
          <w:rFonts w:ascii="微软雅黑" w:hAnsi="微软雅黑" w:eastAsia="微软雅黑" w:cs="微软雅黑"/>
          <w:color w:val="231F20"/>
          <w:sz w:val="22"/>
          <w:szCs w:val="22"/>
        </w:rPr>
        <w:t xml:space="preserve"> 优化方案；持续改进数据模型设计方法、模</w:t>
      </w:r>
      <w:r>
        <w:rPr>
          <w:rFonts w:ascii="微软雅黑" w:hAnsi="微软雅黑" w:eastAsia="微软雅黑" w:cs="微软雅黑"/>
          <w:color w:val="231F20"/>
          <w:spacing w:val="-1"/>
          <w:sz w:val="22"/>
          <w:szCs w:val="22"/>
        </w:rPr>
        <w:t>型架构、开发技术、管理流程、维护机制等。</w:t>
      </w:r>
    </w:p>
    <w:p w14:paraId="225D568E">
      <w:pPr>
        <w:spacing w:before="28" w:line="292" w:lineRule="auto"/>
        <w:ind w:left="247" w:right="13"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采用企业架构指导建立企业级数据模型，并采用一体化建模的方法，是提升数据模型业</w:t>
      </w:r>
      <w:r>
        <w:rPr>
          <w:rFonts w:ascii="微软雅黑" w:hAnsi="微软雅黑" w:eastAsia="微软雅黑" w:cs="微软雅黑"/>
          <w:color w:val="231F20"/>
          <w:spacing w:val="2"/>
          <w:sz w:val="22"/>
          <w:szCs w:val="22"/>
        </w:rPr>
        <w:t>务指</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导性和模型质量的有效方式。例如，华为成立了</w:t>
      </w:r>
      <w:r>
        <w:rPr>
          <w:rFonts w:ascii="微软雅黑" w:hAnsi="微软雅黑" w:eastAsia="微软雅黑" w:cs="微软雅黑"/>
          <w:color w:val="231F20"/>
          <w:spacing w:val="30"/>
          <w:sz w:val="22"/>
          <w:szCs w:val="22"/>
        </w:rPr>
        <w:t xml:space="preserve"> </w:t>
      </w:r>
      <w:r>
        <w:rPr>
          <w:rFonts w:ascii="微软雅黑" w:hAnsi="微软雅黑" w:eastAsia="微软雅黑" w:cs="微软雅黑"/>
          <w:color w:val="231F20"/>
          <w:sz w:val="22"/>
          <w:szCs w:val="22"/>
        </w:rPr>
        <w:t>EAC</w:t>
      </w:r>
      <w:r>
        <w:rPr>
          <w:rFonts w:ascii="微软雅黑" w:hAnsi="微软雅黑" w:eastAsia="微软雅黑" w:cs="微软雅黑"/>
          <w:color w:val="231F20"/>
          <w:spacing w:val="2"/>
          <w:sz w:val="22"/>
          <w:szCs w:val="22"/>
        </w:rPr>
        <w:t>（企业架构委员会</w:t>
      </w:r>
      <w:r>
        <w:rPr>
          <w:rFonts w:ascii="微软雅黑" w:hAnsi="微软雅黑" w:eastAsia="微软雅黑" w:cs="微软雅黑"/>
          <w:color w:val="231F20"/>
          <w:sz w:val="22"/>
          <w:szCs w:val="22"/>
        </w:rPr>
        <w:t>），</w:t>
      </w:r>
      <w:r>
        <w:rPr>
          <w:rFonts w:ascii="微软雅黑" w:hAnsi="微软雅黑" w:eastAsia="微软雅黑" w:cs="微软雅黑"/>
          <w:color w:val="231F20"/>
          <w:spacing w:val="2"/>
          <w:sz w:val="22"/>
          <w:szCs w:val="22"/>
        </w:rPr>
        <w:t>参</w:t>
      </w:r>
      <w:r>
        <w:rPr>
          <w:rFonts w:ascii="微软雅黑" w:hAnsi="微软雅黑" w:eastAsia="微软雅黑" w:cs="微软雅黑"/>
          <w:color w:val="231F20"/>
          <w:spacing w:val="1"/>
          <w:sz w:val="22"/>
          <w:szCs w:val="22"/>
        </w:rPr>
        <w:t>考企业架构设计了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企业级数据模型（包括主题域数据模型、概念数据模型、逻辑数据模型</w:t>
      </w:r>
      <w:r>
        <w:rPr>
          <w:rFonts w:ascii="微软雅黑" w:hAnsi="微软雅黑" w:eastAsia="微软雅黑" w:cs="微软雅黑"/>
          <w:color w:val="231F20"/>
          <w:spacing w:val="7"/>
          <w:sz w:val="22"/>
          <w:szCs w:val="22"/>
        </w:rPr>
        <w:t>）</w:t>
      </w:r>
      <w:r>
        <w:rPr>
          <w:rFonts w:ascii="微软雅黑" w:hAnsi="微软雅黑" w:eastAsia="微软雅黑" w:cs="微软雅黑"/>
          <w:color w:val="231F20"/>
          <w:spacing w:val="-15"/>
          <w:sz w:val="22"/>
          <w:szCs w:val="22"/>
        </w:rPr>
        <w:t xml:space="preserve"> </w:t>
      </w:r>
      <w:r>
        <w:rPr>
          <w:rFonts w:ascii="微软雅黑" w:hAnsi="微软雅黑" w:eastAsia="微软雅黑" w:cs="微软雅黑"/>
          <w:color w:val="231F20"/>
          <w:spacing w:val="7"/>
          <w:sz w:val="22"/>
          <w:szCs w:val="22"/>
        </w:rPr>
        <w:t>，</w:t>
      </w:r>
      <w:r>
        <w:rPr>
          <w:rFonts w:ascii="微软雅黑" w:hAnsi="微软雅黑" w:eastAsia="微软雅黑" w:cs="微软雅黑"/>
          <w:color w:val="231F20"/>
          <w:spacing w:val="2"/>
          <w:sz w:val="22"/>
          <w:szCs w:val="22"/>
        </w:rPr>
        <w:t>较好的描述和展示了</w:t>
      </w:r>
    </w:p>
    <w:p w14:paraId="2BFF3F39">
      <w:pPr>
        <w:pStyle w:val="2"/>
        <w:spacing w:line="249" w:lineRule="auto"/>
      </w:pPr>
    </w:p>
    <w:p w14:paraId="41BC9539">
      <w:pPr>
        <w:spacing w:before="79" w:line="212" w:lineRule="auto"/>
        <w:ind w:left="5513"/>
        <w:rPr>
          <w:rFonts w:hint="eastAsia" w:ascii="宋体" w:hAnsi="宋体" w:eastAsia="宋体" w:cs="宋体"/>
          <w:sz w:val="24"/>
          <w:szCs w:val="24"/>
          <w:lang w:eastAsia="zh-CN"/>
        </w:rPr>
      </w:pPr>
      <w:r>
        <w:pict>
          <v:shape id="_x0000_s1071" o:spid="_x0000_s1071" o:spt="202" type="#_x0000_t202" style="position:absolute;left:0pt;margin-left:242.3pt;margin-top:-1.75pt;height:11.35pt;width:11.3pt;z-index:251715584;mso-width-relative:page;mso-height-relative:page;" filled="f" stroked="f" coordsize="21600,21600">
            <v:path/>
            <v:fill on="f" focussize="0,0"/>
            <v:stroke on="f"/>
            <v:imagedata o:title=""/>
            <o:lock v:ext="edit" aspectratio="f"/>
            <v:textbox inset="0mm,0mm,0mm,0mm">
              <w:txbxContent>
                <w:p w14:paraId="7CDD0678">
                  <w:pPr>
                    <w:pStyle w:val="2"/>
                    <w:spacing w:before="20" w:line="194" w:lineRule="auto"/>
                    <w:ind w:right="1"/>
                    <w:jc w:val="right"/>
                    <w:rPr>
                      <w:sz w:val="20"/>
                      <w:szCs w:val="20"/>
                    </w:rPr>
                  </w:pPr>
                  <w:r>
                    <w:rPr>
                      <w:color w:val="231F20"/>
                      <w:spacing w:val="-10"/>
                      <w:sz w:val="20"/>
                      <w:szCs w:val="20"/>
                    </w:rPr>
                    <w:t>11</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363F606A">
      <w:pPr>
        <w:spacing w:line="212" w:lineRule="auto"/>
        <w:rPr>
          <w:rFonts w:ascii="宋体" w:hAnsi="宋体" w:eastAsia="宋体" w:cs="宋体"/>
          <w:sz w:val="24"/>
          <w:szCs w:val="24"/>
        </w:rPr>
        <w:sectPr>
          <w:pgSz w:w="11906" w:h="16158"/>
          <w:pgMar w:top="400" w:right="1238" w:bottom="400" w:left="1004" w:header="0" w:footer="0" w:gutter="0"/>
          <w:cols w:space="720" w:num="1"/>
        </w:sectPr>
      </w:pPr>
    </w:p>
    <w:p w14:paraId="0A6D0684">
      <w:pPr>
        <w:pStyle w:val="2"/>
        <w:spacing w:line="349" w:lineRule="auto"/>
      </w:pPr>
    </w:p>
    <w:p w14:paraId="7F56B93E">
      <w:pPr>
        <w:pStyle w:val="2"/>
        <w:spacing w:line="350" w:lineRule="auto"/>
      </w:pPr>
    </w:p>
    <w:p w14:paraId="43CA3DA3">
      <w:pPr>
        <w:spacing w:before="80" w:line="182" w:lineRule="auto"/>
        <w:rPr>
          <w:rFonts w:ascii="Segoe UI" w:hAnsi="Segoe UI" w:eastAsia="Segoe UI" w:cs="Segoe UI"/>
          <w:sz w:val="24"/>
          <w:szCs w:val="24"/>
        </w:rPr>
      </w:pPr>
      <w:bookmarkStart w:id="32" w:name="bookmark32"/>
      <w:bookmarkEnd w:id="32"/>
      <w:r>
        <w:rPr>
          <w:rFonts w:ascii="Segoe UI" w:hAnsi="Segoe UI" w:eastAsia="Segoe UI" w:cs="Segoe UI"/>
          <w:b/>
          <w:bCs/>
          <w:color w:val="648676"/>
          <w:spacing w:val="27"/>
          <w:w w:val="110"/>
          <w:sz w:val="24"/>
          <w:szCs w:val="24"/>
        </w:rPr>
        <w:t>CHAPTER -2</w:t>
      </w:r>
    </w:p>
    <w:p w14:paraId="1DCCDACC">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7833092C">
      <w:pPr>
        <w:pStyle w:val="2"/>
        <w:spacing w:line="291" w:lineRule="auto"/>
      </w:pPr>
    </w:p>
    <w:p w14:paraId="5AD76480">
      <w:pPr>
        <w:pStyle w:val="2"/>
        <w:spacing w:line="292" w:lineRule="auto"/>
      </w:pPr>
    </w:p>
    <w:p w14:paraId="4B4BA6EE">
      <w:pPr>
        <w:pStyle w:val="2"/>
        <w:spacing w:line="292" w:lineRule="auto"/>
      </w:pPr>
    </w:p>
    <w:p w14:paraId="60C6F7FD">
      <w:pPr>
        <w:spacing w:before="94" w:line="291" w:lineRule="auto"/>
        <w:ind w:left="247"/>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业务流程与业务关系，</w:t>
      </w:r>
      <w:r>
        <w:rPr>
          <w:rFonts w:ascii="微软雅黑" w:hAnsi="微软雅黑" w:eastAsia="微软雅黑" w:cs="微软雅黑"/>
          <w:color w:val="231F20"/>
          <w:spacing w:val="-27"/>
          <w:sz w:val="22"/>
          <w:szCs w:val="22"/>
        </w:rPr>
        <w:t xml:space="preserve"> </w:t>
      </w:r>
      <w:r>
        <w:rPr>
          <w:rFonts w:ascii="微软雅黑" w:hAnsi="微软雅黑" w:eastAsia="微软雅黑" w:cs="微软雅黑"/>
          <w:color w:val="231F20"/>
          <w:spacing w:val="3"/>
          <w:sz w:val="22"/>
          <w:szCs w:val="22"/>
        </w:rPr>
        <w:t>同时，在一定时间内企业级数据模型保持稳定性，有效指导了新业务的方</w:t>
      </w:r>
      <w:r>
        <w:rPr>
          <w:rFonts w:ascii="微软雅黑" w:hAnsi="微软雅黑" w:eastAsia="微软雅黑" w:cs="微软雅黑"/>
          <w:color w:val="231F20"/>
          <w:sz w:val="22"/>
          <w:szCs w:val="22"/>
        </w:rPr>
        <w:t xml:space="preserve"> 向探索与 IT 建设。此外，通过引入一体化建模的方法，从技术和机制上支持企业级数据模型与</w:t>
      </w:r>
      <w:r>
        <w:rPr>
          <w:rFonts w:ascii="微软雅黑" w:hAnsi="微软雅黑" w:eastAsia="微软雅黑" w:cs="微软雅黑"/>
          <w:color w:val="231F20"/>
          <w:spacing w:val="28"/>
          <w:w w:val="101"/>
          <w:sz w:val="22"/>
          <w:szCs w:val="22"/>
        </w:rPr>
        <w:t xml:space="preserve"> </w:t>
      </w:r>
      <w:r>
        <w:rPr>
          <w:rFonts w:ascii="微软雅黑" w:hAnsi="微软雅黑" w:eastAsia="微软雅黑" w:cs="微软雅黑"/>
          <w:color w:val="231F20"/>
          <w:sz w:val="22"/>
          <w:szCs w:val="22"/>
        </w:rPr>
        <w:t xml:space="preserve">IT </w:t>
      </w:r>
      <w:r>
        <w:rPr>
          <w:rFonts w:ascii="微软雅黑" w:hAnsi="微软雅黑" w:eastAsia="微软雅黑" w:cs="微软雅黑"/>
          <w:color w:val="231F20"/>
          <w:spacing w:val="4"/>
          <w:sz w:val="22"/>
          <w:szCs w:val="22"/>
        </w:rPr>
        <w:t>开发的协同，使物理数据模型与逻辑数据模型保持一致，要求物理数据模</w:t>
      </w:r>
      <w:r>
        <w:rPr>
          <w:rFonts w:ascii="微软雅黑" w:hAnsi="微软雅黑" w:eastAsia="微软雅黑" w:cs="微软雅黑"/>
          <w:color w:val="231F20"/>
          <w:spacing w:val="3"/>
          <w:sz w:val="22"/>
          <w:szCs w:val="22"/>
        </w:rPr>
        <w:t>型的实体属性来自于数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据标准池，并通过元数据对该开发过程进行记录与监控，提升了数据模型</w:t>
      </w:r>
      <w:r>
        <w:rPr>
          <w:rFonts w:ascii="微软雅黑" w:hAnsi="微软雅黑" w:eastAsia="微软雅黑" w:cs="微软雅黑"/>
          <w:color w:val="231F20"/>
          <w:spacing w:val="3"/>
          <w:sz w:val="22"/>
          <w:szCs w:val="22"/>
        </w:rPr>
        <w:t>的一致性、规范性、可</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5"/>
          <w:sz w:val="22"/>
          <w:szCs w:val="22"/>
        </w:rPr>
        <w:t>控性。</w:t>
      </w:r>
    </w:p>
    <w:p w14:paraId="42875FB9">
      <w:pPr>
        <w:spacing w:before="46" w:line="1143" w:lineRule="exact"/>
        <w:ind w:firstLine="3160"/>
      </w:pPr>
      <w:r>
        <w:pict>
          <v:shape id="_x0000_s1072" o:spid="_x0000_s1072" o:spt="202" type="#_x0000_t202" style="position:absolute;left:0pt;margin-left:254.65pt;margin-top:25.85pt;height:31.7pt;width:78pt;z-index:251736064;mso-width-relative:page;mso-height-relative:page;" filled="f" stroked="f" coordsize="21600,21600">
            <v:path/>
            <v:fill on="f" focussize="0,0"/>
            <v:stroke on="f"/>
            <v:imagedata o:title=""/>
            <o:lock v:ext="edit" aspectratio="f"/>
            <v:textbox inset="0mm,0mm,0mm,0mm">
              <w:txbxContent>
                <w:p w14:paraId="3BF8374A">
                  <w:pPr>
                    <w:spacing w:before="19" w:line="307" w:lineRule="auto"/>
                    <w:ind w:left="327" w:right="20" w:hanging="307"/>
                    <w:rPr>
                      <w:rFonts w:ascii="微软雅黑" w:hAnsi="微软雅黑" w:eastAsia="微软雅黑" w:cs="微软雅黑"/>
                      <w:sz w:val="14"/>
                      <w:szCs w:val="14"/>
                    </w:rPr>
                  </w:pPr>
                  <w:r>
                    <w:rPr>
                      <w:rFonts w:ascii="微软雅黑" w:hAnsi="微软雅黑" w:eastAsia="微软雅黑" w:cs="微软雅黑"/>
                      <w:color w:val="3D3D3D"/>
                      <w:spacing w:val="7"/>
                      <w:sz w:val="14"/>
                      <w:szCs w:val="14"/>
                    </w:rPr>
                    <w:t>自动发布更新 资产目录</w:t>
                  </w:r>
                  <w:r>
                    <w:rPr>
                      <w:rFonts w:ascii="微软雅黑" w:hAnsi="微软雅黑" w:eastAsia="微软雅黑" w:cs="微软雅黑"/>
                      <w:color w:val="3D3D3D"/>
                      <w:sz w:val="14"/>
                      <w:szCs w:val="14"/>
                    </w:rPr>
                    <w:t xml:space="preserve"> </w:t>
                  </w:r>
                  <w:r>
                    <w:rPr>
                      <w:rFonts w:ascii="微软雅黑" w:hAnsi="微软雅黑" w:eastAsia="微软雅黑" w:cs="微软雅黑"/>
                      <w:color w:val="3D3D3D"/>
                      <w:spacing w:val="6"/>
                      <w:sz w:val="14"/>
                      <w:szCs w:val="14"/>
                    </w:rPr>
                    <w:t>自动注册 元数据</w:t>
                  </w:r>
                </w:p>
              </w:txbxContent>
            </v:textbox>
          </v:shape>
        </w:pict>
      </w:r>
      <w:r>
        <w:drawing>
          <wp:anchor distT="0" distB="0" distL="0" distR="0" simplePos="0" relativeHeight="251734016" behindDoc="0" locked="0" layoutInCell="1" allowOverlap="1">
            <wp:simplePos x="0" y="0"/>
            <wp:positionH relativeFrom="column">
              <wp:posOffset>3141980</wp:posOffset>
            </wp:positionH>
            <wp:positionV relativeFrom="paragraph">
              <wp:posOffset>218440</wp:posOffset>
            </wp:positionV>
            <wp:extent cx="697230" cy="944880"/>
            <wp:effectExtent l="0" t="0" r="0" b="0"/>
            <wp:wrapNone/>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48"/>
                    <a:stretch>
                      <a:fillRect/>
                    </a:stretch>
                  </pic:blipFill>
                  <pic:spPr>
                    <a:xfrm>
                      <a:off x="0" y="0"/>
                      <a:ext cx="696976" cy="945146"/>
                    </a:xfrm>
                    <a:prstGeom prst="rect">
                      <a:avLst/>
                    </a:prstGeom>
                  </pic:spPr>
                </pic:pic>
              </a:graphicData>
            </a:graphic>
          </wp:anchor>
        </w:drawing>
      </w:r>
      <w:r>
        <w:rPr>
          <w:position w:val="-22"/>
        </w:rPr>
        <w:pict>
          <v:group id="_x0000_s1073" o:spid="_x0000_s1073" o:spt="203" style="height:57.15pt;width:101.2pt;" coordsize="2023,1143">
            <o:lock v:ext="edit"/>
            <v:rect id="_x0000_s1074" o:spid="_x0000_s1074" o:spt="1" style="position:absolute;left:0;top:0;height:1143;width:2023;" fillcolor="#F2F2F2" filled="t" stroked="f" coordsize="21600,21600">
              <v:path/>
              <v:fill on="t" focussize="0,0"/>
              <v:stroke on="f"/>
              <v:imagedata o:title=""/>
              <o:lock v:ext="edit"/>
            </v:rect>
            <v:shape id="_x0000_s1075" o:spid="_x0000_s1075" o:spt="202" type="#_x0000_t202" style="position:absolute;left:159;top:128;height:910;width:1648;" filled="f" stroked="f" coordsize="21600,21600">
              <v:path/>
              <v:fill on="f" focussize="0,0"/>
              <v:stroke on="f"/>
              <v:imagedata o:title=""/>
              <o:lock v:ext="edit" aspectratio="f"/>
              <v:textbox inset="0mm,0mm,0mm,0mm" style="layout-flow:vertical-ideographic;">
                <w:txbxContent>
                  <w:p w14:paraId="25A8E847">
                    <w:pPr>
                      <w:spacing w:before="20" w:line="1253" w:lineRule="exact"/>
                      <w:ind w:firstLine="20"/>
                    </w:pPr>
                    <w:r>
                      <w:rPr>
                        <w:position w:val="-25"/>
                      </w:rPr>
                      <w:drawing>
                        <wp:inline distT="0" distB="0" distL="0" distR="0">
                          <wp:extent cx="795655" cy="551815"/>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49"/>
                                  <a:stretch>
                                    <a:fillRect/>
                                  </a:stretch>
                                </pic:blipFill>
                                <pic:spPr>
                                  <a:xfrm>
                                    <a:off x="0" y="0"/>
                                    <a:ext cx="796277" cy="551871"/>
                                  </a:xfrm>
                                  <a:prstGeom prst="rect">
                                    <a:avLst/>
                                  </a:prstGeom>
                                </pic:spPr>
                              </pic:pic>
                            </a:graphicData>
                          </a:graphic>
                        </wp:inline>
                      </w:drawing>
                    </w:r>
                  </w:p>
                  <w:p w14:paraId="62187288">
                    <w:pPr>
                      <w:spacing w:before="183" w:line="171" w:lineRule="exact"/>
                      <w:ind w:left="142"/>
                      <w:rPr>
                        <w:rFonts w:ascii="微软雅黑" w:hAnsi="微软雅黑" w:eastAsia="微软雅黑" w:cs="微软雅黑"/>
                        <w:sz w:val="16"/>
                        <w:szCs w:val="16"/>
                      </w:rPr>
                    </w:pPr>
                    <w:r>
                      <w:rPr>
                        <w:rFonts w:ascii="微软雅黑" w:hAnsi="微软雅黑" w:eastAsia="微软雅黑" w:cs="微软雅黑"/>
                        <w:color w:val="638778"/>
                        <w:spacing w:val="12"/>
                        <w:sz w:val="16"/>
                        <w:szCs w:val="16"/>
                      </w:rPr>
                      <w:t>数据服务</w:t>
                    </w:r>
                  </w:p>
                </w:txbxContent>
              </v:textbox>
            </v:shape>
            <w10:wrap type="none"/>
            <w10:anchorlock/>
          </v:group>
        </w:pict>
      </w:r>
    </w:p>
    <w:p w14:paraId="4AF86057">
      <w:pPr>
        <w:pStyle w:val="2"/>
        <w:spacing w:line="245" w:lineRule="auto"/>
      </w:pPr>
      <w:r>
        <w:pict>
          <v:rect id="_x0000_s1076" o:spid="_x0000_s1076" o:spt="1" style="position:absolute;left:0pt;margin-left:18.95pt;margin-top:9.9pt;height:76.4pt;width:102.45pt;z-index:251717632;mso-width-relative:page;mso-height-relative:page;" fillcolor="#F2F2F2" filled="t" stroked="f" coordsize="21600,21600">
            <v:path/>
            <v:fill on="t" focussize="0,0"/>
            <v:stroke on="f"/>
            <v:imagedata o:title=""/>
            <o:lock v:ext="edit"/>
          </v:rect>
        </w:pict>
      </w:r>
      <w:r>
        <w:pict>
          <v:rect id="_x0000_s1077" o:spid="_x0000_s1077" o:spt="1" style="position:absolute;left:0pt;margin-left:380.25pt;margin-top:10.55pt;height:76.4pt;width:102.4pt;z-index:251718656;mso-width-relative:page;mso-height-relative:page;" fillcolor="#F2F2F2" filled="t" stroked="f" coordsize="21600,21600">
            <v:path/>
            <v:fill on="t" focussize="0,0"/>
            <v:stroke on="f"/>
            <v:imagedata o:title=""/>
            <o:lock v:ext="edit"/>
          </v:rect>
        </w:pict>
      </w:r>
      <w:r>
        <w:pict>
          <v:rect id="_x0000_s1078" o:spid="_x0000_s1078" o:spt="1" style="position:absolute;left:0pt;margin-left:158pt;margin-top:10.55pt;height:76.4pt;width:203.65pt;z-index:251716608;mso-width-relative:page;mso-height-relative:page;" fillcolor="#F2F2F2" filled="t" stroked="f" coordsize="21600,21600">
            <v:path/>
            <v:fill on="t" focussize="0,0"/>
            <v:stroke on="f"/>
            <v:imagedata o:title=""/>
            <o:lock v:ext="edit"/>
          </v:rect>
        </w:pict>
      </w:r>
      <w:r>
        <w:pict>
          <v:shape id="_x0000_s1079" o:spid="_x0000_s1079" style="position:absolute;left:0pt;margin-left:12.35pt;margin-top:3.95pt;height:123.85pt;width:362.55pt;z-index:251735040;mso-width-relative:page;mso-height-relative:page;" filled="f" stroked="t" coordsize="7250,2476" path="m0,0l0,2476,7250,2476,7250,0,0,0e">
            <v:fill on="f" focussize="0,0"/>
            <v:stroke weight="0.5pt" color="#638778" miterlimit="0" joinstyle="miter"/>
            <v:imagedata o:title=""/>
            <o:lock v:ext="edit"/>
          </v:shape>
        </w:pict>
      </w:r>
    </w:p>
    <w:p w14:paraId="11182EAB">
      <w:pPr>
        <w:pStyle w:val="2"/>
        <w:spacing w:line="245" w:lineRule="auto"/>
      </w:pPr>
      <w:r>
        <w:pict>
          <v:shape id="_x0000_s1080" o:spid="_x0000_s1080" o:spt="202" type="#_x0000_t202" style="position:absolute;left:0pt;margin-left:165.05pt;margin-top:1.95pt;height:61.85pt;width:175.85pt;z-index:251737088;mso-width-relative:page;mso-height-relative:page;" filled="f" stroked="f" coordsize="21600,21600">
            <v:path/>
            <v:fill on="f" focussize="0,0"/>
            <v:stroke on="f"/>
            <v:imagedata o:title=""/>
            <o:lock v:ext="edit" aspectratio="f"/>
            <v:textbox inset="0mm,0mm,0mm,0mm">
              <w:txbxContent>
                <w:p w14:paraId="22CC7B49">
                  <w:pPr>
                    <w:spacing w:before="20" w:line="169" w:lineRule="exact"/>
                    <w:ind w:left="1162"/>
                    <w:rPr>
                      <w:rFonts w:ascii="微软雅黑" w:hAnsi="微软雅黑" w:eastAsia="微软雅黑" w:cs="微软雅黑"/>
                      <w:sz w:val="16"/>
                      <w:szCs w:val="16"/>
                    </w:rPr>
                  </w:pPr>
                  <w:r>
                    <w:rPr>
                      <w:rFonts w:ascii="微软雅黑" w:hAnsi="微软雅黑" w:eastAsia="微软雅黑" w:cs="微软雅黑"/>
                      <w:color w:val="638778"/>
                      <w:spacing w:val="13"/>
                      <w:sz w:val="16"/>
                      <w:szCs w:val="16"/>
                    </w:rPr>
                    <w:t>数据模型管理</w:t>
                  </w:r>
                </w:p>
                <w:p w14:paraId="13514019">
                  <w:pPr>
                    <w:spacing w:before="170" w:line="856" w:lineRule="exact"/>
                    <w:ind w:firstLine="20"/>
                  </w:pPr>
                  <w:r>
                    <w:rPr>
                      <w:position w:val="-17"/>
                    </w:rPr>
                    <w:drawing>
                      <wp:inline distT="0" distB="0" distL="0" distR="0">
                        <wp:extent cx="2207260" cy="543560"/>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50"/>
                                <a:stretch>
                                  <a:fillRect/>
                                </a:stretch>
                              </pic:blipFill>
                              <pic:spPr>
                                <a:xfrm>
                                  <a:off x="0" y="0"/>
                                  <a:ext cx="2207486" cy="543988"/>
                                </a:xfrm>
                                <a:prstGeom prst="rect">
                                  <a:avLst/>
                                </a:prstGeom>
                              </pic:spPr>
                            </pic:pic>
                          </a:graphicData>
                        </a:graphic>
                      </wp:inline>
                    </w:drawing>
                  </w:r>
                </w:p>
              </w:txbxContent>
            </v:textbox>
          </v:shape>
        </w:pict>
      </w:r>
      <w:r>
        <w:pict>
          <v:shape id="_x0000_s1081" o:spid="_x0000_s1081" o:spt="202" type="#_x0000_t202" style="position:absolute;left:0pt;margin-left:45.05pt;margin-top:3.75pt;height:10.5pt;width:54pt;z-index:251729920;mso-width-relative:page;mso-height-relative:page;" filled="f" stroked="f" coordsize="21600,21600">
            <v:path/>
            <v:fill on="f" focussize="0,0"/>
            <v:stroke on="f"/>
            <v:imagedata o:title=""/>
            <o:lock v:ext="edit" aspectratio="f"/>
            <v:textbox inset="0mm,0mm,0mm,0mm">
              <w:txbxContent>
                <w:p w14:paraId="692DD155">
                  <w:pPr>
                    <w:spacing w:before="20" w:line="169" w:lineRule="exact"/>
                    <w:ind w:left="20"/>
                    <w:rPr>
                      <w:rFonts w:ascii="微软雅黑" w:hAnsi="微软雅黑" w:eastAsia="微软雅黑" w:cs="微软雅黑"/>
                      <w:sz w:val="16"/>
                      <w:szCs w:val="16"/>
                    </w:rPr>
                  </w:pPr>
                  <w:r>
                    <w:rPr>
                      <w:rFonts w:ascii="微软雅黑" w:hAnsi="微软雅黑" w:eastAsia="微软雅黑" w:cs="微软雅黑"/>
                      <w:color w:val="638778"/>
                      <w:spacing w:val="13"/>
                      <w:sz w:val="16"/>
                      <w:szCs w:val="16"/>
                    </w:rPr>
                    <w:t>数据标准管理</w:t>
                  </w:r>
                </w:p>
              </w:txbxContent>
            </v:textbox>
          </v:shape>
        </w:pict>
      </w:r>
      <w:r>
        <w:pict>
          <v:shape id="_x0000_s1082" o:spid="_x0000_s1082" o:spt="202" type="#_x0000_t202" style="position:absolute;left:0pt;margin-left:412.65pt;margin-top:5.85pt;height:10.5pt;width:36.6pt;z-index:251731968;mso-width-relative:page;mso-height-relative:page;" filled="f" stroked="f" coordsize="21600,21600">
            <v:path/>
            <v:fill on="f" focussize="0,0"/>
            <v:stroke on="f"/>
            <v:imagedata o:title=""/>
            <o:lock v:ext="edit" aspectratio="f"/>
            <v:textbox inset="0mm,0mm,0mm,0mm">
              <w:txbxContent>
                <w:p w14:paraId="3A77606B">
                  <w:pPr>
                    <w:spacing w:before="20" w:line="169" w:lineRule="exact"/>
                    <w:ind w:left="20"/>
                    <w:rPr>
                      <w:rFonts w:ascii="微软雅黑" w:hAnsi="微软雅黑" w:eastAsia="微软雅黑" w:cs="微软雅黑"/>
                      <w:sz w:val="16"/>
                      <w:szCs w:val="16"/>
                    </w:rPr>
                  </w:pPr>
                  <w:r>
                    <w:rPr>
                      <w:rFonts w:ascii="微软雅黑" w:hAnsi="微软雅黑" w:eastAsia="微软雅黑" w:cs="微软雅黑"/>
                      <w:color w:val="638778"/>
                      <w:spacing w:val="12"/>
                      <w:sz w:val="16"/>
                      <w:szCs w:val="16"/>
                    </w:rPr>
                    <w:t>数据中心</w:t>
                  </w:r>
                </w:p>
              </w:txbxContent>
            </v:textbox>
          </v:shape>
        </w:pict>
      </w:r>
    </w:p>
    <w:p w14:paraId="607021F9">
      <w:pPr>
        <w:pStyle w:val="2"/>
        <w:spacing w:line="245" w:lineRule="auto"/>
      </w:pPr>
      <w:r>
        <w:drawing>
          <wp:anchor distT="0" distB="0" distL="0" distR="0" simplePos="0" relativeHeight="251727872" behindDoc="0" locked="0" layoutInCell="1" allowOverlap="1">
            <wp:simplePos x="0" y="0"/>
            <wp:positionH relativeFrom="column">
              <wp:posOffset>414020</wp:posOffset>
            </wp:positionH>
            <wp:positionV relativeFrom="paragraph">
              <wp:posOffset>96520</wp:posOffset>
            </wp:positionV>
            <wp:extent cx="953770" cy="228600"/>
            <wp:effectExtent l="0" t="0" r="0" b="0"/>
            <wp:wrapNone/>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51"/>
                    <a:stretch>
                      <a:fillRect/>
                    </a:stretch>
                  </pic:blipFill>
                  <pic:spPr>
                    <a:xfrm>
                      <a:off x="0" y="0"/>
                      <a:ext cx="953947" cy="228625"/>
                    </a:xfrm>
                    <a:prstGeom prst="rect">
                      <a:avLst/>
                    </a:prstGeom>
                  </pic:spPr>
                </pic:pic>
              </a:graphicData>
            </a:graphic>
          </wp:anchor>
        </w:drawing>
      </w:r>
      <w:r>
        <w:drawing>
          <wp:anchor distT="0" distB="0" distL="0" distR="0" simplePos="0" relativeHeight="251726848" behindDoc="0" locked="0" layoutInCell="1" allowOverlap="1">
            <wp:simplePos x="0" y="0"/>
            <wp:positionH relativeFrom="column">
              <wp:posOffset>5002530</wp:posOffset>
            </wp:positionH>
            <wp:positionV relativeFrom="paragraph">
              <wp:posOffset>104775</wp:posOffset>
            </wp:positionV>
            <wp:extent cx="953770" cy="228600"/>
            <wp:effectExtent l="0" t="0" r="0" b="0"/>
            <wp:wrapNone/>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52"/>
                    <a:stretch>
                      <a:fillRect/>
                    </a:stretch>
                  </pic:blipFill>
                  <pic:spPr>
                    <a:xfrm>
                      <a:off x="0" y="0"/>
                      <a:ext cx="953947" cy="228625"/>
                    </a:xfrm>
                    <a:prstGeom prst="rect">
                      <a:avLst/>
                    </a:prstGeom>
                  </pic:spPr>
                </pic:pic>
              </a:graphicData>
            </a:graphic>
          </wp:anchor>
        </w:drawing>
      </w:r>
    </w:p>
    <w:p w14:paraId="5A69DE36">
      <w:pPr>
        <w:pStyle w:val="2"/>
        <w:spacing w:line="246" w:lineRule="auto"/>
      </w:pPr>
      <w:r>
        <w:pict>
          <v:shape id="_x0000_s1083" o:spid="_x0000_s1083" o:spt="202" type="#_x0000_t202" style="position:absolute;left:0pt;margin-left:115.8pt;margin-top:8.9pt;height:18pt;width:38.6pt;z-index:251728896;mso-width-relative:page;mso-height-relative:page;" filled="f" stroked="f" coordsize="21600,21600">
            <v:path/>
            <v:fill on="f" focussize="0,0"/>
            <v:stroke on="f"/>
            <v:imagedata o:title=""/>
            <o:lock v:ext="edit" aspectratio="f"/>
            <v:textbox inset="0mm,0mm,0mm,0mm">
              <w:txbxContent>
                <w:p w14:paraId="060B6FEE">
                  <w:pPr>
                    <w:spacing w:before="19" w:line="160" w:lineRule="auto"/>
                    <w:ind w:left="20" w:right="20" w:firstLine="49"/>
                    <w:rPr>
                      <w:rFonts w:ascii="微软雅黑" w:hAnsi="微软雅黑" w:eastAsia="微软雅黑" w:cs="微软雅黑"/>
                      <w:sz w:val="14"/>
                      <w:szCs w:val="14"/>
                    </w:rPr>
                  </w:pPr>
                  <w:r>
                    <w:rPr>
                      <w:rFonts w:ascii="微软雅黑" w:hAnsi="微软雅黑" w:eastAsia="微软雅黑" w:cs="微软雅黑"/>
                      <w:color w:val="3D3D3D"/>
                      <w:spacing w:val="5"/>
                      <w:sz w:val="14"/>
                      <w:szCs w:val="14"/>
                    </w:rPr>
                    <w:t>定时/自动</w:t>
                  </w:r>
                  <w:r>
                    <w:rPr>
                      <w:rFonts w:ascii="微软雅黑" w:hAnsi="微软雅黑" w:eastAsia="微软雅黑" w:cs="微软雅黑"/>
                      <w:color w:val="3D3D3D"/>
                      <w:spacing w:val="1"/>
                      <w:sz w:val="14"/>
                      <w:szCs w:val="14"/>
                    </w:rPr>
                    <w:t xml:space="preserve">  </w:t>
                  </w:r>
                  <w:r>
                    <w:rPr>
                      <w:rFonts w:ascii="微软雅黑" w:hAnsi="微软雅黑" w:eastAsia="微软雅黑" w:cs="微软雅黑"/>
                      <w:color w:val="3D3D3D"/>
                      <w:spacing w:val="6"/>
                      <w:sz w:val="14"/>
                      <w:szCs w:val="14"/>
                    </w:rPr>
                    <w:t>采集、应用</w:t>
                  </w:r>
                </w:p>
              </w:txbxContent>
            </v:textbox>
          </v:shape>
        </w:pict>
      </w:r>
      <w:r>
        <w:drawing>
          <wp:anchor distT="0" distB="0" distL="0" distR="0" simplePos="0" relativeHeight="251721728" behindDoc="0" locked="0" layoutInCell="1" allowOverlap="1">
            <wp:simplePos x="0" y="0"/>
            <wp:positionH relativeFrom="column">
              <wp:posOffset>1367790</wp:posOffset>
            </wp:positionH>
            <wp:positionV relativeFrom="paragraph">
              <wp:posOffset>34925</wp:posOffset>
            </wp:positionV>
            <wp:extent cx="735330" cy="354965"/>
            <wp:effectExtent l="0" t="0" r="0" b="0"/>
            <wp:wrapNone/>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53"/>
                    <a:stretch>
                      <a:fillRect/>
                    </a:stretch>
                  </pic:blipFill>
                  <pic:spPr>
                    <a:xfrm>
                      <a:off x="0" y="0"/>
                      <a:ext cx="735495" cy="354779"/>
                    </a:xfrm>
                    <a:prstGeom prst="rect">
                      <a:avLst/>
                    </a:prstGeom>
                  </pic:spPr>
                </pic:pic>
              </a:graphicData>
            </a:graphic>
          </wp:anchor>
        </w:drawing>
      </w:r>
      <w:r>
        <w:drawing>
          <wp:anchor distT="0" distB="0" distL="0" distR="0" simplePos="0" relativeHeight="251722752" behindDoc="0" locked="0" layoutInCell="1" allowOverlap="1">
            <wp:simplePos x="0" y="0"/>
            <wp:positionH relativeFrom="column">
              <wp:posOffset>4312285</wp:posOffset>
            </wp:positionH>
            <wp:positionV relativeFrom="paragraph">
              <wp:posOffset>38735</wp:posOffset>
            </wp:positionV>
            <wp:extent cx="690245" cy="361315"/>
            <wp:effectExtent l="0" t="0" r="0" b="0"/>
            <wp:wrapNone/>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54"/>
                    <a:stretch>
                      <a:fillRect/>
                    </a:stretch>
                  </pic:blipFill>
                  <pic:spPr>
                    <a:xfrm>
                      <a:off x="0" y="0"/>
                      <a:ext cx="690387" cy="361276"/>
                    </a:xfrm>
                    <a:prstGeom prst="rect">
                      <a:avLst/>
                    </a:prstGeom>
                  </pic:spPr>
                </pic:pic>
              </a:graphicData>
            </a:graphic>
          </wp:anchor>
        </w:drawing>
      </w:r>
    </w:p>
    <w:p w14:paraId="03883827">
      <w:pPr>
        <w:pStyle w:val="2"/>
        <w:spacing w:line="246" w:lineRule="auto"/>
      </w:pPr>
      <w:r>
        <w:drawing>
          <wp:anchor distT="0" distB="0" distL="0" distR="0" simplePos="0" relativeHeight="251724800" behindDoc="0" locked="0" layoutInCell="1" allowOverlap="1">
            <wp:simplePos x="0" y="0"/>
            <wp:positionH relativeFrom="column">
              <wp:posOffset>414020</wp:posOffset>
            </wp:positionH>
            <wp:positionV relativeFrom="paragraph">
              <wp:posOffset>90805</wp:posOffset>
            </wp:positionV>
            <wp:extent cx="953770" cy="236220"/>
            <wp:effectExtent l="0" t="0" r="0" b="0"/>
            <wp:wrapNone/>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55"/>
                    <a:stretch>
                      <a:fillRect/>
                    </a:stretch>
                  </pic:blipFill>
                  <pic:spPr>
                    <a:xfrm>
                      <a:off x="0" y="0"/>
                      <a:ext cx="953947" cy="236512"/>
                    </a:xfrm>
                    <a:prstGeom prst="rect">
                      <a:avLst/>
                    </a:prstGeom>
                  </pic:spPr>
                </pic:pic>
              </a:graphicData>
            </a:graphic>
          </wp:anchor>
        </w:drawing>
      </w:r>
      <w:r>
        <w:drawing>
          <wp:anchor distT="0" distB="0" distL="0" distR="0" simplePos="0" relativeHeight="251723776" behindDoc="0" locked="0" layoutInCell="1" allowOverlap="1">
            <wp:simplePos x="0" y="0"/>
            <wp:positionH relativeFrom="column">
              <wp:posOffset>5002530</wp:posOffset>
            </wp:positionH>
            <wp:positionV relativeFrom="paragraph">
              <wp:posOffset>98425</wp:posOffset>
            </wp:positionV>
            <wp:extent cx="953770" cy="236220"/>
            <wp:effectExtent l="0" t="0" r="0" b="0"/>
            <wp:wrapNone/>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56"/>
                    <a:stretch>
                      <a:fillRect/>
                    </a:stretch>
                  </pic:blipFill>
                  <pic:spPr>
                    <a:xfrm>
                      <a:off x="0" y="0"/>
                      <a:ext cx="953947" cy="236512"/>
                    </a:xfrm>
                    <a:prstGeom prst="rect">
                      <a:avLst/>
                    </a:prstGeom>
                  </pic:spPr>
                </pic:pic>
              </a:graphicData>
            </a:graphic>
          </wp:anchor>
        </w:drawing>
      </w:r>
    </w:p>
    <w:p w14:paraId="394DF85C">
      <w:pPr>
        <w:pStyle w:val="2"/>
        <w:spacing w:line="246" w:lineRule="auto"/>
      </w:pPr>
    </w:p>
    <w:p w14:paraId="2F6A6D0E">
      <w:pPr>
        <w:pStyle w:val="2"/>
        <w:spacing w:line="246" w:lineRule="auto"/>
      </w:pPr>
      <w:r>
        <w:drawing>
          <wp:anchor distT="0" distB="0" distL="0" distR="0" simplePos="0" relativeHeight="251732992" behindDoc="0" locked="0" layoutInCell="1" allowOverlap="1">
            <wp:simplePos x="0" y="0"/>
            <wp:positionH relativeFrom="column">
              <wp:posOffset>3808095</wp:posOffset>
            </wp:positionH>
            <wp:positionV relativeFrom="paragraph">
              <wp:posOffset>16510</wp:posOffset>
            </wp:positionV>
            <wp:extent cx="46990" cy="290830"/>
            <wp:effectExtent l="0" t="0" r="0" b="0"/>
            <wp:wrapNone/>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57"/>
                    <a:stretch>
                      <a:fillRect/>
                    </a:stretch>
                  </pic:blipFill>
                  <pic:spPr>
                    <a:xfrm>
                      <a:off x="0" y="0"/>
                      <a:ext cx="47307" cy="290906"/>
                    </a:xfrm>
                    <a:prstGeom prst="rect">
                      <a:avLst/>
                    </a:prstGeom>
                  </pic:spPr>
                </pic:pic>
              </a:graphicData>
            </a:graphic>
          </wp:anchor>
        </w:drawing>
      </w:r>
    </w:p>
    <w:p w14:paraId="691FAC64">
      <w:pPr>
        <w:pStyle w:val="2"/>
        <w:spacing w:line="246" w:lineRule="auto"/>
      </w:pPr>
      <w:r>
        <w:pict>
          <v:rect id="_x0000_s1084" o:spid="_x0000_s1084" o:spt="1" style="position:absolute;left:0pt;margin-left:158pt;margin-top:5.4pt;height:31.05pt;width:203.65pt;z-index:251719680;mso-width-relative:page;mso-height-relative:page;" fillcolor="#F2F2F2" filled="t" stroked="f" coordsize="21600,21600">
            <v:path/>
            <v:fill on="t" focussize="0,0"/>
            <v:stroke on="f"/>
            <v:imagedata o:title=""/>
            <o:lock v:ext="edit"/>
          </v:rect>
        </w:pict>
      </w:r>
      <w:r>
        <w:drawing>
          <wp:anchor distT="0" distB="0" distL="0" distR="0" simplePos="0" relativeHeight="251725824" behindDoc="0" locked="0" layoutInCell="1" allowOverlap="1">
            <wp:simplePos x="0" y="0"/>
            <wp:positionH relativeFrom="column">
              <wp:posOffset>3346450</wp:posOffset>
            </wp:positionH>
            <wp:positionV relativeFrom="paragraph">
              <wp:posOffset>147320</wp:posOffset>
            </wp:positionV>
            <wp:extent cx="962025" cy="228600"/>
            <wp:effectExtent l="0" t="0" r="0" b="0"/>
            <wp:wrapNone/>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58"/>
                    <a:stretch>
                      <a:fillRect/>
                    </a:stretch>
                  </pic:blipFill>
                  <pic:spPr>
                    <a:xfrm>
                      <a:off x="0" y="0"/>
                      <a:ext cx="961834" cy="228625"/>
                    </a:xfrm>
                    <a:prstGeom prst="rect">
                      <a:avLst/>
                    </a:prstGeom>
                  </pic:spPr>
                </pic:pic>
              </a:graphicData>
            </a:graphic>
          </wp:anchor>
        </w:drawing>
      </w:r>
    </w:p>
    <w:p w14:paraId="7CD1B739">
      <w:pPr>
        <w:pStyle w:val="2"/>
        <w:spacing w:line="246" w:lineRule="auto"/>
      </w:pPr>
      <w:r>
        <w:pict>
          <v:shape id="_x0000_s1085" o:spid="_x0000_s1085" o:spt="202" type="#_x0000_t202" style="position:absolute;left:0pt;margin-left:179.25pt;margin-top:3.1pt;height:10.5pt;width:45.1pt;z-index:251730944;mso-width-relative:page;mso-height-relative:page;" filled="f" stroked="f" coordsize="21600,21600">
            <v:path/>
            <v:fill on="f" focussize="0,0"/>
            <v:stroke on="f"/>
            <v:imagedata o:title=""/>
            <o:lock v:ext="edit" aspectratio="f"/>
            <v:textbox inset="0mm,0mm,0mm,0mm">
              <w:txbxContent>
                <w:p w14:paraId="5F8D327A">
                  <w:pPr>
                    <w:spacing w:before="20" w:line="169" w:lineRule="exact"/>
                    <w:ind w:left="20"/>
                    <w:rPr>
                      <w:rFonts w:ascii="微软雅黑" w:hAnsi="微软雅黑" w:eastAsia="微软雅黑" w:cs="微软雅黑"/>
                      <w:sz w:val="16"/>
                      <w:szCs w:val="16"/>
                    </w:rPr>
                  </w:pPr>
                  <w:r>
                    <w:rPr>
                      <w:rFonts w:ascii="微软雅黑" w:hAnsi="微软雅黑" w:eastAsia="微软雅黑" w:cs="微软雅黑"/>
                      <w:color w:val="638778"/>
                      <w:spacing w:val="12"/>
                      <w:sz w:val="16"/>
                      <w:szCs w:val="16"/>
                    </w:rPr>
                    <w:t>元数据监控</w:t>
                  </w:r>
                </w:p>
              </w:txbxContent>
            </v:textbox>
          </v:shape>
        </w:pict>
      </w:r>
    </w:p>
    <w:p w14:paraId="59BD983A">
      <w:pPr>
        <w:pStyle w:val="2"/>
        <w:spacing w:line="246" w:lineRule="auto"/>
      </w:pPr>
    </w:p>
    <w:p w14:paraId="61A7847B">
      <w:pPr>
        <w:pStyle w:val="2"/>
        <w:spacing w:line="246" w:lineRule="auto"/>
      </w:pPr>
    </w:p>
    <w:p w14:paraId="5C9D8B89">
      <w:pPr>
        <w:spacing w:before="86" w:line="204" w:lineRule="auto"/>
        <w:ind w:left="3613"/>
        <w:rPr>
          <w:rFonts w:ascii="微软雅黑" w:hAnsi="微软雅黑" w:eastAsia="微软雅黑" w:cs="微软雅黑"/>
          <w:sz w:val="20"/>
          <w:szCs w:val="20"/>
        </w:rPr>
      </w:pPr>
      <w:r>
        <w:rPr>
          <w:rFonts w:ascii="微软雅黑" w:hAnsi="微软雅黑" w:eastAsia="微软雅黑" w:cs="微软雅黑"/>
          <w:color w:val="231F20"/>
          <w:spacing w:val="2"/>
          <w:sz w:val="20"/>
          <w:szCs w:val="20"/>
        </w:rPr>
        <w:t>图 5</w:t>
      </w:r>
      <w:r>
        <w:rPr>
          <w:rFonts w:ascii="微软雅黑" w:hAnsi="微软雅黑" w:eastAsia="微软雅黑" w:cs="微软雅黑"/>
          <w:color w:val="231F20"/>
          <w:spacing w:val="20"/>
          <w:sz w:val="20"/>
          <w:szCs w:val="20"/>
        </w:rPr>
        <w:t xml:space="preserve"> </w:t>
      </w:r>
      <w:r>
        <w:rPr>
          <w:rFonts w:ascii="微软雅黑" w:hAnsi="微软雅黑" w:eastAsia="微软雅黑" w:cs="微软雅黑"/>
          <w:color w:val="231F20"/>
          <w:spacing w:val="2"/>
          <w:sz w:val="20"/>
          <w:szCs w:val="20"/>
        </w:rPr>
        <w:t>华为一体化数据建模示例</w:t>
      </w:r>
    </w:p>
    <w:p w14:paraId="6646708D">
      <w:pPr>
        <w:spacing w:before="325"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7"/>
          <w:sz w:val="28"/>
          <w:szCs w:val="28"/>
        </w:rPr>
        <w:t>( 二</w:t>
      </w:r>
      <w:r>
        <w:rPr>
          <w:rFonts w:ascii="微软雅黑" w:hAnsi="微软雅黑" w:eastAsia="微软雅黑" w:cs="微软雅黑"/>
          <w:color w:val="648676"/>
          <w:spacing w:val="19"/>
          <w:sz w:val="28"/>
          <w:szCs w:val="28"/>
        </w:rPr>
        <w:t xml:space="preserve"> </w:t>
      </w:r>
      <w:r>
        <w:rPr>
          <w:rFonts w:ascii="微软雅黑" w:hAnsi="微软雅黑" w:eastAsia="微软雅黑" w:cs="微软雅黑"/>
          <w:color w:val="648676"/>
          <w:spacing w:val="7"/>
          <w:sz w:val="28"/>
          <w:szCs w:val="28"/>
        </w:rPr>
        <w:t>)</w:t>
      </w:r>
      <w:r>
        <w:rPr>
          <w:rFonts w:ascii="微软雅黑" w:hAnsi="微软雅黑" w:eastAsia="微软雅黑" w:cs="微软雅黑"/>
          <w:color w:val="648676"/>
          <w:spacing w:val="29"/>
          <w:sz w:val="28"/>
          <w:szCs w:val="28"/>
        </w:rPr>
        <w:t xml:space="preserve"> </w:t>
      </w:r>
      <w:r>
        <w:rPr>
          <w:rFonts w:ascii="微软雅黑" w:hAnsi="微软雅黑" w:eastAsia="微软雅黑" w:cs="微软雅黑"/>
          <w:color w:val="648676"/>
          <w:spacing w:val="7"/>
          <w:sz w:val="28"/>
          <w:szCs w:val="28"/>
        </w:rPr>
        <w:t>数据标准管理</w:t>
      </w:r>
    </w:p>
    <w:p w14:paraId="3025955F">
      <w:pPr>
        <w:pStyle w:val="2"/>
        <w:spacing w:line="410" w:lineRule="auto"/>
      </w:pPr>
    </w:p>
    <w:p w14:paraId="02152B34">
      <w:pPr>
        <w:spacing w:before="95" w:line="289" w:lineRule="auto"/>
        <w:ind w:left="248" w:firstLine="480"/>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 xml:space="preserve">数据标准是指保障数据的内外部使用和交换的一致性和准确性的规范性约束。数据标准管理 </w:t>
      </w:r>
      <w:r>
        <w:rPr>
          <w:rFonts w:ascii="微软雅黑" w:hAnsi="微软雅黑" w:eastAsia="微软雅黑" w:cs="微软雅黑"/>
          <w:color w:val="231F20"/>
          <w:spacing w:val="4"/>
          <w:sz w:val="22"/>
          <w:szCs w:val="22"/>
        </w:rPr>
        <w:t>的目标是通过制定和发布由数据利益相关方确认的数据标准，结合制度约束、过程管控</w:t>
      </w:r>
      <w:r>
        <w:rPr>
          <w:rFonts w:ascii="微软雅黑" w:hAnsi="微软雅黑" w:eastAsia="微软雅黑" w:cs="微软雅黑"/>
          <w:color w:val="231F20"/>
          <w:spacing w:val="3"/>
          <w:sz w:val="22"/>
          <w:szCs w:val="22"/>
        </w:rPr>
        <w:t>、技术工</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具等手段，推动数据的标准化，进一步提升数据质量。</w:t>
      </w:r>
    </w:p>
    <w:p w14:paraId="42007DF5">
      <w:pPr>
        <w:pStyle w:val="2"/>
        <w:spacing w:line="392" w:lineRule="auto"/>
      </w:pPr>
    </w:p>
    <w:p w14:paraId="7AEAB660">
      <w:pPr>
        <w:spacing w:before="95" w:line="178" w:lineRule="auto"/>
        <w:ind w:left="728"/>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数据标准管理的关键活动包括：</w:t>
      </w:r>
    </w:p>
    <w:p w14:paraId="262658EA">
      <w:pPr>
        <w:spacing w:before="168" w:line="287" w:lineRule="auto"/>
        <w:ind w:left="248" w:right="5" w:firstLine="569"/>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·数据标准管理计划：确定数据标准管理相关负责人与参与人，开展数据标准需求</w:t>
      </w:r>
      <w:r>
        <w:rPr>
          <w:rFonts w:ascii="微软雅黑" w:hAnsi="微软雅黑" w:eastAsia="微软雅黑" w:cs="微软雅黑"/>
          <w:color w:val="231F20"/>
          <w:spacing w:val="4"/>
          <w:sz w:val="22"/>
          <w:szCs w:val="22"/>
        </w:rPr>
        <w:t>采集与现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状调研，构建组织级数据标准分类框架；制定并发</w:t>
      </w:r>
      <w:r>
        <w:rPr>
          <w:rFonts w:ascii="微软雅黑" w:hAnsi="微软雅黑" w:eastAsia="微软雅黑" w:cs="微软雅黑"/>
          <w:color w:val="231F20"/>
          <w:spacing w:val="-2"/>
          <w:sz w:val="22"/>
          <w:szCs w:val="22"/>
        </w:rPr>
        <w:t>布数据标准管理规划与实施路线；</w:t>
      </w:r>
    </w:p>
    <w:p w14:paraId="665AD678">
      <w:pPr>
        <w:spacing w:before="15" w:line="288" w:lineRule="auto"/>
        <w:ind w:left="248" w:right="7" w:firstLine="569"/>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w:t>
      </w:r>
      <w:r>
        <w:rPr>
          <w:rFonts w:ascii="微软雅黑" w:hAnsi="微软雅黑" w:eastAsia="微软雅黑" w:cs="微软雅黑"/>
          <w:color w:val="231F20"/>
          <w:spacing w:val="-33"/>
          <w:sz w:val="22"/>
          <w:szCs w:val="22"/>
        </w:rPr>
        <w:t xml:space="preserve"> </w:t>
      </w:r>
      <w:r>
        <w:rPr>
          <w:rFonts w:ascii="微软雅黑" w:hAnsi="微软雅黑" w:eastAsia="微软雅黑" w:cs="微软雅黑"/>
          <w:color w:val="231F20"/>
          <w:spacing w:val="4"/>
          <w:sz w:val="22"/>
          <w:szCs w:val="22"/>
        </w:rPr>
        <w:t>数据标准管理执行：在数据标准分类框架的基础上，定义数据标准；依据数据资产管理认</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责体系，组织相关人员进行数据标准评审并发布；依托平台工具，应用</w:t>
      </w:r>
      <w:r>
        <w:rPr>
          <w:rFonts w:ascii="微软雅黑" w:hAnsi="微软雅黑" w:eastAsia="微软雅黑" w:cs="微软雅黑"/>
          <w:color w:val="231F20"/>
          <w:spacing w:val="3"/>
          <w:sz w:val="22"/>
          <w:szCs w:val="22"/>
        </w:rPr>
        <w:t>数据标准（包括数据模型</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设计与开发、数据质量稽核等</w:t>
      </w:r>
      <w:r>
        <w:rPr>
          <w:rFonts w:ascii="微软雅黑" w:hAnsi="微软雅黑" w:eastAsia="微软雅黑" w:cs="微软雅黑"/>
          <w:color w:val="231F20"/>
          <w:spacing w:val="1"/>
          <w:sz w:val="22"/>
          <w:szCs w:val="22"/>
        </w:rPr>
        <w:t>）；</w:t>
      </w:r>
    </w:p>
    <w:p w14:paraId="64A08FE5">
      <w:pPr>
        <w:pStyle w:val="2"/>
        <w:spacing w:before="267" w:line="194" w:lineRule="auto"/>
        <w:ind w:left="4858"/>
        <w:rPr>
          <w:sz w:val="20"/>
          <w:szCs w:val="20"/>
        </w:rPr>
      </w:pPr>
      <w:r>
        <w:pict>
          <v:shape id="_x0000_s1086" o:spid="_x0000_s1086" o:spt="202" type="#_x0000_t202" style="position:absolute;left:0pt;margin-left:274.65pt;margin-top:17pt;height:15.95pt;width:199.4pt;z-index:251720704;mso-width-relative:page;mso-height-relative:page;" filled="f" stroked="f" coordsize="21600,21600">
            <v:path/>
            <v:fill on="f" focussize="0,0"/>
            <v:stroke on="f"/>
            <v:imagedata o:title=""/>
            <o:lock v:ext="edit" aspectratio="f"/>
            <v:textbox inset="0mm,0mm,0mm,0mm">
              <w:txbxContent>
                <w:p w14:paraId="57ACABB2">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6"/>
          <w:sz w:val="20"/>
          <w:szCs w:val="20"/>
        </w:rPr>
        <w:t>12</w:t>
      </w:r>
    </w:p>
    <w:p w14:paraId="1B4791EC">
      <w:pPr>
        <w:spacing w:line="194" w:lineRule="auto"/>
        <w:rPr>
          <w:sz w:val="20"/>
          <w:szCs w:val="20"/>
        </w:rPr>
        <w:sectPr>
          <w:pgSz w:w="11906" w:h="16158"/>
          <w:pgMar w:top="400" w:right="1246" w:bottom="400" w:left="1004" w:header="0" w:footer="0" w:gutter="0"/>
          <w:cols w:space="720" w:num="1"/>
        </w:sectPr>
      </w:pPr>
    </w:p>
    <w:p w14:paraId="1597C370">
      <w:pPr>
        <w:pStyle w:val="2"/>
        <w:spacing w:line="349" w:lineRule="auto"/>
      </w:pPr>
    </w:p>
    <w:p w14:paraId="114A1DC1">
      <w:pPr>
        <w:pStyle w:val="2"/>
        <w:spacing w:line="350" w:lineRule="auto"/>
      </w:pPr>
    </w:p>
    <w:p w14:paraId="2C04A6C8">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-2</w:t>
      </w:r>
    </w:p>
    <w:p w14:paraId="5031219D">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45D6ABA0">
      <w:pPr>
        <w:pStyle w:val="2"/>
        <w:spacing w:line="292" w:lineRule="auto"/>
      </w:pPr>
    </w:p>
    <w:p w14:paraId="12F58B67">
      <w:pPr>
        <w:pStyle w:val="2"/>
        <w:spacing w:line="293" w:lineRule="auto"/>
      </w:pPr>
    </w:p>
    <w:p w14:paraId="2B90C72D">
      <w:pPr>
        <w:pStyle w:val="2"/>
        <w:spacing w:line="293" w:lineRule="auto"/>
      </w:pPr>
    </w:p>
    <w:p w14:paraId="38AB7E82">
      <w:pPr>
        <w:spacing w:before="95" w:line="287" w:lineRule="auto"/>
        <w:ind w:left="248" w:right="14" w:firstLine="569"/>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·数据标准管理检查：对数据标准的适用性、全面性进行及时检查；依托平台工</w:t>
      </w:r>
      <w:r>
        <w:rPr>
          <w:rFonts w:ascii="微软雅黑" w:hAnsi="微软雅黑" w:eastAsia="微软雅黑" w:cs="微软雅黑"/>
          <w:color w:val="231F20"/>
          <w:spacing w:val="4"/>
          <w:sz w:val="22"/>
          <w:szCs w:val="22"/>
        </w:rPr>
        <w:t>具，检查并</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5"/>
          <w:sz w:val="22"/>
          <w:szCs w:val="22"/>
        </w:rPr>
        <w:t>记录数据标准应用程度；</w:t>
      </w:r>
    </w:p>
    <w:p w14:paraId="0845C310">
      <w:pPr>
        <w:spacing w:before="17" w:line="287" w:lineRule="auto"/>
        <w:ind w:left="248" w:right="13" w:firstLine="569"/>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·数据标准管理改进：通过制定数据标准维护与优化的路线图，遵循数据标准管理</w:t>
      </w:r>
      <w:r>
        <w:rPr>
          <w:rFonts w:ascii="微软雅黑" w:hAnsi="微软雅黑" w:eastAsia="微软雅黑" w:cs="微软雅黑"/>
          <w:color w:val="231F20"/>
          <w:spacing w:val="4"/>
          <w:sz w:val="22"/>
          <w:szCs w:val="22"/>
        </w:rPr>
        <w:t>工作的组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织结构与策略流程，各参与方共同配合进行数据标准维护与管理过程优化。</w:t>
      </w:r>
    </w:p>
    <w:p w14:paraId="2BDCD21C">
      <w:pPr>
        <w:spacing w:before="19" w:line="290" w:lineRule="auto"/>
        <w:ind w:left="247" w:right="5" w:firstLine="482"/>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推动数据标准应用于数据模型管理、数据质量管理，提升数据标准管理效果。例如，交通银 行一方面以新建系统或重构系统为契机，实施数据标准的“</w:t>
      </w:r>
      <w:r>
        <w:rPr>
          <w:rFonts w:ascii="微软雅黑" w:hAnsi="微软雅黑" w:eastAsia="微软雅黑" w:cs="微软雅黑"/>
          <w:color w:val="231F20"/>
          <w:spacing w:val="2"/>
          <w:sz w:val="22"/>
          <w:szCs w:val="22"/>
        </w:rPr>
        <w:t>强管控”，基于数据建模工具打通</w:t>
      </w:r>
      <w:r>
        <w:rPr>
          <w:rFonts w:ascii="微软雅黑" w:hAnsi="微软雅黑" w:eastAsia="微软雅黑" w:cs="微软雅黑"/>
          <w:color w:val="231F20"/>
          <w:spacing w:val="18"/>
          <w:w w:val="101"/>
          <w:sz w:val="22"/>
          <w:szCs w:val="22"/>
        </w:rPr>
        <w:t xml:space="preserve"> </w:t>
      </w:r>
      <w:r>
        <w:rPr>
          <w:rFonts w:ascii="微软雅黑" w:hAnsi="微软雅黑" w:eastAsia="微软雅黑" w:cs="微软雅黑"/>
          <w:color w:val="231F20"/>
          <w:sz w:val="22"/>
          <w:szCs w:val="22"/>
        </w:rPr>
        <w:t xml:space="preserve">IT </w:t>
      </w:r>
      <w:r>
        <w:rPr>
          <w:rFonts w:ascii="微软雅黑" w:hAnsi="微软雅黑" w:eastAsia="微软雅黑" w:cs="微软雅黑"/>
          <w:color w:val="231F20"/>
          <w:spacing w:val="1"/>
          <w:sz w:val="22"/>
          <w:szCs w:val="22"/>
        </w:rPr>
        <w:t>开发需求与数据标准，要求</w:t>
      </w:r>
      <w:r>
        <w:rPr>
          <w:rFonts w:ascii="微软雅黑" w:hAnsi="微软雅黑" w:eastAsia="微软雅黑" w:cs="微软雅黑"/>
          <w:color w:val="231F20"/>
          <w:spacing w:val="25"/>
          <w:sz w:val="22"/>
          <w:szCs w:val="22"/>
        </w:rPr>
        <w:t xml:space="preserve"> </w:t>
      </w:r>
      <w:r>
        <w:rPr>
          <w:rFonts w:ascii="微软雅黑" w:hAnsi="微软雅黑" w:eastAsia="微软雅黑" w:cs="微软雅黑"/>
          <w:color w:val="231F20"/>
          <w:sz w:val="22"/>
          <w:szCs w:val="22"/>
        </w:rPr>
        <w:t>IT</w:t>
      </w:r>
      <w:r>
        <w:rPr>
          <w:rFonts w:ascii="微软雅黑" w:hAnsi="微软雅黑" w:eastAsia="微软雅黑" w:cs="微软雅黑"/>
          <w:color w:val="231F20"/>
          <w:spacing w:val="1"/>
          <w:sz w:val="22"/>
          <w:szCs w:val="22"/>
        </w:rPr>
        <w:t xml:space="preserve"> 人员应用统一建模工具实施开发，推动数据标准有效落地，另一方</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面以数据标准管理促进数据质量提升，基于数据标准编制数据质量规则</w:t>
      </w:r>
      <w:r>
        <w:rPr>
          <w:rFonts w:ascii="微软雅黑" w:hAnsi="微软雅黑" w:eastAsia="微软雅黑" w:cs="微软雅黑"/>
          <w:color w:val="231F20"/>
          <w:spacing w:val="3"/>
          <w:sz w:val="22"/>
          <w:szCs w:val="22"/>
        </w:rPr>
        <w:t>，聚焦关键业务领域与关</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键质量问题，并对数据标准应用情况进行持续监控。</w:t>
      </w:r>
    </w:p>
    <w:p w14:paraId="51B56517">
      <w:pPr>
        <w:pStyle w:val="2"/>
        <w:spacing w:line="352" w:lineRule="auto"/>
      </w:pPr>
    </w:p>
    <w:p w14:paraId="5264B1BB">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8"/>
          <w:sz w:val="28"/>
          <w:szCs w:val="28"/>
        </w:rPr>
        <w:t>( 三 )</w:t>
      </w:r>
      <w:r>
        <w:rPr>
          <w:rFonts w:ascii="微软雅黑" w:hAnsi="微软雅黑" w:eastAsia="微软雅黑" w:cs="微软雅黑"/>
          <w:color w:val="648676"/>
          <w:spacing w:val="30"/>
          <w:sz w:val="28"/>
          <w:szCs w:val="28"/>
        </w:rPr>
        <w:t xml:space="preserve"> </w:t>
      </w:r>
      <w:r>
        <w:rPr>
          <w:rFonts w:ascii="微软雅黑" w:hAnsi="微软雅黑" w:eastAsia="微软雅黑" w:cs="微软雅黑"/>
          <w:color w:val="648676"/>
          <w:spacing w:val="8"/>
          <w:sz w:val="28"/>
          <w:szCs w:val="28"/>
        </w:rPr>
        <w:t>数据质量管理</w:t>
      </w:r>
    </w:p>
    <w:p w14:paraId="727A3CF6">
      <w:pPr>
        <w:pStyle w:val="2"/>
        <w:spacing w:line="410" w:lineRule="auto"/>
      </w:pPr>
    </w:p>
    <w:p w14:paraId="2DC2ED9A">
      <w:pPr>
        <w:spacing w:before="95" w:line="289" w:lineRule="auto"/>
        <w:ind w:left="248" w:right="7" w:firstLine="480"/>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数据质量指在特定的业务环境下，数据满足业务运行、管理与决策的程度，是保证数据应用效</w:t>
      </w:r>
      <w:r>
        <w:rPr>
          <w:rFonts w:ascii="微软雅黑" w:hAnsi="微软雅黑" w:eastAsia="微软雅黑" w:cs="微软雅黑"/>
          <w:color w:val="231F20"/>
          <w:spacing w:val="18"/>
          <w:sz w:val="22"/>
          <w:szCs w:val="22"/>
        </w:rPr>
        <w:t xml:space="preserve"> </w:t>
      </w:r>
      <w:r>
        <w:rPr>
          <w:rFonts w:ascii="微软雅黑" w:hAnsi="微软雅黑" w:eastAsia="微软雅黑" w:cs="微软雅黑"/>
          <w:color w:val="231F20"/>
          <w:spacing w:val="-1"/>
          <w:sz w:val="22"/>
          <w:szCs w:val="22"/>
        </w:rPr>
        <w:t>果的基础。数据质量管理是指运用相关技术来衡量、提高和确保数据质</w:t>
      </w:r>
      <w:r>
        <w:rPr>
          <w:rFonts w:ascii="微软雅黑" w:hAnsi="微软雅黑" w:eastAsia="微软雅黑" w:cs="微软雅黑"/>
          <w:color w:val="231F20"/>
          <w:spacing w:val="-2"/>
          <w:sz w:val="22"/>
          <w:szCs w:val="22"/>
        </w:rPr>
        <w:t>量的规划、实施与控制等一</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5"/>
          <w:sz w:val="22"/>
          <w:szCs w:val="22"/>
        </w:rPr>
        <w:t>系列活动。衡量数据质量的指标体系包括完整性、规范性、一致性、准确性、唯一性、及时性等。</w:t>
      </w:r>
    </w:p>
    <w:p w14:paraId="152BC9C7">
      <w:pPr>
        <w:pStyle w:val="2"/>
        <w:spacing w:line="392" w:lineRule="auto"/>
      </w:pPr>
    </w:p>
    <w:p w14:paraId="45427D4C">
      <w:pPr>
        <w:spacing w:before="94" w:line="178" w:lineRule="auto"/>
        <w:ind w:left="728"/>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数据质量管理的关键活动包括：</w:t>
      </w:r>
    </w:p>
    <w:p w14:paraId="29372259">
      <w:pPr>
        <w:spacing w:before="169" w:line="289" w:lineRule="auto"/>
        <w:ind w:left="247" w:firstLine="570"/>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pacing w:val="-1"/>
          <w:sz w:val="22"/>
          <w:szCs w:val="22"/>
        </w:rPr>
        <w:t>数据质量管理计划：确定数据质量管理相关负责人，明确数据质量的内部需求与外部要求；</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参考数据标准体系，定义数据质量规则库，构建数据质量评价指标体系；制定数据质量</w:t>
      </w:r>
      <w:r>
        <w:rPr>
          <w:rFonts w:ascii="微软雅黑" w:hAnsi="微软雅黑" w:eastAsia="微软雅黑" w:cs="微软雅黑"/>
          <w:color w:val="231F20"/>
          <w:spacing w:val="3"/>
          <w:sz w:val="22"/>
          <w:szCs w:val="22"/>
        </w:rPr>
        <w:t>管理策略</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8"/>
          <w:sz w:val="22"/>
          <w:szCs w:val="22"/>
        </w:rPr>
        <w:t>和管理计划；</w:t>
      </w:r>
    </w:p>
    <w:p w14:paraId="41A77B3F">
      <w:pPr>
        <w:spacing w:before="16" w:line="287" w:lineRule="auto"/>
        <w:ind w:left="247" w:firstLine="571"/>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pacing w:val="-1"/>
          <w:sz w:val="22"/>
          <w:szCs w:val="22"/>
        </w:rPr>
        <w:t>数据质量管理执行：依托平台工具，管理数据质量内外部要求、规则库、评价指标体系等；</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确定数据质量管理的业务、项目、数据范畴，开展数据质量稽</w:t>
      </w:r>
      <w:r>
        <w:rPr>
          <w:rFonts w:ascii="微软雅黑" w:hAnsi="微软雅黑" w:eastAsia="微软雅黑" w:cs="微软雅黑"/>
          <w:color w:val="231F20"/>
          <w:spacing w:val="-2"/>
          <w:sz w:val="22"/>
          <w:szCs w:val="22"/>
        </w:rPr>
        <w:t>核和数据质量差异化管理；</w:t>
      </w:r>
    </w:p>
    <w:p w14:paraId="38CA8523">
      <w:pPr>
        <w:spacing w:before="16" w:line="289" w:lineRule="auto"/>
        <w:ind w:left="247" w:right="7" w:firstLine="570"/>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pacing w:val="4"/>
          <w:sz w:val="22"/>
          <w:szCs w:val="22"/>
        </w:rPr>
        <w:t>数据质量管理检查 / 分析：记录数据质量稽核结果，分析问题数据产生原因，确定数据质</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量责任人，</w:t>
      </w:r>
      <w:r>
        <w:rPr>
          <w:rFonts w:ascii="微软雅黑" w:hAnsi="微软雅黑" w:eastAsia="微软雅黑" w:cs="微软雅黑"/>
          <w:color w:val="231F20"/>
          <w:spacing w:val="-27"/>
          <w:sz w:val="22"/>
          <w:szCs w:val="22"/>
        </w:rPr>
        <w:t xml:space="preserve"> </w:t>
      </w:r>
      <w:r>
        <w:rPr>
          <w:rFonts w:ascii="微软雅黑" w:hAnsi="微软雅黑" w:eastAsia="微软雅黑" w:cs="微软雅黑"/>
          <w:color w:val="231F20"/>
          <w:spacing w:val="3"/>
          <w:sz w:val="22"/>
          <w:szCs w:val="22"/>
        </w:rPr>
        <w:t>出具质量评估报告和整改建议；持续测量全流程数据质量，监控数据质量管理操作程</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序和绩效；确定与评估数据质量服务水平；</w:t>
      </w:r>
    </w:p>
    <w:p w14:paraId="718B65E6">
      <w:pPr>
        <w:spacing w:before="17" w:line="287" w:lineRule="auto"/>
        <w:ind w:left="247" w:right="16" w:firstLine="570"/>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·数据质量管理改进：建立数据质量管理知识库，完善数据质量管理流程，</w:t>
      </w:r>
      <w:r>
        <w:rPr>
          <w:rFonts w:ascii="微软雅黑" w:hAnsi="微软雅黑" w:eastAsia="微软雅黑" w:cs="微软雅黑"/>
          <w:color w:val="231F20"/>
          <w:spacing w:val="4"/>
          <w:sz w:val="22"/>
          <w:szCs w:val="22"/>
        </w:rPr>
        <w:t>提升数据质量管</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理效率；确定数据质量服务水平，持续优化数据质量管理策略。</w:t>
      </w:r>
    </w:p>
    <w:p w14:paraId="07A4B532">
      <w:pPr>
        <w:pStyle w:val="2"/>
        <w:spacing w:line="275" w:lineRule="auto"/>
      </w:pPr>
    </w:p>
    <w:p w14:paraId="2F897131">
      <w:pPr>
        <w:spacing w:before="78" w:line="212" w:lineRule="auto"/>
        <w:ind w:left="5513"/>
        <w:rPr>
          <w:rFonts w:hint="eastAsia" w:ascii="宋体" w:hAnsi="宋体" w:eastAsia="宋体" w:cs="宋体"/>
          <w:sz w:val="24"/>
          <w:szCs w:val="24"/>
          <w:lang w:eastAsia="zh-CN"/>
        </w:rPr>
      </w:pPr>
      <w:r>
        <w:pict>
          <v:shape id="_x0000_s1087" o:spid="_x0000_s1087" o:spt="202" type="#_x0000_t202" style="position:absolute;left:0pt;margin-left:241.9pt;margin-top:-1.75pt;height:11.35pt;width:12.05pt;z-index:251738112;mso-width-relative:page;mso-height-relative:page;" filled="f" stroked="f" coordsize="21600,21600">
            <v:path/>
            <v:fill on="f" focussize="0,0"/>
            <v:stroke on="f"/>
            <v:imagedata o:title=""/>
            <o:lock v:ext="edit" aspectratio="f"/>
            <v:textbox inset="0mm,0mm,0mm,0mm">
              <w:txbxContent>
                <w:p w14:paraId="2A7C96BF">
                  <w:pPr>
                    <w:pStyle w:val="2"/>
                    <w:spacing w:before="20" w:line="194" w:lineRule="auto"/>
                    <w:ind w:left="20"/>
                    <w:rPr>
                      <w:sz w:val="20"/>
                      <w:szCs w:val="20"/>
                    </w:rPr>
                  </w:pPr>
                  <w:r>
                    <w:rPr>
                      <w:color w:val="231F20"/>
                      <w:spacing w:val="-6"/>
                      <w:sz w:val="20"/>
                      <w:szCs w:val="20"/>
                    </w:rPr>
                    <w:t>13</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0562A826">
      <w:pPr>
        <w:spacing w:line="212" w:lineRule="auto"/>
        <w:rPr>
          <w:rFonts w:ascii="宋体" w:hAnsi="宋体" w:eastAsia="宋体" w:cs="宋体"/>
          <w:sz w:val="24"/>
          <w:szCs w:val="24"/>
        </w:rPr>
        <w:sectPr>
          <w:pgSz w:w="11906" w:h="16158"/>
          <w:pgMar w:top="400" w:right="1238" w:bottom="400" w:left="1004" w:header="0" w:footer="0" w:gutter="0"/>
          <w:cols w:space="720" w:num="1"/>
        </w:sectPr>
      </w:pPr>
    </w:p>
    <w:p w14:paraId="1F005B13">
      <w:pPr>
        <w:pStyle w:val="2"/>
        <w:spacing w:line="349" w:lineRule="auto"/>
      </w:pPr>
    </w:p>
    <w:p w14:paraId="3E912F56">
      <w:pPr>
        <w:pStyle w:val="2"/>
        <w:spacing w:line="350" w:lineRule="auto"/>
      </w:pPr>
    </w:p>
    <w:p w14:paraId="66F9D970">
      <w:pPr>
        <w:spacing w:before="80" w:line="182" w:lineRule="auto"/>
        <w:rPr>
          <w:rFonts w:ascii="Segoe UI" w:hAnsi="Segoe UI" w:eastAsia="Segoe UI" w:cs="Segoe UI"/>
          <w:sz w:val="24"/>
          <w:szCs w:val="24"/>
        </w:rPr>
      </w:pPr>
      <w:bookmarkStart w:id="33" w:name="bookmark33"/>
      <w:bookmarkEnd w:id="33"/>
      <w:r>
        <w:rPr>
          <w:rFonts w:ascii="Segoe UI" w:hAnsi="Segoe UI" w:eastAsia="Segoe UI" w:cs="Segoe UI"/>
          <w:b/>
          <w:bCs/>
          <w:color w:val="648676"/>
          <w:spacing w:val="27"/>
          <w:w w:val="110"/>
          <w:sz w:val="24"/>
          <w:szCs w:val="24"/>
        </w:rPr>
        <w:t>CHAPTER -2</w:t>
      </w:r>
    </w:p>
    <w:p w14:paraId="1D9A7BCE">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6427D03A">
      <w:pPr>
        <w:pStyle w:val="2"/>
        <w:spacing w:line="291" w:lineRule="auto"/>
      </w:pPr>
    </w:p>
    <w:p w14:paraId="6C5EED9C">
      <w:pPr>
        <w:pStyle w:val="2"/>
        <w:spacing w:line="292" w:lineRule="auto"/>
      </w:pPr>
    </w:p>
    <w:p w14:paraId="6547CE1A">
      <w:pPr>
        <w:pStyle w:val="2"/>
        <w:spacing w:line="292" w:lineRule="auto"/>
      </w:pPr>
    </w:p>
    <w:p w14:paraId="3D8D9A65">
      <w:pPr>
        <w:spacing w:before="94" w:line="291" w:lineRule="auto"/>
        <w:ind w:left="246" w:firstLine="482"/>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数据质量管理遵循源头治理、闭环管理的原则。源头治理方面，主要是指采用“数据开发管</w:t>
      </w:r>
      <w:r>
        <w:rPr>
          <w:rFonts w:ascii="微软雅黑" w:hAnsi="微软雅黑" w:eastAsia="微软雅黑" w:cs="微软雅黑"/>
          <w:color w:val="231F20"/>
          <w:spacing w:val="2"/>
          <w:sz w:val="22"/>
          <w:szCs w:val="22"/>
        </w:rPr>
        <w:t xml:space="preserve">  </w:t>
      </w:r>
      <w:r>
        <w:rPr>
          <w:rFonts w:ascii="微软雅黑" w:hAnsi="微软雅黑" w:eastAsia="微软雅黑" w:cs="微软雅黑"/>
          <w:color w:val="231F20"/>
          <w:spacing w:val="1"/>
          <w:sz w:val="22"/>
          <w:szCs w:val="22"/>
        </w:rPr>
        <w:t xml:space="preserve">理一体化”的理念，在新建业务或 </w:t>
      </w:r>
      <w:r>
        <w:rPr>
          <w:rFonts w:ascii="微软雅黑" w:hAnsi="微软雅黑" w:eastAsia="微软雅黑" w:cs="微软雅黑"/>
          <w:color w:val="231F20"/>
          <w:sz w:val="22"/>
          <w:szCs w:val="22"/>
        </w:rPr>
        <w:t>IT</w:t>
      </w:r>
      <w:r>
        <w:rPr>
          <w:rFonts w:ascii="微软雅黑" w:hAnsi="微软雅黑" w:eastAsia="微软雅黑" w:cs="微软雅黑"/>
          <w:color w:val="231F20"/>
          <w:spacing w:val="1"/>
          <w:sz w:val="22"/>
          <w:szCs w:val="22"/>
        </w:rPr>
        <w:t xml:space="preserve"> 系统过程中，明确数据标准或质量规则，并与数据生产方和</w:t>
      </w:r>
      <w:r>
        <w:rPr>
          <w:rFonts w:ascii="微软雅黑" w:hAnsi="微软雅黑" w:eastAsia="微软雅黑" w:cs="微软雅黑"/>
          <w:color w:val="231F20"/>
          <w:spacing w:val="4"/>
          <w:sz w:val="22"/>
          <w:szCs w:val="22"/>
        </w:rPr>
        <w:t xml:space="preserve">  </w:t>
      </w:r>
      <w:r>
        <w:rPr>
          <w:rFonts w:ascii="微软雅黑" w:hAnsi="微软雅黑" w:eastAsia="微软雅黑" w:cs="微软雅黑"/>
          <w:color w:val="231F20"/>
          <w:spacing w:val="3"/>
          <w:sz w:val="22"/>
          <w:szCs w:val="22"/>
        </w:rPr>
        <w:t xml:space="preserve">数据使用方确认，常见于对于数据时效性要求不高或核心业务增量数据等场景。闭环管理方面，   </w:t>
      </w:r>
      <w:r>
        <w:rPr>
          <w:rFonts w:ascii="微软雅黑" w:hAnsi="微软雅黑" w:eastAsia="微软雅黑" w:cs="微软雅黑"/>
          <w:color w:val="231F20"/>
          <w:spacing w:val="-6"/>
          <w:sz w:val="22"/>
          <w:szCs w:val="22"/>
        </w:rPr>
        <w:t>主要是指形成覆盖数据质量需求、问题发现、问题检查、问题整改的良性闭环， 对数据采集、流转、</w:t>
      </w:r>
      <w:r>
        <w:rPr>
          <w:rFonts w:ascii="微软雅黑" w:hAnsi="微软雅黑" w:eastAsia="微软雅黑" w:cs="微软雅黑"/>
          <w:color w:val="231F20"/>
          <w:spacing w:val="16"/>
          <w:sz w:val="22"/>
          <w:szCs w:val="22"/>
        </w:rPr>
        <w:t xml:space="preserve"> </w:t>
      </w:r>
      <w:r>
        <w:rPr>
          <w:rFonts w:ascii="微软雅黑" w:hAnsi="微软雅黑" w:eastAsia="微软雅黑" w:cs="微软雅黑"/>
          <w:color w:val="231F20"/>
          <w:spacing w:val="4"/>
          <w:sz w:val="22"/>
          <w:szCs w:val="22"/>
        </w:rPr>
        <w:t>加工、使用全流程进行质量校验管控，持续根据业务部门数据质量需求优化质量管理方案、</w:t>
      </w:r>
      <w:r>
        <w:rPr>
          <w:rFonts w:ascii="微软雅黑" w:hAnsi="微软雅黑" w:eastAsia="微软雅黑" w:cs="微软雅黑"/>
          <w:color w:val="231F20"/>
          <w:spacing w:val="3"/>
          <w:sz w:val="22"/>
          <w:szCs w:val="22"/>
        </w:rPr>
        <w:t>调整</w:t>
      </w:r>
      <w:r>
        <w:rPr>
          <w:rFonts w:ascii="微软雅黑" w:hAnsi="微软雅黑" w:eastAsia="微软雅黑" w:cs="微软雅黑"/>
          <w:color w:val="231F20"/>
          <w:sz w:val="22"/>
          <w:szCs w:val="22"/>
        </w:rPr>
        <w:t xml:space="preserve">  质量规则库，构建数据质量和管理过程的度量</w:t>
      </w:r>
      <w:r>
        <w:rPr>
          <w:rFonts w:ascii="微软雅黑" w:hAnsi="微软雅黑" w:eastAsia="微软雅黑" w:cs="微软雅黑"/>
          <w:color w:val="231F20"/>
          <w:spacing w:val="-1"/>
          <w:sz w:val="22"/>
          <w:szCs w:val="22"/>
        </w:rPr>
        <w:t>指标体系，不断改进数据质量管理策略。</w:t>
      </w:r>
    </w:p>
    <w:p w14:paraId="67FEB2B8">
      <w:pPr>
        <w:spacing w:before="189" w:line="371" w:lineRule="exact"/>
        <w:ind w:firstLine="3301"/>
      </w:pPr>
      <w:r>
        <w:drawing>
          <wp:anchor distT="0" distB="0" distL="0" distR="0" simplePos="0" relativeHeight="251745280" behindDoc="0" locked="0" layoutInCell="1" allowOverlap="1">
            <wp:simplePos x="0" y="0"/>
            <wp:positionH relativeFrom="column">
              <wp:posOffset>1355725</wp:posOffset>
            </wp:positionH>
            <wp:positionV relativeFrom="paragraph">
              <wp:posOffset>299085</wp:posOffset>
            </wp:positionV>
            <wp:extent cx="724535" cy="151130"/>
            <wp:effectExtent l="0" t="0" r="0" b="0"/>
            <wp:wrapNone/>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59"/>
                    <a:stretch>
                      <a:fillRect/>
                    </a:stretch>
                  </pic:blipFill>
                  <pic:spPr>
                    <a:xfrm>
                      <a:off x="0" y="0"/>
                      <a:ext cx="724649" cy="151193"/>
                    </a:xfrm>
                    <a:prstGeom prst="rect">
                      <a:avLst/>
                    </a:prstGeom>
                  </pic:spPr>
                </pic:pic>
              </a:graphicData>
            </a:graphic>
          </wp:anchor>
        </w:drawing>
      </w:r>
      <w:r>
        <w:drawing>
          <wp:anchor distT="0" distB="0" distL="0" distR="0" simplePos="0" relativeHeight="251739136" behindDoc="1" locked="0" layoutInCell="1" allowOverlap="1">
            <wp:simplePos x="0" y="0"/>
            <wp:positionH relativeFrom="column">
              <wp:posOffset>4110355</wp:posOffset>
            </wp:positionH>
            <wp:positionV relativeFrom="paragraph">
              <wp:posOffset>289560</wp:posOffset>
            </wp:positionV>
            <wp:extent cx="724535" cy="151130"/>
            <wp:effectExtent l="0" t="0" r="0" b="0"/>
            <wp:wrapNone/>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60"/>
                    <a:stretch>
                      <a:fillRect/>
                    </a:stretch>
                  </pic:blipFill>
                  <pic:spPr>
                    <a:xfrm>
                      <a:off x="0" y="0"/>
                      <a:ext cx="724649" cy="151193"/>
                    </a:xfrm>
                    <a:prstGeom prst="rect">
                      <a:avLst/>
                    </a:prstGeom>
                  </pic:spPr>
                </pic:pic>
              </a:graphicData>
            </a:graphic>
          </wp:anchor>
        </w:drawing>
      </w:r>
      <w:r>
        <w:pict>
          <v:shape id="_x0000_s1088" o:spid="_x0000_s1088" o:spt="202" type="#_x0000_t202" style="position:absolute;left:0pt;margin-left:11.1pt;margin-top:35.85pt;height:25.7pt;width:66.9pt;z-index:251744256;mso-width-relative:page;mso-height-relative:page;" filled="f" stroked="f" coordsize="21600,21600">
            <v:path/>
            <v:fill on="f" focussize="0,0"/>
            <v:stroke on="f"/>
            <v:imagedata o:title=""/>
            <o:lock v:ext="edit" aspectratio="f"/>
            <v:textbox inset="0mm,0mm,0mm,0mm">
              <w:txbxContent>
                <w:p w14:paraId="665ABFB9">
                  <w:pPr>
                    <w:spacing w:line="20" w:lineRule="exact"/>
                  </w:pPr>
                </w:p>
                <w:tbl>
                  <w:tblPr>
                    <w:tblStyle w:val="5"/>
                    <w:tblW w:w="1279" w:type="dxa"/>
                    <w:tblInd w:w="27" w:type="dxa"/>
                    <w:tblBorders>
                      <w:top w:val="single" w:color="948A54" w:sz="8" w:space="0"/>
                      <w:left w:val="single" w:color="948A54" w:sz="6" w:space="0"/>
                      <w:bottom w:val="single" w:color="948A54" w:sz="8" w:space="0"/>
                      <w:right w:val="single" w:color="948A54" w:sz="8" w:space="0"/>
                      <w:insideH w:val="none" w:color="auto" w:sz="0" w:space="0"/>
                      <w:insideV w:val="none" w:color="auto" w:sz="0" w:space="0"/>
                    </w:tblBorders>
                    <w:shd w:val="clear" w:color="auto" w:fill="BFD1C9"/>
                    <w:tblLayout w:type="fixed"/>
                    <w:tblCellMar>
                      <w:top w:w="0" w:type="dxa"/>
                      <w:left w:w="0" w:type="dxa"/>
                      <w:bottom w:w="0" w:type="dxa"/>
                      <w:right w:w="0" w:type="dxa"/>
                    </w:tblCellMar>
                  </w:tblPr>
                  <w:tblGrid>
                    <w:gridCol w:w="1279"/>
                  </w:tblGrid>
                  <w:tr w14:paraId="6FC10607">
                    <w:tblPrEx>
                      <w:tblBorders>
                        <w:top w:val="single" w:color="948A54" w:sz="8" w:space="0"/>
                        <w:left w:val="single" w:color="948A54" w:sz="6" w:space="0"/>
                        <w:bottom w:val="single" w:color="948A54" w:sz="8" w:space="0"/>
                        <w:right w:val="single" w:color="948A54" w:sz="8" w:space="0"/>
                        <w:insideH w:val="none" w:color="auto" w:sz="0" w:space="0"/>
                        <w:insideV w:val="none" w:color="auto" w:sz="0" w:space="0"/>
                      </w:tblBorders>
                      <w:shd w:val="clear" w:color="auto" w:fill="BFD1C9"/>
                      <w:tblCellMar>
                        <w:top w:w="0" w:type="dxa"/>
                        <w:left w:w="0" w:type="dxa"/>
                        <w:bottom w:w="0" w:type="dxa"/>
                        <w:right w:w="0" w:type="dxa"/>
                      </w:tblCellMar>
                    </w:tblPrEx>
                    <w:trPr>
                      <w:trHeight w:val="433" w:hRule="atLeast"/>
                    </w:trPr>
                    <w:tc>
                      <w:tcPr>
                        <w:tcW w:w="1279" w:type="dxa"/>
                        <w:shd w:val="clear" w:color="auto" w:fill="BFD1C9"/>
                        <w:vAlign w:val="top"/>
                      </w:tcPr>
                      <w:p w14:paraId="74883374">
                        <w:pPr>
                          <w:spacing w:before="133" w:line="173" w:lineRule="exact"/>
                          <w:ind w:firstLine="353"/>
                        </w:pPr>
                        <w:r>
                          <w:rPr>
                            <w:position w:val="-3"/>
                          </w:rPr>
                          <w:drawing>
                            <wp:inline distT="0" distB="0" distL="0" distR="0">
                              <wp:extent cx="335280" cy="109855"/>
                              <wp:effectExtent l="0" t="0" r="0"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61"/>
                                      <a:stretch>
                                        <a:fillRect/>
                                      </a:stretch>
                                    </pic:blipFill>
                                    <pic:spPr>
                                      <a:xfrm>
                                        <a:off x="0" y="0"/>
                                        <a:ext cx="335711" cy="109855"/>
                                      </a:xfrm>
                                      <a:prstGeom prst="rect">
                                        <a:avLst/>
                                      </a:prstGeom>
                                    </pic:spPr>
                                  </pic:pic>
                                </a:graphicData>
                              </a:graphic>
                            </wp:inline>
                          </w:drawing>
                        </w:r>
                      </w:p>
                    </w:tc>
                  </w:tr>
                </w:tbl>
                <w:p w14:paraId="3C4411B4">
                  <w:pPr>
                    <w:pStyle w:val="2"/>
                  </w:pPr>
                </w:p>
              </w:txbxContent>
            </v:textbox>
          </v:shape>
        </w:pict>
      </w:r>
      <w:r>
        <w:drawing>
          <wp:anchor distT="0" distB="0" distL="0" distR="0" simplePos="0" relativeHeight="251740160" behindDoc="1" locked="0" layoutInCell="1" allowOverlap="1">
            <wp:simplePos x="0" y="0"/>
            <wp:positionH relativeFrom="column">
              <wp:posOffset>955675</wp:posOffset>
            </wp:positionH>
            <wp:positionV relativeFrom="paragraph">
              <wp:posOffset>467995</wp:posOffset>
            </wp:positionV>
            <wp:extent cx="4287520" cy="1390650"/>
            <wp:effectExtent l="0" t="0" r="0" b="0"/>
            <wp:wrapNone/>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62"/>
                    <a:stretch>
                      <a:fillRect/>
                    </a:stretch>
                  </pic:blipFill>
                  <pic:spPr>
                    <a:xfrm>
                      <a:off x="0" y="0"/>
                      <a:ext cx="4287291" cy="1390837"/>
                    </a:xfrm>
                    <a:prstGeom prst="rect">
                      <a:avLst/>
                    </a:prstGeom>
                  </pic:spPr>
                </pic:pic>
              </a:graphicData>
            </a:graphic>
          </wp:anchor>
        </w:drawing>
      </w:r>
      <w:r>
        <w:rPr>
          <w:position w:val="-7"/>
        </w:rPr>
        <w:pict>
          <v:shape id="_x0000_s1089" o:spid="_x0000_s1089" o:spt="202" type="#_x0000_t202" style="height:18.55pt;width:154.75pt;" fillcolor="#E0E8E6" filled="t" stroked="f" coordsize="21600,21600">
            <v:path/>
            <v:fill on="t" focussize="0,0"/>
            <v:stroke on="f"/>
            <v:imagedata o:title=""/>
            <o:lock v:ext="edit" aspectratio="f"/>
            <v:textbox inset="0mm,0mm,0mm,0mm">
              <w:txbxContent>
                <w:p w14:paraId="3DAEC182">
                  <w:pPr>
                    <w:spacing w:before="84" w:line="202" w:lineRule="exact"/>
                    <w:ind w:left="924"/>
                    <w:rPr>
                      <w:rFonts w:ascii="微软雅黑" w:hAnsi="微软雅黑" w:eastAsia="微软雅黑" w:cs="微软雅黑"/>
                      <w:sz w:val="20"/>
                      <w:szCs w:val="20"/>
                    </w:rPr>
                  </w:pPr>
                  <w:r>
                    <w:rPr>
                      <w:rFonts w:ascii="微软雅黑" w:hAnsi="微软雅黑" w:eastAsia="微软雅黑" w:cs="微软雅黑"/>
                      <w:color w:val="638778"/>
                      <w:spacing w:val="6"/>
                      <w:position w:val="-1"/>
                      <w:sz w:val="20"/>
                      <w:szCs w:val="20"/>
                    </w:rPr>
                    <w:t>数据加工流转</w:t>
                  </w:r>
                </w:p>
              </w:txbxContent>
            </v:textbox>
            <w10:wrap type="none"/>
            <w10:anchorlock/>
          </v:shape>
        </w:pict>
      </w:r>
    </w:p>
    <w:p w14:paraId="1C4E307F">
      <w:pPr>
        <w:spacing w:line="177" w:lineRule="exact"/>
      </w:pPr>
    </w:p>
    <w:tbl>
      <w:tblPr>
        <w:tblStyle w:val="5"/>
        <w:tblW w:w="1282" w:type="dxa"/>
        <w:tblInd w:w="8360" w:type="dxa"/>
        <w:tblBorders>
          <w:top w:val="single" w:color="948A54" w:sz="8" w:space="0"/>
          <w:left w:val="single" w:color="948A54" w:sz="8" w:space="0"/>
          <w:bottom w:val="single" w:color="948A54" w:sz="8" w:space="0"/>
          <w:right w:val="single" w:color="948A54" w:sz="8" w:space="0"/>
          <w:insideH w:val="none" w:color="auto" w:sz="0" w:space="0"/>
          <w:insideV w:val="none" w:color="auto" w:sz="0" w:space="0"/>
        </w:tblBorders>
        <w:shd w:val="clear" w:color="auto" w:fill="BFD1C9"/>
        <w:tblLayout w:type="fixed"/>
        <w:tblCellMar>
          <w:top w:w="0" w:type="dxa"/>
          <w:left w:w="0" w:type="dxa"/>
          <w:bottom w:w="0" w:type="dxa"/>
          <w:right w:w="0" w:type="dxa"/>
        </w:tblCellMar>
      </w:tblPr>
      <w:tblGrid>
        <w:gridCol w:w="1282"/>
      </w:tblGrid>
      <w:tr w14:paraId="7E8CF0CB">
        <w:tblPrEx>
          <w:tblBorders>
            <w:top w:val="single" w:color="948A54" w:sz="8" w:space="0"/>
            <w:left w:val="single" w:color="948A54" w:sz="8" w:space="0"/>
            <w:bottom w:val="single" w:color="948A54" w:sz="8" w:space="0"/>
            <w:right w:val="single" w:color="948A54" w:sz="8" w:space="0"/>
            <w:insideH w:val="none" w:color="auto" w:sz="0" w:space="0"/>
            <w:insideV w:val="none" w:color="auto" w:sz="0" w:space="0"/>
          </w:tblBorders>
          <w:shd w:val="clear" w:color="auto" w:fill="BFD1C9"/>
          <w:tblCellMar>
            <w:top w:w="0" w:type="dxa"/>
            <w:left w:w="0" w:type="dxa"/>
            <w:bottom w:w="0" w:type="dxa"/>
            <w:right w:w="0" w:type="dxa"/>
          </w:tblCellMar>
        </w:tblPrEx>
        <w:trPr>
          <w:trHeight w:val="433" w:hRule="atLeast"/>
        </w:trPr>
        <w:tc>
          <w:tcPr>
            <w:tcW w:w="1282" w:type="dxa"/>
            <w:shd w:val="clear" w:color="auto" w:fill="BFD1C9"/>
            <w:vAlign w:val="top"/>
          </w:tcPr>
          <w:p w14:paraId="62A6315A">
            <w:pPr>
              <w:pStyle w:val="6"/>
              <w:spacing w:before="126" w:line="175" w:lineRule="exact"/>
              <w:ind w:left="89"/>
              <w:rPr>
                <w:sz w:val="17"/>
                <w:szCs w:val="17"/>
              </w:rPr>
            </w:pPr>
            <w:r>
              <w:rPr>
                <w:spacing w:val="4"/>
                <w:position w:val="-1"/>
                <w:sz w:val="17"/>
                <w:szCs w:val="17"/>
              </w:rPr>
              <w:t>数据服务接口</w:t>
            </w:r>
          </w:p>
        </w:tc>
      </w:tr>
    </w:tbl>
    <w:p w14:paraId="646C5CC6">
      <w:pPr>
        <w:spacing w:before="163" w:line="1110" w:lineRule="exact"/>
        <w:ind w:firstLine="3731"/>
      </w:pPr>
      <w:r>
        <w:pict>
          <v:shape id="_x0000_s1090" o:spid="_x0000_s1090" o:spt="202" type="#_x0000_t202" style="position:absolute;left:0pt;margin-left:22.95pt;margin-top:8.1pt;height:55.55pt;width:148.1pt;z-index:251741184;mso-width-relative:page;mso-height-relative:page;" fillcolor="#E0E8E6" filled="t" stroked="f" coordsize="21600,21600">
            <v:path/>
            <v:fill on="t" focussize="0,0"/>
            <v:stroke on="f"/>
            <v:imagedata o:title=""/>
            <o:lock v:ext="edit" aspectratio="f"/>
            <v:textbox inset="0mm,0mm,0mm,0mm">
              <w:txbxContent>
                <w:p w14:paraId="7EA7493C">
                  <w:pPr>
                    <w:spacing w:before="89" w:line="173" w:lineRule="exact"/>
                    <w:ind w:left="1120"/>
                    <w:rPr>
                      <w:rFonts w:ascii="微软雅黑" w:hAnsi="微软雅黑" w:eastAsia="微软雅黑" w:cs="微软雅黑"/>
                      <w:sz w:val="17"/>
                      <w:szCs w:val="17"/>
                    </w:rPr>
                  </w:pPr>
                  <w:r>
                    <w:rPr>
                      <w:rFonts w:ascii="微软雅黑" w:hAnsi="微软雅黑" w:eastAsia="微软雅黑" w:cs="微软雅黑"/>
                      <w:color w:val="638778"/>
                      <w:spacing w:val="6"/>
                      <w:position w:val="-1"/>
                      <w:sz w:val="17"/>
                      <w:szCs w:val="17"/>
                    </w:rPr>
                    <w:t>接口稽核</w:t>
                  </w:r>
                </w:p>
                <w:p w14:paraId="1DBF6300">
                  <w:pPr>
                    <w:spacing w:before="33" w:line="157" w:lineRule="auto"/>
                    <w:ind w:left="152" w:right="164" w:hanging="9"/>
                    <w:rPr>
                      <w:rFonts w:ascii="微软雅黑" w:hAnsi="微软雅黑" w:eastAsia="微软雅黑" w:cs="微软雅黑"/>
                      <w:sz w:val="17"/>
                      <w:szCs w:val="17"/>
                    </w:rPr>
                  </w:pPr>
                  <w:r>
                    <w:rPr>
                      <w:rFonts w:ascii="微软雅黑" w:hAnsi="微软雅黑" w:eastAsia="微软雅黑" w:cs="微软雅黑"/>
                      <w:color w:val="638778"/>
                      <w:spacing w:val="2"/>
                      <w:sz w:val="17"/>
                      <w:szCs w:val="17"/>
                    </w:rPr>
                    <w:t>及时性、格式、空值、</w:t>
                  </w:r>
                  <w:r>
                    <w:rPr>
                      <w:rFonts w:ascii="微软雅黑" w:hAnsi="微软雅黑" w:eastAsia="微软雅黑" w:cs="微软雅黑"/>
                      <w:color w:val="638778"/>
                      <w:spacing w:val="-11"/>
                      <w:sz w:val="17"/>
                      <w:szCs w:val="17"/>
                    </w:rPr>
                    <w:t xml:space="preserve"> </w:t>
                  </w:r>
                  <w:r>
                    <w:rPr>
                      <w:rFonts w:ascii="微软雅黑" w:hAnsi="微软雅黑" w:eastAsia="微软雅黑" w:cs="微软雅黑"/>
                      <w:color w:val="638778"/>
                      <w:spacing w:val="2"/>
                      <w:sz w:val="17"/>
                      <w:szCs w:val="17"/>
                    </w:rPr>
                    <w:t>重复、</w:t>
                  </w:r>
                  <w:r>
                    <w:rPr>
                      <w:rFonts w:ascii="微软雅黑" w:hAnsi="微软雅黑" w:eastAsia="微软雅黑" w:cs="微软雅黑"/>
                      <w:color w:val="638778"/>
                      <w:spacing w:val="-18"/>
                      <w:sz w:val="17"/>
                      <w:szCs w:val="17"/>
                    </w:rPr>
                    <w:t xml:space="preserve"> </w:t>
                  </w:r>
                  <w:r>
                    <w:rPr>
                      <w:rFonts w:ascii="微软雅黑" w:hAnsi="微软雅黑" w:eastAsia="微软雅黑" w:cs="微软雅黑"/>
                      <w:color w:val="638778"/>
                      <w:spacing w:val="2"/>
                      <w:sz w:val="17"/>
                      <w:szCs w:val="17"/>
                    </w:rPr>
                    <w:t>编码</w:t>
                  </w:r>
                  <w:r>
                    <w:rPr>
                      <w:rFonts w:ascii="微软雅黑" w:hAnsi="微软雅黑" w:eastAsia="微软雅黑" w:cs="微软雅黑"/>
                      <w:color w:val="638778"/>
                      <w:sz w:val="17"/>
                      <w:szCs w:val="17"/>
                    </w:rPr>
                    <w:t xml:space="preserve"> 映射变更、</w:t>
                  </w:r>
                  <w:r>
                    <w:rPr>
                      <w:rFonts w:ascii="微软雅黑" w:hAnsi="微软雅黑" w:eastAsia="微软雅黑" w:cs="微软雅黑"/>
                      <w:color w:val="638778"/>
                      <w:spacing w:val="-13"/>
                      <w:sz w:val="17"/>
                      <w:szCs w:val="17"/>
                    </w:rPr>
                    <w:t xml:space="preserve"> </w:t>
                  </w:r>
                  <w:r>
                    <w:rPr>
                      <w:rFonts w:ascii="微软雅黑" w:hAnsi="微软雅黑" w:eastAsia="微软雅黑" w:cs="微软雅黑"/>
                      <w:color w:val="638778"/>
                      <w:sz w:val="17"/>
                      <w:szCs w:val="17"/>
                    </w:rPr>
                    <w:t>完整性、</w:t>
                  </w:r>
                  <w:r>
                    <w:rPr>
                      <w:rFonts w:ascii="微软雅黑" w:hAnsi="微软雅黑" w:eastAsia="微软雅黑" w:cs="微软雅黑"/>
                      <w:color w:val="638778"/>
                      <w:spacing w:val="-25"/>
                      <w:sz w:val="17"/>
                      <w:szCs w:val="17"/>
                    </w:rPr>
                    <w:t xml:space="preserve"> </w:t>
                  </w:r>
                  <w:r>
                    <w:rPr>
                      <w:rFonts w:ascii="微软雅黑" w:hAnsi="微软雅黑" w:eastAsia="微软雅黑" w:cs="微软雅黑"/>
                      <w:color w:val="638778"/>
                      <w:sz w:val="17"/>
                      <w:szCs w:val="17"/>
                    </w:rPr>
                    <w:t>分布、波动、</w:t>
                  </w:r>
                </w:p>
                <w:p w14:paraId="18F99573">
                  <w:pPr>
                    <w:spacing w:before="49" w:line="173" w:lineRule="exact"/>
                    <w:ind w:left="1120"/>
                    <w:rPr>
                      <w:rFonts w:ascii="微软雅黑" w:hAnsi="微软雅黑" w:eastAsia="微软雅黑" w:cs="微软雅黑"/>
                      <w:sz w:val="17"/>
                      <w:szCs w:val="17"/>
                    </w:rPr>
                  </w:pPr>
                  <w:r>
                    <w:rPr>
                      <w:rFonts w:ascii="微软雅黑" w:hAnsi="微软雅黑" w:eastAsia="微软雅黑" w:cs="微软雅黑"/>
                      <w:color w:val="638778"/>
                      <w:spacing w:val="6"/>
                      <w:position w:val="-1"/>
                      <w:sz w:val="17"/>
                      <w:szCs w:val="17"/>
                    </w:rPr>
                    <w:t>逻辑校验</w:t>
                  </w:r>
                </w:p>
              </w:txbxContent>
            </v:textbox>
          </v:shape>
        </w:pict>
      </w:r>
      <w:r>
        <w:pict>
          <v:shape id="_x0000_s1091" o:spid="_x0000_s1091" o:spt="202" type="#_x0000_t202" style="position:absolute;left:0pt;margin-left:350.15pt;margin-top:8.1pt;height:55.55pt;width:125.15pt;z-index:251742208;mso-width-relative:page;mso-height-relative:page;" fillcolor="#E0E8E6" filled="t" stroked="f" coordsize="21600,21600">
            <v:path/>
            <v:fill on="t" focussize="0,0"/>
            <v:stroke on="f"/>
            <v:imagedata o:title=""/>
            <o:lock v:ext="edit" aspectratio="f"/>
            <v:textbox inset="0mm,0mm,0mm,0mm">
              <w:txbxContent>
                <w:p w14:paraId="292287D4">
                  <w:pPr>
                    <w:spacing w:before="89" w:line="174" w:lineRule="exact"/>
                    <w:ind w:left="718"/>
                    <w:rPr>
                      <w:rFonts w:ascii="微软雅黑" w:hAnsi="微软雅黑" w:eastAsia="微软雅黑" w:cs="微软雅黑"/>
                      <w:sz w:val="17"/>
                      <w:szCs w:val="17"/>
                    </w:rPr>
                  </w:pPr>
                  <w:r>
                    <w:rPr>
                      <w:rFonts w:ascii="微软雅黑" w:hAnsi="微软雅黑" w:eastAsia="微软雅黑" w:cs="微软雅黑"/>
                      <w:color w:val="638778"/>
                      <w:spacing w:val="7"/>
                      <w:position w:val="-1"/>
                      <w:sz w:val="17"/>
                      <w:szCs w:val="17"/>
                    </w:rPr>
                    <w:t>数据提供稽核</w:t>
                  </w:r>
                </w:p>
                <w:p w14:paraId="23712D8A">
                  <w:pPr>
                    <w:spacing w:before="34" w:line="172" w:lineRule="exact"/>
                    <w:ind w:left="186"/>
                    <w:rPr>
                      <w:rFonts w:ascii="微软雅黑" w:hAnsi="微软雅黑" w:eastAsia="微软雅黑" w:cs="微软雅黑"/>
                      <w:sz w:val="17"/>
                      <w:szCs w:val="17"/>
                    </w:rPr>
                  </w:pPr>
                  <w:r>
                    <w:rPr>
                      <w:rFonts w:ascii="微软雅黑" w:hAnsi="微软雅黑" w:eastAsia="微软雅黑" w:cs="微软雅黑"/>
                      <w:color w:val="638778"/>
                      <w:spacing w:val="1"/>
                      <w:position w:val="-1"/>
                      <w:sz w:val="17"/>
                      <w:szCs w:val="17"/>
                    </w:rPr>
                    <w:t>及时性、关键指标检验、</w:t>
                  </w:r>
                  <w:r>
                    <w:rPr>
                      <w:rFonts w:ascii="微软雅黑" w:hAnsi="微软雅黑" w:eastAsia="微软雅黑" w:cs="微软雅黑"/>
                      <w:color w:val="638778"/>
                      <w:spacing w:val="22"/>
                      <w:w w:val="101"/>
                      <w:position w:val="-1"/>
                      <w:sz w:val="17"/>
                      <w:szCs w:val="17"/>
                    </w:rPr>
                    <w:t xml:space="preserve"> </w:t>
                  </w:r>
                  <w:r>
                    <w:rPr>
                      <w:rFonts w:ascii="微软雅黑" w:hAnsi="微软雅黑" w:eastAsia="微软雅黑" w:cs="微软雅黑"/>
                      <w:color w:val="638778"/>
                      <w:spacing w:val="1"/>
                      <w:position w:val="-1"/>
                      <w:sz w:val="17"/>
                      <w:szCs w:val="17"/>
                    </w:rPr>
                    <w:t>层</w:t>
                  </w:r>
                </w:p>
                <w:p w14:paraId="095D5646">
                  <w:pPr>
                    <w:spacing w:before="34" w:line="173" w:lineRule="exact"/>
                    <w:ind w:left="185"/>
                    <w:rPr>
                      <w:rFonts w:ascii="微软雅黑" w:hAnsi="微软雅黑" w:eastAsia="微软雅黑" w:cs="微软雅黑"/>
                      <w:sz w:val="17"/>
                      <w:szCs w:val="17"/>
                    </w:rPr>
                  </w:pPr>
                  <w:r>
                    <w:rPr>
                      <w:rFonts w:ascii="微软雅黑" w:hAnsi="微软雅黑" w:eastAsia="微软雅黑" w:cs="微软雅黑"/>
                      <w:color w:val="638778"/>
                      <w:spacing w:val="3"/>
                      <w:position w:val="-1"/>
                      <w:sz w:val="17"/>
                      <w:szCs w:val="17"/>
                    </w:rPr>
                    <w:t>次互验、</w:t>
                  </w:r>
                  <w:r>
                    <w:rPr>
                      <w:rFonts w:ascii="微软雅黑" w:hAnsi="微软雅黑" w:eastAsia="微软雅黑" w:cs="微软雅黑"/>
                      <w:color w:val="638778"/>
                      <w:spacing w:val="-19"/>
                      <w:position w:val="-1"/>
                      <w:sz w:val="17"/>
                      <w:szCs w:val="17"/>
                    </w:rPr>
                    <w:t xml:space="preserve"> </w:t>
                  </w:r>
                  <w:r>
                    <w:rPr>
                      <w:rFonts w:ascii="微软雅黑" w:hAnsi="微软雅黑" w:eastAsia="微软雅黑" w:cs="微软雅黑"/>
                      <w:color w:val="638778"/>
                      <w:spacing w:val="3"/>
                      <w:position w:val="-1"/>
                      <w:sz w:val="17"/>
                      <w:szCs w:val="17"/>
                    </w:rPr>
                    <w:t>重复、一致性、</w:t>
                  </w:r>
                  <w:r>
                    <w:rPr>
                      <w:rFonts w:ascii="微软雅黑" w:hAnsi="微软雅黑" w:eastAsia="微软雅黑" w:cs="微软雅黑"/>
                      <w:color w:val="638778"/>
                      <w:spacing w:val="-30"/>
                      <w:position w:val="-1"/>
                      <w:sz w:val="17"/>
                      <w:szCs w:val="17"/>
                    </w:rPr>
                    <w:t xml:space="preserve"> </w:t>
                  </w:r>
                  <w:r>
                    <w:rPr>
                      <w:rFonts w:ascii="微软雅黑" w:hAnsi="微软雅黑" w:eastAsia="微软雅黑" w:cs="微软雅黑"/>
                      <w:color w:val="638778"/>
                      <w:spacing w:val="3"/>
                      <w:position w:val="-1"/>
                      <w:sz w:val="17"/>
                      <w:szCs w:val="17"/>
                    </w:rPr>
                    <w:t>分</w:t>
                  </w:r>
                </w:p>
                <w:p w14:paraId="2C1AFFE8">
                  <w:pPr>
                    <w:spacing w:before="49" w:line="173" w:lineRule="exact"/>
                    <w:ind w:left="452"/>
                    <w:rPr>
                      <w:rFonts w:ascii="微软雅黑" w:hAnsi="微软雅黑" w:eastAsia="微软雅黑" w:cs="微软雅黑"/>
                      <w:sz w:val="17"/>
                      <w:szCs w:val="17"/>
                    </w:rPr>
                  </w:pPr>
                  <w:r>
                    <w:rPr>
                      <w:rFonts w:ascii="微软雅黑" w:hAnsi="微软雅黑" w:eastAsia="微软雅黑" w:cs="微软雅黑"/>
                      <w:color w:val="638778"/>
                      <w:spacing w:val="7"/>
                      <w:position w:val="-1"/>
                      <w:sz w:val="17"/>
                      <w:szCs w:val="17"/>
                    </w:rPr>
                    <w:t>布、波动、逻辑校验</w:t>
                  </w:r>
                </w:p>
              </w:txbxContent>
            </v:textbox>
          </v:shape>
        </w:pict>
      </w:r>
      <w:r>
        <w:rPr>
          <w:position w:val="-22"/>
        </w:rPr>
        <w:pict>
          <v:shape id="_x0000_s1092" o:spid="_x0000_s1092" o:spt="202" type="#_x0000_t202" style="height:55.55pt;width:151.8pt;" fillcolor="#E0E8E6" filled="t" stroked="f" coordsize="21600,21600">
            <v:path/>
            <v:fill on="t" focussize="0,0"/>
            <v:stroke on="f"/>
            <v:imagedata o:title=""/>
            <o:lock v:ext="edit" aspectratio="f"/>
            <v:textbox inset="0mm,0mm,0mm,0mm">
              <w:txbxContent>
                <w:p w14:paraId="4C0CED18">
                  <w:pPr>
                    <w:spacing w:before="89" w:line="173" w:lineRule="exact"/>
                    <w:ind w:left="977"/>
                    <w:rPr>
                      <w:rFonts w:ascii="微软雅黑" w:hAnsi="微软雅黑" w:eastAsia="微软雅黑" w:cs="微软雅黑"/>
                      <w:sz w:val="17"/>
                      <w:szCs w:val="17"/>
                    </w:rPr>
                  </w:pPr>
                  <w:r>
                    <w:rPr>
                      <w:rFonts w:ascii="微软雅黑" w:hAnsi="微软雅黑" w:eastAsia="微软雅黑" w:cs="微软雅黑"/>
                      <w:color w:val="638778"/>
                      <w:spacing w:val="7"/>
                      <w:position w:val="-1"/>
                      <w:sz w:val="17"/>
                      <w:szCs w:val="17"/>
                    </w:rPr>
                    <w:t>数据仓库稽核</w:t>
                  </w:r>
                </w:p>
                <w:p w14:paraId="0436D094">
                  <w:pPr>
                    <w:spacing w:before="33" w:line="157" w:lineRule="auto"/>
                    <w:ind w:left="889" w:right="232" w:hanging="710"/>
                    <w:rPr>
                      <w:rFonts w:ascii="微软雅黑" w:hAnsi="微软雅黑" w:eastAsia="微软雅黑" w:cs="微软雅黑"/>
                      <w:sz w:val="17"/>
                      <w:szCs w:val="17"/>
                    </w:rPr>
                  </w:pPr>
                  <w:r>
                    <w:rPr>
                      <w:rFonts w:ascii="微软雅黑" w:hAnsi="微软雅黑" w:eastAsia="微软雅黑" w:cs="微软雅黑"/>
                      <w:color w:val="638778"/>
                      <w:spacing w:val="-1"/>
                      <w:sz w:val="17"/>
                      <w:szCs w:val="17"/>
                    </w:rPr>
                    <w:t>及时性、</w:t>
                  </w:r>
                  <w:r>
                    <w:rPr>
                      <w:rFonts w:ascii="微软雅黑" w:hAnsi="微软雅黑" w:eastAsia="微软雅黑" w:cs="微软雅黑"/>
                      <w:color w:val="638778"/>
                      <w:spacing w:val="-15"/>
                      <w:sz w:val="17"/>
                      <w:szCs w:val="17"/>
                    </w:rPr>
                    <w:t xml:space="preserve"> </w:t>
                  </w:r>
                  <w:r>
                    <w:rPr>
                      <w:rFonts w:ascii="微软雅黑" w:hAnsi="微软雅黑" w:eastAsia="微软雅黑" w:cs="微软雅黑"/>
                      <w:color w:val="638778"/>
                      <w:spacing w:val="-1"/>
                      <w:sz w:val="17"/>
                      <w:szCs w:val="17"/>
                    </w:rPr>
                    <w:t>唯一性、</w:t>
                  </w:r>
                  <w:r>
                    <w:rPr>
                      <w:rFonts w:ascii="微软雅黑" w:hAnsi="微软雅黑" w:eastAsia="微软雅黑" w:cs="微软雅黑"/>
                      <w:color w:val="638778"/>
                      <w:spacing w:val="-20"/>
                      <w:sz w:val="17"/>
                      <w:szCs w:val="17"/>
                    </w:rPr>
                    <w:t xml:space="preserve"> </w:t>
                  </w:r>
                  <w:r>
                    <w:rPr>
                      <w:rFonts w:ascii="微软雅黑" w:hAnsi="微软雅黑" w:eastAsia="微软雅黑" w:cs="微软雅黑"/>
                      <w:color w:val="638778"/>
                      <w:spacing w:val="-1"/>
                      <w:sz w:val="17"/>
                      <w:szCs w:val="17"/>
                    </w:rPr>
                    <w:t>一致性、</w:t>
                  </w:r>
                  <w:r>
                    <w:rPr>
                      <w:rFonts w:ascii="微软雅黑" w:hAnsi="微软雅黑" w:eastAsia="微软雅黑" w:cs="微软雅黑"/>
                      <w:color w:val="638778"/>
                      <w:spacing w:val="-29"/>
                      <w:sz w:val="17"/>
                      <w:szCs w:val="17"/>
                    </w:rPr>
                    <w:t xml:space="preserve"> </w:t>
                  </w:r>
                  <w:r>
                    <w:rPr>
                      <w:rFonts w:ascii="微软雅黑" w:hAnsi="微软雅黑" w:eastAsia="微软雅黑" w:cs="微软雅黑"/>
                      <w:color w:val="638778"/>
                      <w:spacing w:val="-1"/>
                      <w:sz w:val="17"/>
                      <w:szCs w:val="17"/>
                    </w:rPr>
                    <w:t>分布、</w:t>
                  </w:r>
                  <w:r>
                    <w:rPr>
                      <w:rFonts w:ascii="微软雅黑" w:hAnsi="微软雅黑" w:eastAsia="微软雅黑" w:cs="微软雅黑"/>
                      <w:color w:val="638778"/>
                      <w:sz w:val="17"/>
                      <w:szCs w:val="17"/>
                    </w:rPr>
                    <w:t xml:space="preserve"> </w:t>
                  </w:r>
                  <w:r>
                    <w:rPr>
                      <w:rFonts w:ascii="微软雅黑" w:hAnsi="微软雅黑" w:eastAsia="微软雅黑" w:cs="微软雅黑"/>
                      <w:color w:val="638778"/>
                      <w:spacing w:val="7"/>
                      <w:sz w:val="17"/>
                      <w:szCs w:val="17"/>
                    </w:rPr>
                    <w:t>波动、逻辑校验</w:t>
                  </w:r>
                </w:p>
              </w:txbxContent>
            </v:textbox>
            <w10:wrap type="none"/>
            <w10:anchorlock/>
          </v:shape>
        </w:pict>
      </w:r>
    </w:p>
    <w:p w14:paraId="25844E90">
      <w:pPr>
        <w:pStyle w:val="2"/>
        <w:spacing w:line="473" w:lineRule="auto"/>
      </w:pPr>
    </w:p>
    <w:p w14:paraId="5CE407C8">
      <w:pPr>
        <w:spacing w:before="86" w:line="204" w:lineRule="auto"/>
        <w:ind w:left="3613"/>
        <w:rPr>
          <w:rFonts w:ascii="微软雅黑" w:hAnsi="微软雅黑" w:eastAsia="微软雅黑" w:cs="微软雅黑"/>
          <w:sz w:val="20"/>
          <w:szCs w:val="20"/>
        </w:rPr>
      </w:pPr>
      <w:r>
        <w:rPr>
          <w:rFonts w:ascii="微软雅黑" w:hAnsi="微软雅黑" w:eastAsia="微软雅黑" w:cs="微软雅黑"/>
          <w:color w:val="231F20"/>
          <w:spacing w:val="3"/>
          <w:sz w:val="20"/>
          <w:szCs w:val="20"/>
        </w:rPr>
        <w:t>图 6 数据全流程质量校验管控</w:t>
      </w:r>
    </w:p>
    <w:p w14:paraId="0407A39D">
      <w:pPr>
        <w:pStyle w:val="2"/>
        <w:spacing w:line="260" w:lineRule="auto"/>
      </w:pPr>
    </w:p>
    <w:p w14:paraId="02FBF900">
      <w:pPr>
        <w:spacing w:before="96" w:line="290" w:lineRule="auto"/>
        <w:ind w:left="247" w:right="90" w:firstLine="481"/>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浙江移动建立了闭环的数据质量管理机制，通过从技术和管理两方面着手，最终建立组织级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数据全流程质量管控。中国移动浙江公司在需求开发过程中，与源系统及需求</w:t>
      </w:r>
      <w:r>
        <w:rPr>
          <w:rFonts w:ascii="微软雅黑" w:hAnsi="微软雅黑" w:eastAsia="微软雅黑" w:cs="微软雅黑"/>
          <w:color w:val="231F20"/>
          <w:spacing w:val="3"/>
          <w:sz w:val="22"/>
          <w:szCs w:val="22"/>
        </w:rPr>
        <w:t>部门建立协同管理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机制，实现在设计、开发、测试、上线等环节的数据质量稽核。</w:t>
      </w:r>
      <w:r>
        <w:rPr>
          <w:rFonts w:ascii="微软雅黑" w:hAnsi="微软雅黑" w:eastAsia="微软雅黑" w:cs="微软雅黑"/>
          <w:color w:val="231F20"/>
          <w:spacing w:val="3"/>
          <w:sz w:val="22"/>
          <w:szCs w:val="22"/>
        </w:rPr>
        <w:t>同时，定期对数据质量进行全面</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评估，形成问题通报机制，并定期总结数据质量历史问题，形成案例库。</w:t>
      </w:r>
    </w:p>
    <w:p w14:paraId="6C6AEDED">
      <w:pPr>
        <w:pStyle w:val="2"/>
        <w:spacing w:line="352" w:lineRule="auto"/>
      </w:pPr>
    </w:p>
    <w:p w14:paraId="1C6F63C0">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5"/>
          <w:sz w:val="28"/>
          <w:szCs w:val="28"/>
        </w:rPr>
        <w:t>(</w:t>
      </w:r>
      <w:r>
        <w:rPr>
          <w:rFonts w:ascii="微软雅黑" w:hAnsi="微软雅黑" w:eastAsia="微软雅黑" w:cs="微软雅黑"/>
          <w:color w:val="648676"/>
          <w:spacing w:val="25"/>
          <w:sz w:val="28"/>
          <w:szCs w:val="28"/>
        </w:rPr>
        <w:t xml:space="preserve"> </w:t>
      </w:r>
      <w:r>
        <w:rPr>
          <w:rFonts w:ascii="微软雅黑" w:hAnsi="微软雅黑" w:eastAsia="微软雅黑" w:cs="微软雅黑"/>
          <w:color w:val="648676"/>
          <w:spacing w:val="5"/>
          <w:sz w:val="28"/>
          <w:szCs w:val="28"/>
        </w:rPr>
        <w:t>四 )</w:t>
      </w:r>
      <w:r>
        <w:rPr>
          <w:rFonts w:ascii="微软雅黑" w:hAnsi="微软雅黑" w:eastAsia="微软雅黑" w:cs="微软雅黑"/>
          <w:color w:val="648676"/>
          <w:spacing w:val="34"/>
          <w:sz w:val="28"/>
          <w:szCs w:val="28"/>
        </w:rPr>
        <w:t xml:space="preserve"> </w:t>
      </w:r>
      <w:r>
        <w:rPr>
          <w:rFonts w:ascii="微软雅黑" w:hAnsi="微软雅黑" w:eastAsia="微软雅黑" w:cs="微软雅黑"/>
          <w:color w:val="648676"/>
          <w:spacing w:val="5"/>
          <w:sz w:val="28"/>
          <w:szCs w:val="28"/>
        </w:rPr>
        <w:t>主数据管理</w:t>
      </w:r>
    </w:p>
    <w:p w14:paraId="4D1336A5">
      <w:pPr>
        <w:pStyle w:val="2"/>
        <w:spacing w:line="408" w:lineRule="auto"/>
      </w:pPr>
    </w:p>
    <w:p w14:paraId="16962878">
      <w:pPr>
        <w:spacing w:before="95" w:line="288" w:lineRule="auto"/>
        <w:ind w:left="247" w:right="85" w:firstLine="486"/>
        <w:jc w:val="both"/>
        <w:rPr>
          <w:rFonts w:ascii="微软雅黑" w:hAnsi="微软雅黑" w:eastAsia="微软雅黑" w:cs="微软雅黑"/>
          <w:sz w:val="22"/>
          <w:szCs w:val="22"/>
        </w:rPr>
      </w:pPr>
      <w:r>
        <w:rPr>
          <w:rFonts w:ascii="微软雅黑" w:hAnsi="微软雅黑" w:eastAsia="微软雅黑" w:cs="微软雅黑"/>
          <w:color w:val="231F20"/>
          <w:spacing w:val="8"/>
          <w:sz w:val="22"/>
          <w:szCs w:val="22"/>
        </w:rPr>
        <w:t>主数据（</w:t>
      </w:r>
      <w:r>
        <w:rPr>
          <w:rFonts w:ascii="微软雅黑" w:hAnsi="微软雅黑" w:eastAsia="微软雅黑" w:cs="微软雅黑"/>
          <w:color w:val="231F20"/>
          <w:sz w:val="22"/>
          <w:szCs w:val="22"/>
        </w:rPr>
        <w:t>Master</w:t>
      </w:r>
      <w:r>
        <w:rPr>
          <w:rFonts w:ascii="微软雅黑" w:hAnsi="微软雅黑" w:eastAsia="微软雅黑" w:cs="微软雅黑"/>
          <w:color w:val="231F20"/>
          <w:spacing w:val="34"/>
          <w:sz w:val="22"/>
          <w:szCs w:val="22"/>
        </w:rPr>
        <w:t xml:space="preserve"> </w:t>
      </w:r>
      <w:r>
        <w:rPr>
          <w:rFonts w:ascii="微软雅黑" w:hAnsi="微软雅黑" w:eastAsia="微软雅黑" w:cs="微软雅黑"/>
          <w:color w:val="231F20"/>
          <w:sz w:val="22"/>
          <w:szCs w:val="22"/>
        </w:rPr>
        <w:t>Data</w:t>
      </w:r>
      <w:r>
        <w:rPr>
          <w:rFonts w:ascii="微软雅黑" w:hAnsi="微软雅黑" w:eastAsia="微软雅黑" w:cs="微软雅黑"/>
          <w:color w:val="231F20"/>
          <w:spacing w:val="8"/>
          <w:sz w:val="22"/>
          <w:szCs w:val="22"/>
        </w:rPr>
        <w:t>） 是指用来描述企业核心业务实体的</w:t>
      </w:r>
      <w:r>
        <w:rPr>
          <w:rFonts w:ascii="微软雅黑" w:hAnsi="微软雅黑" w:eastAsia="微软雅黑" w:cs="微软雅黑"/>
          <w:color w:val="231F20"/>
          <w:spacing w:val="7"/>
          <w:sz w:val="22"/>
          <w:szCs w:val="22"/>
        </w:rPr>
        <w:t>数据，是跨越各个业务部门和</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1"/>
          <w:sz w:val="22"/>
          <w:szCs w:val="22"/>
        </w:rPr>
        <w:t>系统的、高价值的基础数据。主数据管理（</w:t>
      </w:r>
      <w:r>
        <w:rPr>
          <w:rFonts w:ascii="微软雅黑" w:hAnsi="微软雅黑" w:eastAsia="微软雅黑" w:cs="微软雅黑"/>
          <w:color w:val="231F20"/>
          <w:sz w:val="22"/>
          <w:szCs w:val="22"/>
        </w:rPr>
        <w:t>MDM</w:t>
      </w:r>
      <w:r>
        <w:rPr>
          <w:rFonts w:ascii="微软雅黑" w:hAnsi="微软雅黑" w:eastAsia="微软雅黑" w:cs="微软雅黑"/>
          <w:color w:val="231F20"/>
          <w:spacing w:val="50"/>
          <w:sz w:val="22"/>
          <w:szCs w:val="22"/>
        </w:rPr>
        <w:t xml:space="preserve"> </w:t>
      </w:r>
      <w:r>
        <w:rPr>
          <w:rFonts w:ascii="微软雅黑" w:hAnsi="微软雅黑" w:eastAsia="微软雅黑" w:cs="微软雅黑"/>
          <w:color w:val="231F20"/>
          <w:spacing w:val="11"/>
          <w:sz w:val="22"/>
          <w:szCs w:val="22"/>
        </w:rPr>
        <w:t>，</w:t>
      </w:r>
      <w:r>
        <w:rPr>
          <w:rFonts w:ascii="微软雅黑" w:hAnsi="微软雅黑" w:eastAsia="微软雅黑" w:cs="微软雅黑"/>
          <w:color w:val="231F20"/>
          <w:sz w:val="22"/>
          <w:szCs w:val="22"/>
        </w:rPr>
        <w:t>Master</w:t>
      </w:r>
      <w:r>
        <w:rPr>
          <w:rFonts w:ascii="微软雅黑" w:hAnsi="微软雅黑" w:eastAsia="微软雅黑" w:cs="微软雅黑"/>
          <w:color w:val="231F20"/>
          <w:spacing w:val="31"/>
          <w:sz w:val="22"/>
          <w:szCs w:val="22"/>
        </w:rPr>
        <w:t xml:space="preserve"> </w:t>
      </w:r>
      <w:r>
        <w:rPr>
          <w:rFonts w:ascii="微软雅黑" w:hAnsi="微软雅黑" w:eastAsia="微软雅黑" w:cs="微软雅黑"/>
          <w:color w:val="231F20"/>
          <w:sz w:val="22"/>
          <w:szCs w:val="22"/>
        </w:rPr>
        <w:t>Data</w:t>
      </w:r>
      <w:r>
        <w:rPr>
          <w:rFonts w:ascii="微软雅黑" w:hAnsi="微软雅黑" w:eastAsia="微软雅黑" w:cs="微软雅黑"/>
          <w:color w:val="231F20"/>
          <w:spacing w:val="31"/>
          <w:sz w:val="22"/>
          <w:szCs w:val="22"/>
        </w:rPr>
        <w:t xml:space="preserve"> </w:t>
      </w:r>
      <w:r>
        <w:rPr>
          <w:rFonts w:ascii="微软雅黑" w:hAnsi="微软雅黑" w:eastAsia="微软雅黑" w:cs="微软雅黑"/>
          <w:color w:val="231F20"/>
          <w:sz w:val="22"/>
          <w:szCs w:val="22"/>
        </w:rPr>
        <w:t>Management</w:t>
      </w:r>
      <w:r>
        <w:rPr>
          <w:rFonts w:ascii="微软雅黑" w:hAnsi="微软雅黑" w:eastAsia="微软雅黑" w:cs="微软雅黑"/>
          <w:color w:val="231F20"/>
          <w:spacing w:val="10"/>
          <w:sz w:val="22"/>
          <w:szCs w:val="22"/>
        </w:rPr>
        <w:t>）</w:t>
      </w:r>
      <w:r>
        <w:rPr>
          <w:rFonts w:ascii="微软雅黑" w:hAnsi="微软雅黑" w:eastAsia="微软雅黑" w:cs="微软雅黑"/>
          <w:color w:val="231F20"/>
          <w:spacing w:val="36"/>
          <w:sz w:val="22"/>
          <w:szCs w:val="22"/>
        </w:rPr>
        <w:t xml:space="preserve"> </w:t>
      </w:r>
      <w:r>
        <w:rPr>
          <w:rFonts w:ascii="微软雅黑" w:hAnsi="微软雅黑" w:eastAsia="微软雅黑" w:cs="微软雅黑"/>
          <w:color w:val="231F20"/>
          <w:spacing w:val="10"/>
          <w:sz w:val="22"/>
          <w:szCs w:val="22"/>
        </w:rPr>
        <w:t>是一系列</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规则、应用和技术，用以协调和管理与企业的核心业务实体相关的系统记录数据。</w:t>
      </w:r>
    </w:p>
    <w:p w14:paraId="3053103B">
      <w:pPr>
        <w:pStyle w:val="2"/>
        <w:spacing w:line="398" w:lineRule="auto"/>
      </w:pPr>
    </w:p>
    <w:p w14:paraId="544C7705">
      <w:pPr>
        <w:spacing w:before="95" w:line="178" w:lineRule="auto"/>
        <w:ind w:left="733"/>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主数据管理的关键活动包括：</w:t>
      </w:r>
    </w:p>
    <w:p w14:paraId="14B1585C">
      <w:pPr>
        <w:spacing w:before="168" w:line="206" w:lineRule="auto"/>
        <w:ind w:left="818"/>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w:t>
      </w:r>
      <w:r>
        <w:rPr>
          <w:rFonts w:ascii="微软雅黑" w:hAnsi="微软雅黑" w:eastAsia="微软雅黑" w:cs="微软雅黑"/>
          <w:color w:val="231F20"/>
          <w:spacing w:val="-27"/>
          <w:sz w:val="22"/>
          <w:szCs w:val="22"/>
        </w:rPr>
        <w:t xml:space="preserve"> </w:t>
      </w:r>
      <w:r>
        <w:rPr>
          <w:rFonts w:ascii="微软雅黑" w:hAnsi="微软雅黑" w:eastAsia="微软雅黑" w:cs="微软雅黑"/>
          <w:color w:val="231F20"/>
          <w:spacing w:val="4"/>
          <w:sz w:val="22"/>
          <w:szCs w:val="22"/>
        </w:rPr>
        <w:t>主数据管理计划：依据企业级数据模型，明确主数据的业务范围、唯一来源系统与识别原</w:t>
      </w:r>
    </w:p>
    <w:p w14:paraId="1505899A">
      <w:pPr>
        <w:pStyle w:val="2"/>
        <w:spacing w:line="321" w:lineRule="auto"/>
      </w:pPr>
    </w:p>
    <w:p w14:paraId="15C92A30">
      <w:pPr>
        <w:pStyle w:val="2"/>
        <w:spacing w:before="57" w:line="194" w:lineRule="auto"/>
        <w:ind w:left="4858"/>
        <w:rPr>
          <w:sz w:val="20"/>
          <w:szCs w:val="20"/>
        </w:rPr>
      </w:pPr>
      <w:r>
        <w:pict>
          <v:shape id="_x0000_s1093" o:spid="_x0000_s1093" o:spt="202" type="#_x0000_t202" style="position:absolute;left:0pt;margin-left:274.65pt;margin-top:6.55pt;height:15.95pt;width:199.4pt;z-index:251743232;mso-width-relative:page;mso-height-relative:page;" filled="f" stroked="f" coordsize="21600,21600">
            <v:path/>
            <v:fill on="f" focussize="0,0"/>
            <v:stroke on="f"/>
            <v:imagedata o:title=""/>
            <o:lock v:ext="edit" aspectratio="f"/>
            <v:textbox inset="0mm,0mm,0mm,0mm">
              <w:txbxContent>
                <w:p w14:paraId="26451C31">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6"/>
          <w:sz w:val="20"/>
          <w:szCs w:val="20"/>
        </w:rPr>
        <w:t>14</w:t>
      </w:r>
    </w:p>
    <w:p w14:paraId="73015337">
      <w:pPr>
        <w:spacing w:line="194" w:lineRule="auto"/>
        <w:rPr>
          <w:sz w:val="20"/>
          <w:szCs w:val="20"/>
        </w:rPr>
        <w:sectPr>
          <w:pgSz w:w="11906" w:h="16158"/>
          <w:pgMar w:top="400" w:right="1162" w:bottom="400" w:left="1004" w:header="0" w:footer="0" w:gutter="0"/>
          <w:cols w:space="720" w:num="1"/>
        </w:sectPr>
      </w:pPr>
    </w:p>
    <w:p w14:paraId="723E7318">
      <w:pPr>
        <w:pStyle w:val="2"/>
        <w:spacing w:line="349" w:lineRule="auto"/>
      </w:pPr>
    </w:p>
    <w:p w14:paraId="6B31B458">
      <w:pPr>
        <w:pStyle w:val="2"/>
        <w:spacing w:line="350" w:lineRule="auto"/>
      </w:pPr>
    </w:p>
    <w:p w14:paraId="59216C22">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-2</w:t>
      </w:r>
    </w:p>
    <w:p w14:paraId="7C02043F">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576C5831">
      <w:pPr>
        <w:pStyle w:val="2"/>
        <w:spacing w:line="292" w:lineRule="auto"/>
      </w:pPr>
    </w:p>
    <w:p w14:paraId="7B357A74">
      <w:pPr>
        <w:pStyle w:val="2"/>
        <w:spacing w:line="293" w:lineRule="auto"/>
      </w:pPr>
    </w:p>
    <w:p w14:paraId="4F2672C2">
      <w:pPr>
        <w:pStyle w:val="2"/>
        <w:spacing w:line="293" w:lineRule="auto"/>
      </w:pPr>
    </w:p>
    <w:p w14:paraId="7F70EEEF">
      <w:pPr>
        <w:spacing w:before="95" w:line="287" w:lineRule="auto"/>
        <w:ind w:left="248" w:right="27"/>
        <w:rPr>
          <w:rFonts w:ascii="微软雅黑" w:hAnsi="微软雅黑" w:eastAsia="微软雅黑" w:cs="微软雅黑"/>
          <w:sz w:val="22"/>
          <w:szCs w:val="22"/>
        </w:rPr>
      </w:pPr>
      <w:bookmarkStart w:id="34" w:name="bookmark34"/>
      <w:bookmarkEnd w:id="34"/>
      <w:r>
        <w:rPr>
          <w:rFonts w:ascii="微软雅黑" w:hAnsi="微软雅黑" w:eastAsia="微软雅黑" w:cs="微软雅黑"/>
          <w:color w:val="231F20"/>
          <w:spacing w:val="-5"/>
          <w:sz w:val="22"/>
          <w:szCs w:val="22"/>
        </w:rPr>
        <w:t>则；定义主数据的数据模型（或主辅数据源分布）、数据标准、数据质量、数据安全等要求或规则，</w:t>
      </w:r>
      <w:r>
        <w:rPr>
          <w:rFonts w:ascii="微软雅黑" w:hAnsi="微软雅黑" w:eastAsia="微软雅黑" w:cs="微软雅黑"/>
          <w:color w:val="231F20"/>
          <w:spacing w:val="12"/>
          <w:sz w:val="22"/>
          <w:szCs w:val="22"/>
        </w:rPr>
        <w:t xml:space="preserve"> </w:t>
      </w:r>
      <w:r>
        <w:rPr>
          <w:rFonts w:ascii="微软雅黑" w:hAnsi="微软雅黑" w:eastAsia="微软雅黑" w:cs="微软雅黑"/>
          <w:color w:val="231F20"/>
          <w:spacing w:val="-3"/>
          <w:sz w:val="22"/>
          <w:szCs w:val="22"/>
        </w:rPr>
        <w:t>并明确以上各方面与组织全面数据资产管理的关系；</w:t>
      </w:r>
    </w:p>
    <w:p w14:paraId="08E496D9">
      <w:pPr>
        <w:spacing w:before="16" w:line="206" w:lineRule="auto"/>
        <w:ind w:left="818"/>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·主数据管理执行：依托平台工具，实现核心系统与主数据存</w:t>
      </w:r>
      <w:r>
        <w:rPr>
          <w:rFonts w:ascii="微软雅黑" w:hAnsi="微软雅黑" w:eastAsia="微软雅黑" w:cs="微软雅黑"/>
          <w:color w:val="231F20"/>
          <w:sz w:val="22"/>
          <w:szCs w:val="22"/>
        </w:rPr>
        <w:t>储库数据同步共享；</w:t>
      </w:r>
    </w:p>
    <w:p w14:paraId="24915007">
      <w:pPr>
        <w:spacing w:before="135" w:line="288" w:lineRule="auto"/>
        <w:ind w:left="249" w:right="100" w:firstLine="568"/>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·主数据管理检查：对主数据质量进行检查，保证主数据的一致性、唯一性；记录主</w:t>
      </w:r>
      <w:r>
        <w:rPr>
          <w:rFonts w:ascii="微软雅黑" w:hAnsi="微软雅黑" w:eastAsia="微软雅黑" w:cs="微软雅黑"/>
          <w:color w:val="231F20"/>
          <w:spacing w:val="4"/>
          <w:sz w:val="22"/>
          <w:szCs w:val="22"/>
        </w:rPr>
        <w:t>数据检</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查的问题；</w:t>
      </w:r>
    </w:p>
    <w:p w14:paraId="14C0F14E">
      <w:pPr>
        <w:spacing w:before="14" w:line="288" w:lineRule="auto"/>
        <w:ind w:left="247" w:right="104" w:firstLine="570"/>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·主数据管理改进：总结主数据管理问题，制定主数据管理提升方案，持续</w:t>
      </w:r>
      <w:r>
        <w:rPr>
          <w:rFonts w:ascii="微软雅黑" w:hAnsi="微软雅黑" w:eastAsia="微软雅黑" w:cs="微软雅黑"/>
          <w:color w:val="231F20"/>
          <w:spacing w:val="4"/>
          <w:sz w:val="22"/>
          <w:szCs w:val="22"/>
        </w:rPr>
        <w:t>改进主数据质量</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及管理效率。</w:t>
      </w:r>
    </w:p>
    <w:p w14:paraId="3CBD6F89">
      <w:pPr>
        <w:spacing w:before="17" w:line="291" w:lineRule="auto"/>
        <w:ind w:left="247" w:firstLine="50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由于主数据具有数据价值高、稳定性强、数量少但</w:t>
      </w:r>
      <w:r>
        <w:rPr>
          <w:rFonts w:ascii="微软雅黑" w:hAnsi="微软雅黑" w:eastAsia="微软雅黑" w:cs="微软雅黑"/>
          <w:color w:val="231F20"/>
          <w:spacing w:val="-4"/>
          <w:sz w:val="22"/>
          <w:szCs w:val="22"/>
        </w:rPr>
        <w:t>影响范围广等特点，  有“黄金数据”之称，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因此将主数据管理作为数据资产管理的切入点，可以起到“牵一发而动全身”的作用。例如，</w:t>
      </w:r>
      <w:r>
        <w:rPr>
          <w:rFonts w:ascii="微软雅黑" w:hAnsi="微软雅黑" w:eastAsia="微软雅黑" w:cs="微软雅黑"/>
          <w:color w:val="231F20"/>
          <w:spacing w:val="-34"/>
          <w:sz w:val="22"/>
          <w:szCs w:val="22"/>
        </w:rPr>
        <w:t xml:space="preserve"> </w:t>
      </w:r>
      <w:r>
        <w:rPr>
          <w:rFonts w:ascii="微软雅黑" w:hAnsi="微软雅黑" w:eastAsia="微软雅黑" w:cs="微软雅黑"/>
          <w:color w:val="231F20"/>
          <w:spacing w:val="-2"/>
          <w:sz w:val="22"/>
          <w:szCs w:val="22"/>
        </w:rPr>
        <w:t>浦发</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银行将主数据一致性及标准化专项治理作为数据资产管理突破点，</w:t>
      </w:r>
      <w:r>
        <w:rPr>
          <w:rFonts w:ascii="微软雅黑" w:hAnsi="微软雅黑" w:eastAsia="微软雅黑" w:cs="微软雅黑"/>
          <w:color w:val="231F20"/>
          <w:spacing w:val="58"/>
          <w:sz w:val="22"/>
          <w:szCs w:val="22"/>
        </w:rPr>
        <w:t xml:space="preserve"> </w:t>
      </w:r>
      <w:r>
        <w:rPr>
          <w:rFonts w:ascii="微软雅黑" w:hAnsi="微软雅黑" w:eastAsia="微软雅黑" w:cs="微软雅黑"/>
          <w:color w:val="231F20"/>
          <w:spacing w:val="1"/>
          <w:sz w:val="22"/>
          <w:szCs w:val="22"/>
        </w:rPr>
        <w:t>为打通行内横向业务链和纵向</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管控奠定数据基础。</w:t>
      </w:r>
      <w:r>
        <w:rPr>
          <w:rFonts w:ascii="微软雅黑" w:hAnsi="微软雅黑" w:eastAsia="微软雅黑" w:cs="微软雅黑"/>
          <w:color w:val="231F20"/>
          <w:spacing w:val="-23"/>
          <w:sz w:val="22"/>
          <w:szCs w:val="22"/>
        </w:rPr>
        <w:t xml:space="preserve"> </w:t>
      </w:r>
      <w:r>
        <w:rPr>
          <w:rFonts w:ascii="微软雅黑" w:hAnsi="微软雅黑" w:eastAsia="微软雅黑" w:cs="微软雅黑"/>
          <w:color w:val="231F20"/>
          <w:spacing w:val="1"/>
          <w:sz w:val="22"/>
          <w:szCs w:val="22"/>
        </w:rPr>
        <w:t>首先，识别业务领域的关键数据作为主数据管理</w:t>
      </w:r>
      <w:r>
        <w:rPr>
          <w:rFonts w:ascii="微软雅黑" w:hAnsi="微软雅黑" w:eastAsia="微软雅黑" w:cs="微软雅黑"/>
          <w:color w:val="231F20"/>
          <w:sz w:val="22"/>
          <w:szCs w:val="22"/>
        </w:rPr>
        <w:t>范围，</w:t>
      </w:r>
      <w:r>
        <w:rPr>
          <w:rFonts w:ascii="微软雅黑" w:hAnsi="微软雅黑" w:eastAsia="微软雅黑" w:cs="微软雅黑"/>
          <w:color w:val="231F20"/>
          <w:spacing w:val="28"/>
          <w:sz w:val="22"/>
          <w:szCs w:val="22"/>
        </w:rPr>
        <w:t xml:space="preserve"> </w:t>
      </w:r>
      <w:r>
        <w:rPr>
          <w:rFonts w:ascii="微软雅黑" w:hAnsi="微软雅黑" w:eastAsia="微软雅黑" w:cs="微软雅黑"/>
          <w:color w:val="231F20"/>
          <w:sz w:val="22"/>
          <w:szCs w:val="22"/>
        </w:rPr>
        <w:t xml:space="preserve">涵盖客户、员工、机  </w:t>
      </w:r>
      <w:r>
        <w:rPr>
          <w:rFonts w:ascii="微软雅黑" w:hAnsi="微软雅黑" w:eastAsia="微软雅黑" w:cs="微软雅黑"/>
          <w:color w:val="231F20"/>
          <w:spacing w:val="1"/>
          <w:sz w:val="22"/>
          <w:szCs w:val="22"/>
        </w:rPr>
        <w:t>构、借据、存单、票据、押品等主题的主数据信息项。  其</w:t>
      </w:r>
      <w:r>
        <w:rPr>
          <w:rFonts w:ascii="微软雅黑" w:hAnsi="微软雅黑" w:eastAsia="微软雅黑" w:cs="微软雅黑"/>
          <w:color w:val="231F20"/>
          <w:sz w:val="22"/>
          <w:szCs w:val="22"/>
        </w:rPr>
        <w:t xml:space="preserve">次，明确主数据系统及责任部门，建立  </w:t>
      </w:r>
      <w:r>
        <w:rPr>
          <w:rFonts w:ascii="微软雅黑" w:hAnsi="微软雅黑" w:eastAsia="微软雅黑" w:cs="微软雅黑"/>
          <w:color w:val="231F20"/>
          <w:spacing w:val="9"/>
          <w:sz w:val="22"/>
          <w:szCs w:val="22"/>
        </w:rPr>
        <w:t>主从关系矩阵（</w:t>
      </w:r>
      <w:r>
        <w:rPr>
          <w:rFonts w:ascii="微软雅黑" w:hAnsi="微软雅黑" w:eastAsia="微软雅黑" w:cs="微软雅黑"/>
          <w:color w:val="231F20"/>
          <w:sz w:val="22"/>
          <w:szCs w:val="22"/>
        </w:rPr>
        <w:t>MSL</w:t>
      </w:r>
      <w:r>
        <w:rPr>
          <w:rFonts w:ascii="微软雅黑" w:hAnsi="微软雅黑" w:eastAsia="微软雅黑" w:cs="微软雅黑"/>
          <w:color w:val="231F20"/>
          <w:spacing w:val="9"/>
          <w:sz w:val="22"/>
          <w:szCs w:val="22"/>
        </w:rPr>
        <w:t>，</w:t>
      </w:r>
      <w:r>
        <w:rPr>
          <w:rFonts w:ascii="微软雅黑" w:hAnsi="微软雅黑" w:eastAsia="微软雅黑" w:cs="微软雅黑"/>
          <w:color w:val="231F20"/>
          <w:sz w:val="22"/>
          <w:szCs w:val="22"/>
        </w:rPr>
        <w:t>Master</w:t>
      </w:r>
      <w:r>
        <w:rPr>
          <w:rFonts w:ascii="微软雅黑" w:hAnsi="微软雅黑" w:eastAsia="微软雅黑" w:cs="微软雅黑"/>
          <w:color w:val="231F20"/>
          <w:spacing w:val="22"/>
          <w:sz w:val="22"/>
          <w:szCs w:val="22"/>
        </w:rPr>
        <w:t xml:space="preserve"> </w:t>
      </w:r>
      <w:r>
        <w:rPr>
          <w:rFonts w:ascii="微软雅黑" w:hAnsi="微软雅黑" w:eastAsia="微软雅黑" w:cs="微软雅黑"/>
          <w:color w:val="231F20"/>
          <w:sz w:val="22"/>
          <w:szCs w:val="22"/>
        </w:rPr>
        <w:t>Slave</w:t>
      </w:r>
      <w:r>
        <w:rPr>
          <w:rFonts w:ascii="微软雅黑" w:hAnsi="微软雅黑" w:eastAsia="微软雅黑" w:cs="微软雅黑"/>
          <w:color w:val="231F20"/>
          <w:spacing w:val="33"/>
          <w:sz w:val="22"/>
          <w:szCs w:val="22"/>
        </w:rPr>
        <w:t xml:space="preserve"> </w:t>
      </w:r>
      <w:r>
        <w:rPr>
          <w:rFonts w:ascii="微软雅黑" w:hAnsi="微软雅黑" w:eastAsia="微软雅黑" w:cs="微软雅黑"/>
          <w:color w:val="231F20"/>
          <w:sz w:val="22"/>
          <w:szCs w:val="22"/>
        </w:rPr>
        <w:t>Linkage</w:t>
      </w:r>
      <w:r>
        <w:rPr>
          <w:rFonts w:ascii="微软雅黑" w:hAnsi="微软雅黑" w:eastAsia="微软雅黑" w:cs="微软雅黑"/>
          <w:color w:val="231F20"/>
          <w:spacing w:val="13"/>
          <w:sz w:val="22"/>
          <w:szCs w:val="22"/>
        </w:rPr>
        <w:t>），</w:t>
      </w:r>
      <w:r>
        <w:rPr>
          <w:rFonts w:ascii="微软雅黑" w:hAnsi="微软雅黑" w:eastAsia="微软雅黑" w:cs="微软雅黑"/>
          <w:color w:val="231F20"/>
          <w:spacing w:val="9"/>
          <w:sz w:val="22"/>
          <w:szCs w:val="22"/>
        </w:rPr>
        <w:t>明确包括主从属性、同步方式、同步时间、</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调研系统涉及表及字段等信息， 作为梳理全行数据资产目录的入口。 最后，</w:t>
      </w:r>
      <w:r>
        <w:rPr>
          <w:rFonts w:ascii="微软雅黑" w:hAnsi="微软雅黑" w:eastAsia="微软雅黑" w:cs="微软雅黑"/>
          <w:color w:val="231F20"/>
          <w:sz w:val="22"/>
          <w:szCs w:val="22"/>
        </w:rPr>
        <w:t>按照先主数据系统后  周边系统、先增量后存量的方式， 逐个推进</w:t>
      </w:r>
      <w:r>
        <w:rPr>
          <w:rFonts w:ascii="微软雅黑" w:hAnsi="微软雅黑" w:eastAsia="微软雅黑" w:cs="微软雅黑"/>
          <w:color w:val="231F20"/>
          <w:spacing w:val="-1"/>
          <w:sz w:val="22"/>
          <w:szCs w:val="22"/>
        </w:rPr>
        <w:t>周边系统与主数据系统信息项的一致性及标准化治理。</w:t>
      </w:r>
    </w:p>
    <w:p w14:paraId="4E92926C">
      <w:pPr>
        <w:pStyle w:val="2"/>
        <w:spacing w:line="352" w:lineRule="auto"/>
      </w:pPr>
    </w:p>
    <w:p w14:paraId="23113960">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8"/>
          <w:sz w:val="28"/>
          <w:szCs w:val="28"/>
        </w:rPr>
        <w:t>( 五 )</w:t>
      </w:r>
      <w:r>
        <w:rPr>
          <w:rFonts w:ascii="微软雅黑" w:hAnsi="微软雅黑" w:eastAsia="微软雅黑" w:cs="微软雅黑"/>
          <w:color w:val="648676"/>
          <w:spacing w:val="30"/>
          <w:sz w:val="28"/>
          <w:szCs w:val="28"/>
        </w:rPr>
        <w:t xml:space="preserve"> </w:t>
      </w:r>
      <w:r>
        <w:rPr>
          <w:rFonts w:ascii="微软雅黑" w:hAnsi="微软雅黑" w:eastAsia="微软雅黑" w:cs="微软雅黑"/>
          <w:color w:val="648676"/>
          <w:spacing w:val="8"/>
          <w:sz w:val="28"/>
          <w:szCs w:val="28"/>
        </w:rPr>
        <w:t>数据安全管理</w:t>
      </w:r>
    </w:p>
    <w:p w14:paraId="1F9B5A36">
      <w:pPr>
        <w:pStyle w:val="2"/>
        <w:spacing w:line="409" w:lineRule="auto"/>
      </w:pPr>
    </w:p>
    <w:p w14:paraId="4C38E429">
      <w:pPr>
        <w:spacing w:before="95" w:line="290" w:lineRule="auto"/>
        <w:ind w:left="247" w:right="96"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数据安全是指通过采取必要措施，确保数据处于有效保护和合法利用的状态，以及具备保障</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持续安全状态的能力</w:t>
      </w:r>
      <w:r>
        <w:rPr>
          <w:rFonts w:ascii="微软雅黑" w:hAnsi="微软雅黑" w:eastAsia="微软雅黑" w:cs="微软雅黑"/>
          <w:color w:val="231F20"/>
          <w:spacing w:val="57"/>
          <w:w w:val="101"/>
          <w:sz w:val="22"/>
          <w:szCs w:val="22"/>
        </w:rPr>
        <w:t xml:space="preserve"> </w:t>
      </w:r>
      <w:r>
        <w:rPr>
          <w:rFonts w:ascii="微软雅黑" w:hAnsi="微软雅黑" w:eastAsia="微软雅黑" w:cs="微软雅黑"/>
          <w:color w:val="231F20"/>
          <w:spacing w:val="1"/>
          <w:sz w:val="22"/>
          <w:szCs w:val="22"/>
        </w:rPr>
        <w:t>。数据安全管理是指在组织数据安全战略的指导下，为确保数据处于有效保</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护和合法利用的状态，多个部门协作实施的一系列活动集合。包括建立组织数据安全治</w:t>
      </w:r>
      <w:r>
        <w:rPr>
          <w:rFonts w:ascii="微软雅黑" w:hAnsi="微软雅黑" w:eastAsia="微软雅黑" w:cs="微软雅黑"/>
          <w:color w:val="231F20"/>
          <w:spacing w:val="3"/>
          <w:sz w:val="22"/>
          <w:szCs w:val="22"/>
        </w:rPr>
        <w:t>理团队，</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制定数据安全相关制度规范，构建数据安全技术体系，建设数据安全人才梯队等。</w:t>
      </w:r>
    </w:p>
    <w:p w14:paraId="708B48A1">
      <w:pPr>
        <w:pStyle w:val="2"/>
        <w:spacing w:line="392" w:lineRule="auto"/>
      </w:pPr>
    </w:p>
    <w:p w14:paraId="637D66F5">
      <w:pPr>
        <w:spacing w:before="94" w:line="178" w:lineRule="auto"/>
        <w:ind w:left="728"/>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数据安全管理的关键活动包括：</w:t>
      </w:r>
    </w:p>
    <w:p w14:paraId="4F061056">
      <w:pPr>
        <w:spacing w:before="166" w:line="288" w:lineRule="auto"/>
        <w:ind w:left="247" w:right="96" w:firstLine="571"/>
        <w:rPr>
          <w:rFonts w:ascii="微软雅黑" w:hAnsi="微软雅黑" w:eastAsia="微软雅黑" w:cs="微软雅黑"/>
          <w:sz w:val="22"/>
          <w:szCs w:val="22"/>
        </w:rPr>
      </w:pPr>
      <w:r>
        <w:rPr>
          <w:rFonts w:ascii="微软雅黑" w:hAnsi="微软雅黑" w:eastAsia="微软雅黑" w:cs="微软雅黑"/>
          <w:color w:val="231F20"/>
          <w:spacing w:val="10"/>
          <w:sz w:val="22"/>
          <w:szCs w:val="22"/>
        </w:rPr>
        <w:t>·</w:t>
      </w:r>
      <w:r>
        <w:rPr>
          <w:rFonts w:ascii="微软雅黑" w:hAnsi="微软雅黑" w:eastAsia="微软雅黑" w:cs="微软雅黑"/>
          <w:color w:val="231F20"/>
          <w:spacing w:val="-43"/>
          <w:sz w:val="22"/>
          <w:szCs w:val="22"/>
        </w:rPr>
        <w:t xml:space="preserve"> </w:t>
      </w:r>
      <w:r>
        <w:rPr>
          <w:rFonts w:ascii="微软雅黑" w:hAnsi="微软雅黑" w:eastAsia="微软雅黑" w:cs="微软雅黑"/>
          <w:color w:val="231F20"/>
          <w:spacing w:val="10"/>
          <w:sz w:val="22"/>
          <w:szCs w:val="22"/>
        </w:rPr>
        <w:t>数据安全管理计划：理解组织内外部数据安全需求与监管要求；制定数据安全管理制度</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体系，包括数据安全工作的基本原则、数据安全管理规则和程序、内外部协调机</w:t>
      </w:r>
      <w:r>
        <w:rPr>
          <w:rFonts w:ascii="微软雅黑" w:hAnsi="微软雅黑" w:eastAsia="微软雅黑" w:cs="微软雅黑"/>
          <w:color w:val="231F20"/>
          <w:sz w:val="22"/>
          <w:szCs w:val="22"/>
        </w:rPr>
        <w:t xml:space="preserve">制等，  并且明确 </w:t>
      </w:r>
      <w:r>
        <w:rPr>
          <w:rFonts w:ascii="微软雅黑" w:hAnsi="微软雅黑" w:eastAsia="微软雅黑" w:cs="微软雅黑"/>
          <w:color w:val="231F20"/>
          <w:spacing w:val="1"/>
          <w:sz w:val="22"/>
          <w:szCs w:val="22"/>
        </w:rPr>
        <w:t>个人信息保护管理制度（包括处理规则、合规审计制度、跨境传输安全评估体系等</w:t>
      </w:r>
      <w:r>
        <w:rPr>
          <w:rFonts w:ascii="微软雅黑" w:hAnsi="微软雅黑" w:eastAsia="微软雅黑" w:cs="微软雅黑"/>
          <w:color w:val="231F20"/>
          <w:spacing w:val="-6"/>
          <w:sz w:val="22"/>
          <w:szCs w:val="22"/>
        </w:rPr>
        <w:t>）</w:t>
      </w:r>
      <w:r>
        <w:rPr>
          <w:rFonts w:ascii="微软雅黑" w:hAnsi="微软雅黑" w:eastAsia="微软雅黑" w:cs="微软雅黑"/>
          <w:color w:val="231F20"/>
          <w:spacing w:val="3"/>
          <w:sz w:val="22"/>
          <w:szCs w:val="22"/>
        </w:rPr>
        <w:t xml:space="preserve">  </w:t>
      </w:r>
      <w:r>
        <w:rPr>
          <w:rFonts w:ascii="微软雅黑" w:hAnsi="微软雅黑" w:eastAsia="微软雅黑" w:cs="微软雅黑"/>
          <w:color w:val="231F20"/>
          <w:spacing w:val="-6"/>
          <w:sz w:val="22"/>
          <w:szCs w:val="22"/>
        </w:rPr>
        <w:t>；</w:t>
      </w:r>
      <w:r>
        <w:rPr>
          <w:rFonts w:ascii="微软雅黑" w:hAnsi="微软雅黑" w:eastAsia="微软雅黑" w:cs="微软雅黑"/>
          <w:color w:val="231F20"/>
          <w:spacing w:val="1"/>
          <w:sz w:val="22"/>
          <w:szCs w:val="22"/>
        </w:rPr>
        <w:t>定义并发</w:t>
      </w:r>
    </w:p>
    <w:p w14:paraId="6290DFB8">
      <w:pPr>
        <w:pStyle w:val="2"/>
        <w:spacing w:line="281" w:lineRule="auto"/>
      </w:pPr>
    </w:p>
    <w:p w14:paraId="5A8B02FD">
      <w:pPr>
        <w:spacing w:before="79" w:line="212" w:lineRule="auto"/>
        <w:ind w:left="5513"/>
        <w:rPr>
          <w:rFonts w:hint="eastAsia" w:ascii="宋体" w:hAnsi="宋体" w:eastAsia="宋体" w:cs="宋体"/>
          <w:sz w:val="24"/>
          <w:szCs w:val="24"/>
          <w:lang w:eastAsia="zh-CN"/>
        </w:rPr>
      </w:pPr>
      <w:r>
        <w:pict>
          <v:shape id="_x0000_s1094" o:spid="_x0000_s1094" o:spt="202" type="#_x0000_t202" style="position:absolute;left:0pt;margin-left:241.9pt;margin-top:-1.75pt;height:11.3pt;width:12.05pt;z-index:251746304;mso-width-relative:page;mso-height-relative:page;" filled="f" stroked="f" coordsize="21600,21600">
            <v:path/>
            <v:fill on="f" focussize="0,0"/>
            <v:stroke on="f"/>
            <v:imagedata o:title=""/>
            <o:lock v:ext="edit" aspectratio="f"/>
            <v:textbox inset="0mm,0mm,0mm,0mm">
              <w:txbxContent>
                <w:p w14:paraId="2CC7177C">
                  <w:pPr>
                    <w:pStyle w:val="2"/>
                    <w:spacing w:before="20" w:line="194" w:lineRule="auto"/>
                    <w:ind w:left="20"/>
                    <w:rPr>
                      <w:sz w:val="20"/>
                      <w:szCs w:val="20"/>
                    </w:rPr>
                  </w:pPr>
                  <w:r>
                    <w:rPr>
                      <w:color w:val="231F20"/>
                      <w:spacing w:val="-6"/>
                      <w:sz w:val="20"/>
                      <w:szCs w:val="20"/>
                    </w:rPr>
                    <w:t>15</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52DD004D">
      <w:pPr>
        <w:spacing w:line="212" w:lineRule="auto"/>
        <w:rPr>
          <w:rFonts w:ascii="宋体" w:hAnsi="宋体" w:eastAsia="宋体" w:cs="宋体"/>
          <w:sz w:val="24"/>
          <w:szCs w:val="24"/>
        </w:rPr>
        <w:sectPr>
          <w:pgSz w:w="11906" w:h="16158"/>
          <w:pgMar w:top="400" w:right="1150" w:bottom="400" w:left="1004" w:header="0" w:footer="0" w:gutter="0"/>
          <w:cols w:space="720" w:num="1"/>
        </w:sectPr>
      </w:pPr>
    </w:p>
    <w:p w14:paraId="0BCBBA6E">
      <w:pPr>
        <w:pStyle w:val="2"/>
        <w:spacing w:line="349" w:lineRule="auto"/>
      </w:pPr>
    </w:p>
    <w:p w14:paraId="25500F2F">
      <w:pPr>
        <w:pStyle w:val="2"/>
        <w:spacing w:line="350" w:lineRule="auto"/>
      </w:pPr>
    </w:p>
    <w:p w14:paraId="0239AED8">
      <w:pPr>
        <w:spacing w:before="80" w:line="182" w:lineRule="auto"/>
        <w:rPr>
          <w:rFonts w:ascii="Segoe UI" w:hAnsi="Segoe UI" w:eastAsia="Segoe UI" w:cs="Segoe UI"/>
          <w:sz w:val="24"/>
          <w:szCs w:val="24"/>
        </w:rPr>
      </w:pPr>
      <w:bookmarkStart w:id="35" w:name="bookmark35"/>
      <w:bookmarkEnd w:id="35"/>
      <w:r>
        <w:rPr>
          <w:rFonts w:ascii="Segoe UI" w:hAnsi="Segoe UI" w:eastAsia="Segoe UI" w:cs="Segoe UI"/>
          <w:b/>
          <w:bCs/>
          <w:color w:val="648676"/>
          <w:spacing w:val="27"/>
          <w:w w:val="110"/>
          <w:sz w:val="24"/>
          <w:szCs w:val="24"/>
        </w:rPr>
        <w:t>CHAPTER -2</w:t>
      </w:r>
    </w:p>
    <w:p w14:paraId="2433062E">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2B67F159">
      <w:pPr>
        <w:pStyle w:val="2"/>
        <w:spacing w:line="292" w:lineRule="auto"/>
      </w:pPr>
    </w:p>
    <w:p w14:paraId="03CD296F">
      <w:pPr>
        <w:pStyle w:val="2"/>
        <w:spacing w:line="292" w:lineRule="auto"/>
      </w:pPr>
    </w:p>
    <w:p w14:paraId="00CD0138">
      <w:pPr>
        <w:pStyle w:val="2"/>
        <w:spacing w:line="293" w:lineRule="auto"/>
      </w:pPr>
    </w:p>
    <w:p w14:paraId="31D11119">
      <w:pPr>
        <w:spacing w:before="95" w:line="206" w:lineRule="auto"/>
        <w:ind w:left="249"/>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布数据分类分级标准规范；</w:t>
      </w:r>
    </w:p>
    <w:p w14:paraId="33DD7B46">
      <w:pPr>
        <w:spacing w:before="134" w:line="288" w:lineRule="auto"/>
        <w:ind w:left="248" w:right="7" w:firstLine="569"/>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w:t>
      </w:r>
      <w:r>
        <w:rPr>
          <w:rFonts w:ascii="微软雅黑" w:hAnsi="微软雅黑" w:eastAsia="微软雅黑" w:cs="微软雅黑"/>
          <w:color w:val="231F20"/>
          <w:spacing w:val="-29"/>
          <w:sz w:val="22"/>
          <w:szCs w:val="22"/>
        </w:rPr>
        <w:t xml:space="preserve"> </w:t>
      </w:r>
      <w:r>
        <w:rPr>
          <w:rFonts w:ascii="微软雅黑" w:hAnsi="微软雅黑" w:eastAsia="微软雅黑" w:cs="微软雅黑"/>
          <w:color w:val="231F20"/>
          <w:spacing w:val="4"/>
          <w:sz w:val="22"/>
          <w:szCs w:val="22"/>
        </w:rPr>
        <w:t>数据安全管理执行：依托平台工具，识别敏感数据，应用数据安全分类分级标准规范；根</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据数据的敏感级别，部署相应的数据安全防控系统或工具（如权限管控、数据脱敏、数据防泄露、</w:t>
      </w:r>
      <w:r>
        <w:rPr>
          <w:rFonts w:ascii="微软雅黑" w:hAnsi="微软雅黑" w:eastAsia="微软雅黑" w:cs="微软雅黑"/>
          <w:color w:val="231F20"/>
          <w:spacing w:val="5"/>
          <w:sz w:val="22"/>
          <w:szCs w:val="22"/>
        </w:rPr>
        <w:t xml:space="preserve"> </w:t>
      </w:r>
      <w:r>
        <w:rPr>
          <w:rFonts w:ascii="微软雅黑" w:hAnsi="微软雅黑" w:eastAsia="微软雅黑" w:cs="微软雅黑"/>
          <w:color w:val="231F20"/>
          <w:spacing w:val="-8"/>
          <w:sz w:val="22"/>
          <w:szCs w:val="22"/>
        </w:rPr>
        <w:t>安全审计等</w:t>
      </w:r>
      <w:r>
        <w:rPr>
          <w:rFonts w:ascii="微软雅黑" w:hAnsi="微软雅黑" w:eastAsia="微软雅黑" w:cs="微软雅黑"/>
          <w:color w:val="231F20"/>
          <w:spacing w:val="-3"/>
          <w:sz w:val="22"/>
          <w:szCs w:val="22"/>
        </w:rPr>
        <w:t>）；</w:t>
      </w:r>
    </w:p>
    <w:p w14:paraId="7C7311A7">
      <w:pPr>
        <w:spacing w:before="23" w:line="287" w:lineRule="auto"/>
        <w:ind w:left="247" w:right="8" w:firstLine="571"/>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w:t>
      </w:r>
      <w:r>
        <w:rPr>
          <w:rFonts w:ascii="微软雅黑" w:hAnsi="微软雅黑" w:eastAsia="微软雅黑" w:cs="微软雅黑"/>
          <w:color w:val="231F20"/>
          <w:spacing w:val="-30"/>
          <w:sz w:val="22"/>
          <w:szCs w:val="22"/>
        </w:rPr>
        <w:t xml:space="preserve"> </w:t>
      </w:r>
      <w:r>
        <w:rPr>
          <w:rFonts w:ascii="微软雅黑" w:hAnsi="微软雅黑" w:eastAsia="微软雅黑" w:cs="微软雅黑"/>
          <w:color w:val="231F20"/>
          <w:spacing w:val="4"/>
          <w:sz w:val="22"/>
          <w:szCs w:val="22"/>
        </w:rPr>
        <w:t>数据安全管理检查：监控数据在采集、存储、传输、加工、使用等环节的安全、隐私及合</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规状况等；组织进行内外部数据安全审计；</w:t>
      </w:r>
    </w:p>
    <w:p w14:paraId="448B060B">
      <w:pPr>
        <w:spacing w:before="17" w:line="287" w:lineRule="auto"/>
        <w:ind w:left="247" w:right="27" w:firstLine="570"/>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·数据安全管理改进：总结数据安全问题与风险，评估数据安全管理相关标准规范的适</w:t>
      </w:r>
      <w:r>
        <w:rPr>
          <w:rFonts w:ascii="微软雅黑" w:hAnsi="微软雅黑" w:eastAsia="微软雅黑" w:cs="微软雅黑"/>
          <w:color w:val="231F20"/>
          <w:spacing w:val="-2"/>
          <w:sz w:val="22"/>
          <w:szCs w:val="22"/>
        </w:rPr>
        <w:t>用性、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有效性，持续优化数据安全管理过程。</w:t>
      </w:r>
    </w:p>
    <w:p w14:paraId="69F819B8">
      <w:pPr>
        <w:spacing w:before="16" w:line="291" w:lineRule="auto"/>
        <w:ind w:left="247" w:firstLine="481"/>
        <w:jc w:val="both"/>
        <w:rPr>
          <w:rFonts w:ascii="微软雅黑" w:hAnsi="微软雅黑" w:eastAsia="微软雅黑" w:cs="微软雅黑"/>
          <w:sz w:val="22"/>
          <w:szCs w:val="22"/>
        </w:rPr>
      </w:pPr>
      <w:r>
        <w:rPr>
          <w:rFonts w:ascii="微软雅黑" w:hAnsi="微软雅黑" w:eastAsia="微软雅黑" w:cs="微软雅黑"/>
          <w:color w:val="231F20"/>
          <w:spacing w:val="-6"/>
          <w:sz w:val="22"/>
          <w:szCs w:val="22"/>
        </w:rPr>
        <w:t>数据安全分类分级成为数据安全管理的基础性、关键性工作。《数据安全法》第</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6"/>
          <w:sz w:val="22"/>
          <w:szCs w:val="22"/>
        </w:rPr>
        <w:t>21</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pacing w:val="-6"/>
          <w:sz w:val="22"/>
          <w:szCs w:val="22"/>
        </w:rPr>
        <w:t>条明确“国</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家建立数据分类分级保护制度”，在国家层面明确了数据安全</w:t>
      </w:r>
      <w:r>
        <w:rPr>
          <w:rFonts w:ascii="微软雅黑" w:hAnsi="微软雅黑" w:eastAsia="微软雅黑" w:cs="微软雅黑"/>
          <w:color w:val="231F20"/>
          <w:spacing w:val="3"/>
          <w:sz w:val="22"/>
          <w:szCs w:val="22"/>
        </w:rPr>
        <w:t>分类分级对于建立数据安全制度的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重要性。此外，金融、证券、工业、电信等行业纷纷出台相应的数据分类分级指南，</w:t>
      </w:r>
      <w:r>
        <w:rPr>
          <w:rFonts w:ascii="微软雅黑" w:hAnsi="微软雅黑" w:eastAsia="微软雅黑" w:cs="微软雅黑"/>
          <w:color w:val="231F20"/>
          <w:spacing w:val="-26"/>
          <w:sz w:val="22"/>
          <w:szCs w:val="22"/>
        </w:rPr>
        <w:t xml:space="preserve"> </w:t>
      </w:r>
      <w:r>
        <w:rPr>
          <w:rFonts w:ascii="微软雅黑" w:hAnsi="微软雅黑" w:eastAsia="微软雅黑" w:cs="微软雅黑"/>
          <w:color w:val="231F20"/>
          <w:spacing w:val="3"/>
          <w:sz w:val="22"/>
          <w:szCs w:val="22"/>
        </w:rPr>
        <w:t>以数据资产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分类为基础，结合敏感数据分级规则，形成数据资产安全分类分</w:t>
      </w:r>
      <w:r>
        <w:rPr>
          <w:rFonts w:ascii="微软雅黑" w:hAnsi="微软雅黑" w:eastAsia="微软雅黑" w:cs="微软雅黑"/>
          <w:color w:val="231F20"/>
          <w:spacing w:val="1"/>
          <w:sz w:val="22"/>
          <w:szCs w:val="22"/>
        </w:rPr>
        <w:t>级标准。《政府数据</w:t>
      </w:r>
      <w:r>
        <w:rPr>
          <w:rFonts w:ascii="微软雅黑" w:hAnsi="微软雅黑" w:eastAsia="微软雅黑" w:cs="微软雅黑"/>
          <w:color w:val="231F20"/>
          <w:spacing w:val="30"/>
          <w:sz w:val="22"/>
          <w:szCs w:val="22"/>
        </w:rPr>
        <w:t xml:space="preserve"> </w:t>
      </w:r>
      <w:r>
        <w:rPr>
          <w:rFonts w:ascii="微软雅黑" w:hAnsi="微软雅黑" w:eastAsia="微软雅黑" w:cs="微软雅黑"/>
          <w:color w:val="231F20"/>
          <w:spacing w:val="1"/>
          <w:sz w:val="22"/>
          <w:szCs w:val="22"/>
        </w:rPr>
        <w:t>数据分类分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级指南》（</w:t>
      </w:r>
      <w:r>
        <w:rPr>
          <w:rFonts w:ascii="微软雅黑" w:hAnsi="微软雅黑" w:eastAsia="微软雅黑" w:cs="微软雅黑"/>
          <w:color w:val="231F20"/>
          <w:sz w:val="22"/>
          <w:szCs w:val="22"/>
        </w:rPr>
        <w:t>DB</w:t>
      </w:r>
      <w:r>
        <w:rPr>
          <w:rFonts w:ascii="微软雅黑" w:hAnsi="微软雅黑" w:eastAsia="微软雅黑" w:cs="微软雅黑"/>
          <w:color w:val="231F20"/>
          <w:spacing w:val="36"/>
          <w:sz w:val="22"/>
          <w:szCs w:val="22"/>
        </w:rPr>
        <w:t xml:space="preserve"> </w:t>
      </w:r>
      <w:r>
        <w:rPr>
          <w:rFonts w:ascii="微软雅黑" w:hAnsi="微软雅黑" w:eastAsia="微软雅黑" w:cs="微软雅黑"/>
          <w:color w:val="231F20"/>
          <w:spacing w:val="1"/>
          <w:sz w:val="22"/>
          <w:szCs w:val="22"/>
        </w:rPr>
        <w:t>52/T</w:t>
      </w:r>
      <w:r>
        <w:rPr>
          <w:rFonts w:ascii="微软雅黑" w:hAnsi="微软雅黑" w:eastAsia="微软雅黑" w:cs="微软雅黑"/>
          <w:color w:val="231F20"/>
          <w:spacing w:val="22"/>
          <w:w w:val="101"/>
          <w:sz w:val="22"/>
          <w:szCs w:val="22"/>
        </w:rPr>
        <w:t xml:space="preserve"> </w:t>
      </w:r>
      <w:r>
        <w:rPr>
          <w:rFonts w:ascii="微软雅黑" w:hAnsi="微软雅黑" w:eastAsia="微软雅黑" w:cs="微软雅黑"/>
          <w:color w:val="231F20"/>
          <w:spacing w:val="1"/>
          <w:sz w:val="22"/>
          <w:szCs w:val="22"/>
        </w:rPr>
        <w:t>1123-2016）按照科学性、稳定性、实用性、扩展性的分类原则，将政务数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据划分为主题、行业、服务三种类型，同时，将数据敏感程度划分为非敏感数据、涉及用户隐私</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数据、涉及国家秘密数据三类，形成不同数据资产类型下的数据等级管控要求。</w:t>
      </w:r>
    </w:p>
    <w:p w14:paraId="6339F861">
      <w:pPr>
        <w:pStyle w:val="2"/>
        <w:spacing w:line="409" w:lineRule="auto"/>
      </w:pPr>
    </w:p>
    <w:p w14:paraId="471A6607">
      <w:pPr>
        <w:spacing w:before="82" w:line="190" w:lineRule="exact"/>
        <w:ind w:left="2497"/>
        <w:rPr>
          <w:rFonts w:ascii="微软雅黑" w:hAnsi="微软雅黑" w:eastAsia="微软雅黑" w:cs="微软雅黑"/>
          <w:sz w:val="19"/>
          <w:szCs w:val="19"/>
        </w:rPr>
      </w:pPr>
      <w:r>
        <w:drawing>
          <wp:anchor distT="0" distB="0" distL="0" distR="0" simplePos="0" relativeHeight="251747328" behindDoc="0" locked="0" layoutInCell="1" allowOverlap="1">
            <wp:simplePos x="0" y="0"/>
            <wp:positionH relativeFrom="column">
              <wp:posOffset>4079240</wp:posOffset>
            </wp:positionH>
            <wp:positionV relativeFrom="paragraph">
              <wp:posOffset>254635</wp:posOffset>
            </wp:positionV>
            <wp:extent cx="2051685" cy="1228725"/>
            <wp:effectExtent l="0" t="0" r="0" b="0"/>
            <wp:wrapNone/>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63"/>
                    <a:stretch>
                      <a:fillRect/>
                    </a:stretch>
                  </pic:blipFill>
                  <pic:spPr>
                    <a:xfrm>
                      <a:off x="0" y="0"/>
                      <a:ext cx="2051376" cy="1228547"/>
                    </a:xfrm>
                    <a:prstGeom prst="rect">
                      <a:avLst/>
                    </a:prstGeom>
                  </pic:spPr>
                </pic:pic>
              </a:graphicData>
            </a:graphic>
          </wp:anchor>
        </w:drawing>
      </w:r>
      <w:r>
        <w:rPr>
          <w:rFonts w:ascii="微软雅黑" w:hAnsi="微软雅黑" w:eastAsia="微软雅黑" w:cs="微软雅黑"/>
          <w:spacing w:val="3"/>
          <w:position w:val="-1"/>
          <w:sz w:val="19"/>
          <w:szCs w:val="19"/>
        </w:rPr>
        <w:t>数据安全分类分级流程                                                  数</w:t>
      </w:r>
      <w:r>
        <w:rPr>
          <w:rFonts w:ascii="微软雅黑" w:hAnsi="微软雅黑" w:eastAsia="微软雅黑" w:cs="微软雅黑"/>
          <w:spacing w:val="2"/>
          <w:position w:val="-1"/>
          <w:sz w:val="19"/>
          <w:szCs w:val="19"/>
        </w:rPr>
        <w:t>据安全分类分级结果</w:t>
      </w:r>
    </w:p>
    <w:p w14:paraId="63B1A4D4">
      <w:pPr>
        <w:spacing w:before="161" w:line="65" w:lineRule="exact"/>
        <w:ind w:firstLine="242"/>
      </w:pPr>
      <w:r>
        <w:pict>
          <v:shape id="_x0000_s1095" o:spid="_x0000_s1095" o:spt="202" type="#_x0000_t202" style="position:absolute;left:0pt;margin-left:144.5pt;margin-top:16.7pt;height:20pt;width:62.7pt;z-index:251751424;mso-width-relative:page;mso-height-relative:page;" fillcolor="#C4D4CC" filled="t" stroked="f" coordsize="21600,21600">
            <v:path/>
            <v:fill on="t" opacity="64251f" focussize="0,0"/>
            <v:stroke on="f"/>
            <v:imagedata o:title=""/>
            <o:lock v:ext="edit" aspectratio="f"/>
            <v:textbox inset="0mm,0mm,0mm,0mm">
              <w:txbxContent>
                <w:p w14:paraId="389F124F">
                  <w:pPr>
                    <w:spacing w:before="114" w:line="167" w:lineRule="exact"/>
                    <w:ind w:left="284"/>
                    <w:rPr>
                      <w:rFonts w:ascii="微软雅黑" w:hAnsi="微软雅黑" w:eastAsia="微软雅黑" w:cs="微软雅黑"/>
                      <w:sz w:val="16"/>
                      <w:szCs w:val="16"/>
                    </w:rPr>
                  </w:pPr>
                  <w:r>
                    <w:rPr>
                      <w:rFonts w:ascii="微软雅黑" w:hAnsi="微软雅黑" w:eastAsia="微软雅黑" w:cs="微软雅黑"/>
                      <w:color w:val="638778"/>
                      <w:spacing w:val="11"/>
                      <w:position w:val="-1"/>
                      <w:sz w:val="16"/>
                      <w:szCs w:val="16"/>
                    </w:rPr>
                    <w:t>业务流程</w:t>
                  </w:r>
                </w:p>
              </w:txbxContent>
            </v:textbox>
          </v:shape>
        </w:pict>
      </w:r>
      <w:r>
        <w:drawing>
          <wp:anchor distT="0" distB="0" distL="0" distR="0" simplePos="0" relativeHeight="251752448" behindDoc="0" locked="0" layoutInCell="1" allowOverlap="1">
            <wp:simplePos x="0" y="0"/>
            <wp:positionH relativeFrom="column">
              <wp:posOffset>3853815</wp:posOffset>
            </wp:positionH>
            <wp:positionV relativeFrom="paragraph">
              <wp:posOffset>171450</wp:posOffset>
            </wp:positionV>
            <wp:extent cx="220345" cy="877570"/>
            <wp:effectExtent l="0" t="0" r="0" b="0"/>
            <wp:wrapNone/>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64"/>
                    <a:stretch>
                      <a:fillRect/>
                    </a:stretch>
                  </pic:blipFill>
                  <pic:spPr>
                    <a:xfrm>
                      <a:off x="0" y="0"/>
                      <a:ext cx="220538" cy="877480"/>
                    </a:xfrm>
                    <a:prstGeom prst="rect">
                      <a:avLst/>
                    </a:prstGeom>
                  </pic:spPr>
                </pic:pic>
              </a:graphicData>
            </a:graphic>
          </wp:anchor>
        </w:drawing>
      </w:r>
      <w:r>
        <w:drawing>
          <wp:anchor distT="0" distB="0" distL="0" distR="0" simplePos="0" relativeHeight="251754496" behindDoc="0" locked="0" layoutInCell="1" allowOverlap="1">
            <wp:simplePos x="0" y="0"/>
            <wp:positionH relativeFrom="column">
              <wp:posOffset>153670</wp:posOffset>
            </wp:positionH>
            <wp:positionV relativeFrom="paragraph">
              <wp:posOffset>157480</wp:posOffset>
            </wp:positionV>
            <wp:extent cx="26670" cy="1015365"/>
            <wp:effectExtent l="0" t="0" r="0" b="0"/>
            <wp:wrapNone/>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65"/>
                    <a:stretch>
                      <a:fillRect/>
                    </a:stretch>
                  </pic:blipFill>
                  <pic:spPr>
                    <a:xfrm>
                      <a:off x="0" y="0"/>
                      <a:ext cx="26962" cy="1015225"/>
                    </a:xfrm>
                    <a:prstGeom prst="rect">
                      <a:avLst/>
                    </a:prstGeom>
                  </pic:spPr>
                </pic:pic>
              </a:graphicData>
            </a:graphic>
          </wp:anchor>
        </w:drawing>
      </w:r>
      <w:r>
        <w:rPr>
          <w:position w:val="-1"/>
        </w:rPr>
        <w:drawing>
          <wp:inline distT="0" distB="0" distL="0" distR="0">
            <wp:extent cx="3719830" cy="40640"/>
            <wp:effectExtent l="0" t="0" r="0"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66"/>
                    <a:stretch>
                      <a:fillRect/>
                    </a:stretch>
                  </pic:blipFill>
                  <pic:spPr>
                    <a:xfrm>
                      <a:off x="0" y="0"/>
                      <a:ext cx="3719893" cy="40665"/>
                    </a:xfrm>
                    <a:prstGeom prst="rect">
                      <a:avLst/>
                    </a:prstGeom>
                  </pic:spPr>
                </pic:pic>
              </a:graphicData>
            </a:graphic>
          </wp:inline>
        </w:drawing>
      </w:r>
    </w:p>
    <w:p w14:paraId="106CE62D">
      <w:pPr>
        <w:spacing w:before="141" w:line="400" w:lineRule="exact"/>
        <w:ind w:firstLine="339"/>
      </w:pPr>
      <w:r>
        <w:drawing>
          <wp:anchor distT="0" distB="0" distL="0" distR="0" simplePos="0" relativeHeight="251755520" behindDoc="0" locked="0" layoutInCell="1" allowOverlap="1">
            <wp:simplePos x="0" y="0"/>
            <wp:positionH relativeFrom="column">
              <wp:posOffset>1533525</wp:posOffset>
            </wp:positionH>
            <wp:positionV relativeFrom="paragraph">
              <wp:posOffset>167005</wp:posOffset>
            </wp:positionV>
            <wp:extent cx="255270" cy="99060"/>
            <wp:effectExtent l="0" t="0" r="0" b="0"/>
            <wp:wrapNone/>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67"/>
                    <a:stretch>
                      <a:fillRect/>
                    </a:stretch>
                  </pic:blipFill>
                  <pic:spPr>
                    <a:xfrm>
                      <a:off x="0" y="0"/>
                      <a:ext cx="255359" cy="98920"/>
                    </a:xfrm>
                    <a:prstGeom prst="rect">
                      <a:avLst/>
                    </a:prstGeom>
                  </pic:spPr>
                </pic:pic>
              </a:graphicData>
            </a:graphic>
          </wp:anchor>
        </w:drawing>
      </w:r>
      <w:r>
        <w:drawing>
          <wp:anchor distT="0" distB="0" distL="0" distR="0" simplePos="0" relativeHeight="251758592" behindDoc="0" locked="0" layoutInCell="1" allowOverlap="1">
            <wp:simplePos x="0" y="0"/>
            <wp:positionH relativeFrom="column">
              <wp:posOffset>2166620</wp:posOffset>
            </wp:positionH>
            <wp:positionV relativeFrom="paragraph">
              <wp:posOffset>377825</wp:posOffset>
            </wp:positionV>
            <wp:extent cx="146685" cy="159385"/>
            <wp:effectExtent l="0" t="0" r="0" b="0"/>
            <wp:wrapNone/>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68"/>
                    <a:stretch>
                      <a:fillRect/>
                    </a:stretch>
                  </pic:blipFill>
                  <pic:spPr>
                    <a:xfrm>
                      <a:off x="0" y="0"/>
                      <a:ext cx="146964" cy="159270"/>
                    </a:xfrm>
                    <a:prstGeom prst="rect">
                      <a:avLst/>
                    </a:prstGeom>
                  </pic:spPr>
                </pic:pic>
              </a:graphicData>
            </a:graphic>
          </wp:anchor>
        </w:drawing>
      </w:r>
      <w:r>
        <w:rPr>
          <w:position w:val="-7"/>
        </w:rPr>
        <w:pict>
          <v:shape id="_x0000_s1096" o:spid="_x0000_s1096" o:spt="202" type="#_x0000_t202" style="height:20pt;width:96.2pt;" fillcolor="#C4D4CC" filled="t" stroked="f" coordsize="21600,21600">
            <v:path/>
            <v:fill on="t" focussize="0,0"/>
            <v:stroke on="f"/>
            <v:imagedata o:title=""/>
            <o:lock v:ext="edit" aspectratio="f"/>
            <v:textbox inset="0mm,0mm,0mm,0mm">
              <w:txbxContent>
                <w:p w14:paraId="5511E996">
                  <w:pPr>
                    <w:spacing w:before="112" w:line="168" w:lineRule="exact"/>
                    <w:ind w:left="270"/>
                    <w:rPr>
                      <w:rFonts w:ascii="微软雅黑" w:hAnsi="微软雅黑" w:eastAsia="微软雅黑" w:cs="微软雅黑"/>
                      <w:sz w:val="16"/>
                      <w:szCs w:val="16"/>
                    </w:rPr>
                  </w:pPr>
                  <w:r>
                    <w:rPr>
                      <w:rFonts w:ascii="微软雅黑" w:hAnsi="微软雅黑" w:eastAsia="微软雅黑" w:cs="微软雅黑"/>
                      <w:color w:val="638778"/>
                      <w:spacing w:val="11"/>
                      <w:position w:val="-1"/>
                      <w:sz w:val="16"/>
                      <w:szCs w:val="16"/>
                    </w:rPr>
                    <w:t>梳理企业业务架构</w:t>
                  </w:r>
                </w:p>
              </w:txbxContent>
            </v:textbox>
            <w10:wrap type="none"/>
            <w10:anchorlock/>
          </v:shape>
        </w:pict>
      </w:r>
    </w:p>
    <w:p w14:paraId="261A3768">
      <w:pPr>
        <w:spacing w:before="69" w:line="149" w:lineRule="exact"/>
        <w:ind w:firstLine="3702"/>
      </w:pPr>
      <w:r>
        <w:rPr>
          <w:position w:val="-2"/>
        </w:rPr>
        <w:drawing>
          <wp:inline distT="0" distB="0" distL="0" distR="0">
            <wp:extent cx="765175" cy="94615"/>
            <wp:effectExtent l="0" t="0" r="0" b="0"/>
            <wp:docPr id="106" name="IM 106"/>
            <wp:cNvGraphicFramePr/>
            <a:graphic xmlns:a="http://schemas.openxmlformats.org/drawingml/2006/main">
              <a:graphicData uri="http://schemas.openxmlformats.org/drawingml/2006/picture">
                <pic:pic xmlns:pic="http://schemas.openxmlformats.org/drawingml/2006/picture">
                  <pic:nvPicPr>
                    <pic:cNvPr id="106" name="IM 106"/>
                    <pic:cNvPicPr/>
                  </pic:nvPicPr>
                  <pic:blipFill>
                    <a:blip r:embed="rId69"/>
                    <a:stretch>
                      <a:fillRect/>
                    </a:stretch>
                  </pic:blipFill>
                  <pic:spPr>
                    <a:xfrm>
                      <a:off x="0" y="0"/>
                      <a:ext cx="765772" cy="94869"/>
                    </a:xfrm>
                    <a:prstGeom prst="rect">
                      <a:avLst/>
                    </a:prstGeom>
                  </pic:spPr>
                </pic:pic>
              </a:graphicData>
            </a:graphic>
          </wp:inline>
        </w:drawing>
      </w:r>
    </w:p>
    <w:p w14:paraId="67B5469C">
      <w:pPr>
        <w:spacing w:before="95" w:line="411" w:lineRule="exact"/>
        <w:ind w:firstLine="339"/>
      </w:pPr>
      <w:r>
        <w:pict>
          <v:shape id="_x0000_s1097" o:spid="_x0000_s1097" o:spt="202" type="#_x0000_t202" style="position:absolute;left:0pt;margin-left:239.1pt;margin-top:4.7pt;height:20.55pt;width:62.7pt;z-index:251750400;mso-width-relative:page;mso-height-relative:page;" fillcolor="#C4D4CC" filled="t" stroked="f" coordsize="21600,21600">
            <v:path/>
            <v:fill on="t" focussize="0,0"/>
            <v:stroke on="f"/>
            <v:imagedata o:title=""/>
            <o:lock v:ext="edit" aspectratio="f"/>
            <v:textbox inset="0mm,0mm,0mm,0mm">
              <w:txbxContent>
                <w:p w14:paraId="7B3C476F">
                  <w:pPr>
                    <w:spacing w:before="115" w:line="169" w:lineRule="exact"/>
                    <w:ind w:left="110"/>
                    <w:rPr>
                      <w:rFonts w:ascii="微软雅黑" w:hAnsi="微软雅黑" w:eastAsia="微软雅黑" w:cs="微软雅黑"/>
                      <w:sz w:val="16"/>
                      <w:szCs w:val="16"/>
                    </w:rPr>
                  </w:pPr>
                  <w:r>
                    <w:rPr>
                      <w:rFonts w:ascii="微软雅黑" w:hAnsi="微软雅黑" w:eastAsia="微软雅黑" w:cs="微软雅黑"/>
                      <w:color w:val="638778"/>
                      <w:spacing w:val="12"/>
                      <w:position w:val="-1"/>
                      <w:sz w:val="16"/>
                      <w:szCs w:val="16"/>
                    </w:rPr>
                    <w:t>数据资产分级</w:t>
                  </w:r>
                </w:p>
              </w:txbxContent>
            </v:textbox>
          </v:shape>
        </w:pict>
      </w:r>
      <w:r>
        <w:pict>
          <v:shape id="_x0000_s1098" o:spid="_x0000_s1098" o:spt="202" type="#_x0000_t202" style="position:absolute;left:0pt;margin-left:144.5pt;margin-top:5.8pt;height:20.55pt;width:62.7pt;z-index:251749376;mso-width-relative:page;mso-height-relative:page;" fillcolor="#C4D4CC" filled="t" stroked="f" coordsize="21600,21600">
            <v:path/>
            <v:fill on="t" focussize="0,0"/>
            <v:stroke on="f"/>
            <v:imagedata o:title=""/>
            <o:lock v:ext="edit" aspectratio="f"/>
            <v:textbox inset="0mm,0mm,0mm,0mm">
              <w:txbxContent>
                <w:p w14:paraId="75D6343F">
                  <w:pPr>
                    <w:spacing w:before="116" w:line="169" w:lineRule="exact"/>
                    <w:ind w:left="109"/>
                    <w:rPr>
                      <w:rFonts w:ascii="微软雅黑" w:hAnsi="微软雅黑" w:eastAsia="微软雅黑" w:cs="微软雅黑"/>
                      <w:sz w:val="16"/>
                      <w:szCs w:val="16"/>
                    </w:rPr>
                  </w:pPr>
                  <w:r>
                    <w:rPr>
                      <w:rFonts w:ascii="微软雅黑" w:hAnsi="微软雅黑" w:eastAsia="微软雅黑" w:cs="微软雅黑"/>
                      <w:color w:val="638778"/>
                      <w:spacing w:val="11"/>
                      <w:sz w:val="16"/>
                      <w:szCs w:val="16"/>
                    </w:rPr>
                    <w:t>数据资产分类</w:t>
                  </w:r>
                </w:p>
              </w:txbxContent>
            </v:textbox>
          </v:shape>
        </w:pict>
      </w:r>
      <w:r>
        <w:drawing>
          <wp:anchor distT="0" distB="0" distL="0" distR="0" simplePos="0" relativeHeight="251756544" behindDoc="0" locked="0" layoutInCell="1" allowOverlap="1">
            <wp:simplePos x="0" y="0"/>
            <wp:positionH relativeFrom="column">
              <wp:posOffset>1533525</wp:posOffset>
            </wp:positionH>
            <wp:positionV relativeFrom="paragraph">
              <wp:posOffset>144145</wp:posOffset>
            </wp:positionV>
            <wp:extent cx="255270" cy="99060"/>
            <wp:effectExtent l="0" t="0" r="0" b="0"/>
            <wp:wrapNone/>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70"/>
                    <a:stretch>
                      <a:fillRect/>
                    </a:stretch>
                  </pic:blipFill>
                  <pic:spPr>
                    <a:xfrm>
                      <a:off x="0" y="0"/>
                      <a:ext cx="255359" cy="98920"/>
                    </a:xfrm>
                    <a:prstGeom prst="rect">
                      <a:avLst/>
                    </a:prstGeom>
                  </pic:spPr>
                </pic:pic>
              </a:graphicData>
            </a:graphic>
          </wp:anchor>
        </w:drawing>
      </w:r>
      <w:r>
        <w:drawing>
          <wp:anchor distT="0" distB="0" distL="0" distR="0" simplePos="0" relativeHeight="251757568" behindDoc="0" locked="0" layoutInCell="1" allowOverlap="1">
            <wp:simplePos x="0" y="0"/>
            <wp:positionH relativeFrom="column">
              <wp:posOffset>2707005</wp:posOffset>
            </wp:positionH>
            <wp:positionV relativeFrom="paragraph">
              <wp:posOffset>158115</wp:posOffset>
            </wp:positionV>
            <wp:extent cx="255270" cy="99060"/>
            <wp:effectExtent l="0" t="0" r="0" b="0"/>
            <wp:wrapNone/>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71"/>
                    <a:stretch>
                      <a:fillRect/>
                    </a:stretch>
                  </pic:blipFill>
                  <pic:spPr>
                    <a:xfrm>
                      <a:off x="0" y="0"/>
                      <a:ext cx="255358" cy="98920"/>
                    </a:xfrm>
                    <a:prstGeom prst="rect">
                      <a:avLst/>
                    </a:prstGeom>
                  </pic:spPr>
                </pic:pic>
              </a:graphicData>
            </a:graphic>
          </wp:anchor>
        </w:drawing>
      </w:r>
      <w:r>
        <w:drawing>
          <wp:anchor distT="0" distB="0" distL="0" distR="0" simplePos="0" relativeHeight="251759616" behindDoc="0" locked="0" layoutInCell="1" allowOverlap="1">
            <wp:simplePos x="0" y="0"/>
            <wp:positionH relativeFrom="column">
              <wp:posOffset>3853815</wp:posOffset>
            </wp:positionH>
            <wp:positionV relativeFrom="paragraph">
              <wp:posOffset>300355</wp:posOffset>
            </wp:positionV>
            <wp:extent cx="20320" cy="218440"/>
            <wp:effectExtent l="0" t="0" r="0" b="0"/>
            <wp:wrapNone/>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72"/>
                    <a:stretch>
                      <a:fillRect/>
                    </a:stretch>
                  </pic:blipFill>
                  <pic:spPr>
                    <a:xfrm>
                      <a:off x="0" y="0"/>
                      <a:ext cx="20078" cy="218617"/>
                    </a:xfrm>
                    <a:prstGeom prst="rect">
                      <a:avLst/>
                    </a:prstGeom>
                  </pic:spPr>
                </pic:pic>
              </a:graphicData>
            </a:graphic>
          </wp:anchor>
        </w:drawing>
      </w:r>
      <w:r>
        <w:rPr>
          <w:position w:val="-8"/>
        </w:rPr>
        <w:pict>
          <v:shape id="_x0000_s1099" o:spid="_x0000_s1099" o:spt="202" type="#_x0000_t202" style="height:20.55pt;width:96.2pt;" fillcolor="#C4D4CC" filled="t" stroked="f" coordsize="21600,21600">
            <v:path/>
            <v:fill on="t" focussize="0,0"/>
            <v:stroke on="f"/>
            <v:imagedata o:title=""/>
            <o:lock v:ext="edit" aspectratio="f"/>
            <v:textbox inset="0mm,0mm,0mm,0mm">
              <w:txbxContent>
                <w:p w14:paraId="36823EC9">
                  <w:pPr>
                    <w:spacing w:before="115" w:line="169" w:lineRule="exact"/>
                    <w:ind w:left="270"/>
                    <w:rPr>
                      <w:rFonts w:ascii="微软雅黑" w:hAnsi="微软雅黑" w:eastAsia="微软雅黑" w:cs="微软雅黑"/>
                      <w:sz w:val="16"/>
                      <w:szCs w:val="16"/>
                    </w:rPr>
                  </w:pPr>
                  <w:r>
                    <w:rPr>
                      <w:rFonts w:ascii="微软雅黑" w:hAnsi="微软雅黑" w:eastAsia="微软雅黑" w:cs="微软雅黑"/>
                      <w:color w:val="638778"/>
                      <w:spacing w:val="11"/>
                      <w:position w:val="-1"/>
                      <w:sz w:val="16"/>
                      <w:szCs w:val="16"/>
                    </w:rPr>
                    <w:t>梳理数据资产架构</w:t>
                  </w:r>
                </w:p>
              </w:txbxContent>
            </v:textbox>
            <w10:wrap type="none"/>
            <w10:anchorlock/>
          </v:shape>
        </w:pict>
      </w:r>
    </w:p>
    <w:p w14:paraId="2319D6D5">
      <w:pPr>
        <w:spacing w:before="63" w:line="149" w:lineRule="exact"/>
        <w:ind w:left="2137"/>
        <w:rPr>
          <w:rFonts w:ascii="微软雅黑" w:hAnsi="微软雅黑" w:eastAsia="微软雅黑" w:cs="微软雅黑"/>
          <w:sz w:val="14"/>
          <w:szCs w:val="14"/>
        </w:rPr>
      </w:pPr>
      <w:r>
        <w:pict>
          <v:shape id="_x0000_s1100" o:spid="_x0000_s1100" o:spt="202" type="#_x0000_t202" style="position:absolute;left:0pt;margin-left:205.65pt;margin-top:2.1pt;height:9.45pt;width:46.75pt;z-index:251753472;mso-width-relative:page;mso-height-relative:page;" filled="f" stroked="f" coordsize="21600,21600">
            <v:path/>
            <v:fill on="f" focussize="0,0"/>
            <v:stroke on="f"/>
            <v:imagedata o:title=""/>
            <o:lock v:ext="edit" aspectratio="f"/>
            <v:textbox inset="0mm,0mm,0mm,0mm">
              <w:txbxContent>
                <w:p w14:paraId="1FE4A1BB">
                  <w:pPr>
                    <w:spacing w:before="20" w:line="148" w:lineRule="exact"/>
                    <w:ind w:left="20"/>
                    <w:rPr>
                      <w:rFonts w:ascii="微软雅黑" w:hAnsi="微软雅黑" w:eastAsia="微软雅黑" w:cs="微软雅黑"/>
                      <w:sz w:val="14"/>
                      <w:szCs w:val="14"/>
                    </w:rPr>
                  </w:pPr>
                  <w:r>
                    <w:rPr>
                      <w:rFonts w:ascii="微软雅黑" w:hAnsi="微软雅黑" w:eastAsia="微软雅黑" w:cs="微软雅黑"/>
                      <w:spacing w:val="9"/>
                      <w:sz w:val="14"/>
                      <w:szCs w:val="14"/>
                    </w:rPr>
                    <w:t>安全分级准则</w:t>
                  </w:r>
                </w:p>
              </w:txbxContent>
            </v:textbox>
          </v:shape>
        </w:pict>
      </w:r>
      <w:r>
        <w:rPr>
          <w:rFonts w:ascii="微软雅黑" w:hAnsi="微软雅黑" w:eastAsia="微软雅黑" w:cs="微软雅黑"/>
          <w:spacing w:val="10"/>
          <w:sz w:val="14"/>
          <w:szCs w:val="14"/>
        </w:rPr>
        <w:t>数据分类标准</w:t>
      </w:r>
    </w:p>
    <w:p w14:paraId="38F47B74">
      <w:pPr>
        <w:spacing w:before="113" w:line="32" w:lineRule="exact"/>
        <w:ind w:firstLine="329"/>
      </w:pPr>
      <w:r>
        <w:drawing>
          <wp:inline distT="0" distB="0" distL="0" distR="0">
            <wp:extent cx="3649980" cy="19685"/>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73"/>
                    <a:stretch>
                      <a:fillRect/>
                    </a:stretch>
                  </pic:blipFill>
                  <pic:spPr>
                    <a:xfrm>
                      <a:off x="0" y="0"/>
                      <a:ext cx="3650221" cy="20078"/>
                    </a:xfrm>
                    <a:prstGeom prst="rect">
                      <a:avLst/>
                    </a:prstGeom>
                  </pic:spPr>
                </pic:pic>
              </a:graphicData>
            </a:graphic>
          </wp:inline>
        </w:drawing>
      </w:r>
    </w:p>
    <w:p w14:paraId="50E9A70E">
      <w:pPr>
        <w:pStyle w:val="2"/>
        <w:spacing w:line="256" w:lineRule="auto"/>
      </w:pPr>
    </w:p>
    <w:p w14:paraId="24E4F7B5">
      <w:pPr>
        <w:spacing w:before="86" w:line="204" w:lineRule="auto"/>
        <w:ind w:left="3379"/>
        <w:rPr>
          <w:rFonts w:ascii="微软雅黑" w:hAnsi="微软雅黑" w:eastAsia="微软雅黑" w:cs="微软雅黑"/>
          <w:sz w:val="20"/>
          <w:szCs w:val="20"/>
        </w:rPr>
      </w:pPr>
      <w:r>
        <w:rPr>
          <w:rFonts w:ascii="微软雅黑" w:hAnsi="微软雅黑" w:eastAsia="微软雅黑" w:cs="微软雅黑"/>
          <w:color w:val="231F20"/>
          <w:spacing w:val="2"/>
          <w:sz w:val="20"/>
          <w:szCs w:val="20"/>
        </w:rPr>
        <w:t>图</w:t>
      </w:r>
      <w:r>
        <w:rPr>
          <w:rFonts w:ascii="微软雅黑" w:hAnsi="微软雅黑" w:eastAsia="微软雅黑" w:cs="微软雅黑"/>
          <w:color w:val="231F20"/>
          <w:spacing w:val="25"/>
          <w:sz w:val="20"/>
          <w:szCs w:val="20"/>
        </w:rPr>
        <w:t xml:space="preserve"> </w:t>
      </w:r>
      <w:r>
        <w:rPr>
          <w:rFonts w:ascii="微软雅黑" w:hAnsi="微软雅黑" w:eastAsia="微软雅黑" w:cs="微软雅黑"/>
          <w:color w:val="231F20"/>
          <w:spacing w:val="2"/>
          <w:sz w:val="20"/>
          <w:szCs w:val="20"/>
        </w:rPr>
        <w:t>7  数据安全分类分级流程与结果</w:t>
      </w:r>
    </w:p>
    <w:p w14:paraId="3B23D8D1">
      <w:pPr>
        <w:pStyle w:val="2"/>
        <w:spacing w:line="431" w:lineRule="auto"/>
      </w:pPr>
    </w:p>
    <w:p w14:paraId="310519E5">
      <w:pPr>
        <w:spacing w:before="95" w:line="290" w:lineRule="auto"/>
        <w:ind w:left="248" w:right="2" w:firstLine="481"/>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此外，个人信息保护成为数据安全管理关注的焦点。</w:t>
      </w:r>
      <w:r>
        <w:rPr>
          <w:rFonts w:ascii="微软雅黑" w:hAnsi="微软雅黑" w:eastAsia="微软雅黑" w:cs="微软雅黑"/>
          <w:color w:val="231F20"/>
          <w:spacing w:val="-39"/>
          <w:sz w:val="22"/>
          <w:szCs w:val="22"/>
        </w:rPr>
        <w:t xml:space="preserve"> </w:t>
      </w:r>
      <w:r>
        <w:rPr>
          <w:rFonts w:ascii="微软雅黑" w:hAnsi="微软雅黑" w:eastAsia="微软雅黑" w:cs="微软雅黑"/>
          <w:color w:val="231F20"/>
          <w:spacing w:val="2"/>
          <w:sz w:val="22"/>
          <w:szCs w:val="22"/>
        </w:rPr>
        <w:t>《个人信息保护法》</w:t>
      </w:r>
      <w:r>
        <w:rPr>
          <w:rFonts w:ascii="微软雅黑" w:hAnsi="微软雅黑" w:eastAsia="微软雅黑" w:cs="微软雅黑"/>
          <w:color w:val="231F20"/>
          <w:spacing w:val="1"/>
          <w:sz w:val="22"/>
          <w:szCs w:val="22"/>
        </w:rPr>
        <w:t>将自然人姓名、出</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生日期、身份证件号码、生物识别信息等全面纳入保护范围，为组织确定了个人信息保</w:t>
      </w:r>
      <w:r>
        <w:rPr>
          <w:rFonts w:ascii="微软雅黑" w:hAnsi="微软雅黑" w:eastAsia="微软雅黑" w:cs="微软雅黑"/>
          <w:color w:val="231F20"/>
          <w:spacing w:val="3"/>
          <w:sz w:val="22"/>
          <w:szCs w:val="22"/>
        </w:rPr>
        <w:t>护范畴与</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要求。系统性识别业务涉及的个人信息处理活动，充分掌握个人信息收集、存储、流通</w:t>
      </w:r>
      <w:r>
        <w:rPr>
          <w:rFonts w:ascii="微软雅黑" w:hAnsi="微软雅黑" w:eastAsia="微软雅黑" w:cs="微软雅黑"/>
          <w:color w:val="231F20"/>
          <w:spacing w:val="3"/>
          <w:sz w:val="22"/>
          <w:szCs w:val="22"/>
        </w:rPr>
        <w:t>等活动，</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并作为数据安全标准规范的建立依据。在确保个人信息安全的前提下，</w:t>
      </w:r>
      <w:r>
        <w:rPr>
          <w:rFonts w:ascii="微软雅黑" w:hAnsi="微软雅黑" w:eastAsia="微软雅黑" w:cs="微软雅黑"/>
          <w:color w:val="231F20"/>
          <w:spacing w:val="-27"/>
          <w:sz w:val="22"/>
          <w:szCs w:val="22"/>
        </w:rPr>
        <w:t xml:space="preserve"> </w:t>
      </w:r>
      <w:r>
        <w:rPr>
          <w:rFonts w:ascii="微软雅黑" w:hAnsi="微软雅黑" w:eastAsia="微软雅黑" w:cs="微软雅黑"/>
          <w:color w:val="231F20"/>
          <w:spacing w:val="3"/>
          <w:sz w:val="22"/>
          <w:szCs w:val="22"/>
        </w:rPr>
        <w:t>引入多方安全计算、联邦</w:t>
      </w:r>
    </w:p>
    <w:p w14:paraId="1A356456">
      <w:pPr>
        <w:pStyle w:val="2"/>
        <w:spacing w:before="261" w:line="194" w:lineRule="auto"/>
        <w:ind w:left="4858"/>
        <w:rPr>
          <w:sz w:val="20"/>
          <w:szCs w:val="20"/>
        </w:rPr>
      </w:pPr>
      <w:r>
        <w:pict>
          <v:shape id="_x0000_s1101" o:spid="_x0000_s1101" o:spt="202" type="#_x0000_t202" style="position:absolute;left:0pt;margin-left:274.65pt;margin-top:16.7pt;height:15.95pt;width:199.4pt;z-index:251748352;mso-width-relative:page;mso-height-relative:page;" filled="f" stroked="f" coordsize="21600,21600">
            <v:path/>
            <v:fill on="f" focussize="0,0"/>
            <v:stroke on="f"/>
            <v:imagedata o:title=""/>
            <o:lock v:ext="edit" aspectratio="f"/>
            <v:textbox inset="0mm,0mm,0mm,0mm">
              <w:txbxContent>
                <w:p w14:paraId="01245661">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6"/>
          <w:sz w:val="20"/>
          <w:szCs w:val="20"/>
        </w:rPr>
        <w:t>16</w:t>
      </w:r>
    </w:p>
    <w:p w14:paraId="4849F1C7">
      <w:pPr>
        <w:spacing w:line="194" w:lineRule="auto"/>
        <w:rPr>
          <w:sz w:val="20"/>
          <w:szCs w:val="20"/>
        </w:rPr>
        <w:sectPr>
          <w:pgSz w:w="11906" w:h="16158"/>
          <w:pgMar w:top="400" w:right="1244" w:bottom="400" w:left="1004" w:header="0" w:footer="0" w:gutter="0"/>
          <w:cols w:space="720" w:num="1"/>
        </w:sectPr>
      </w:pPr>
    </w:p>
    <w:p w14:paraId="241B6DB1">
      <w:pPr>
        <w:pStyle w:val="2"/>
        <w:spacing w:line="349" w:lineRule="auto"/>
      </w:pPr>
    </w:p>
    <w:p w14:paraId="685F08D4">
      <w:pPr>
        <w:pStyle w:val="2"/>
        <w:spacing w:line="350" w:lineRule="auto"/>
      </w:pPr>
    </w:p>
    <w:p w14:paraId="2C1300AD">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-2</w:t>
      </w:r>
    </w:p>
    <w:p w14:paraId="53DAAABE">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0223857A">
      <w:pPr>
        <w:pStyle w:val="2"/>
        <w:spacing w:line="292" w:lineRule="auto"/>
      </w:pPr>
    </w:p>
    <w:p w14:paraId="18CD67CD">
      <w:pPr>
        <w:pStyle w:val="2"/>
        <w:spacing w:line="292" w:lineRule="auto"/>
      </w:pPr>
    </w:p>
    <w:p w14:paraId="056AAA00">
      <w:pPr>
        <w:pStyle w:val="2"/>
        <w:spacing w:line="293" w:lineRule="auto"/>
      </w:pPr>
    </w:p>
    <w:p w14:paraId="367E8614">
      <w:pPr>
        <w:spacing w:before="95" w:line="206" w:lineRule="auto"/>
        <w:ind w:left="249"/>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学习等隐私计算技术，开展数据资产流通。</w:t>
      </w:r>
    </w:p>
    <w:p w14:paraId="27E068B8">
      <w:pPr>
        <w:pStyle w:val="2"/>
        <w:spacing w:line="471" w:lineRule="auto"/>
      </w:pPr>
    </w:p>
    <w:p w14:paraId="2443489A">
      <w:pPr>
        <w:spacing w:before="120" w:line="207" w:lineRule="auto"/>
        <w:ind w:left="261"/>
        <w:rPr>
          <w:rFonts w:ascii="微软雅黑" w:hAnsi="微软雅黑" w:eastAsia="微软雅黑" w:cs="微软雅黑"/>
          <w:sz w:val="28"/>
          <w:szCs w:val="28"/>
        </w:rPr>
      </w:pPr>
      <w:bookmarkStart w:id="36" w:name="bookmark36"/>
      <w:bookmarkEnd w:id="36"/>
      <w:r>
        <w:rPr>
          <w:rFonts w:ascii="微软雅黑" w:hAnsi="微软雅黑" w:eastAsia="微软雅黑" w:cs="微软雅黑"/>
          <w:color w:val="648676"/>
          <w:spacing w:val="6"/>
          <w:sz w:val="28"/>
          <w:szCs w:val="28"/>
        </w:rPr>
        <w:t>( 六</w:t>
      </w:r>
      <w:r>
        <w:rPr>
          <w:rFonts w:ascii="微软雅黑" w:hAnsi="微软雅黑" w:eastAsia="微软雅黑" w:cs="微软雅黑"/>
          <w:color w:val="648676"/>
          <w:spacing w:val="19"/>
          <w:sz w:val="28"/>
          <w:szCs w:val="28"/>
        </w:rPr>
        <w:t xml:space="preserve"> </w:t>
      </w:r>
      <w:r>
        <w:rPr>
          <w:rFonts w:ascii="微软雅黑" w:hAnsi="微软雅黑" w:eastAsia="微软雅黑" w:cs="微软雅黑"/>
          <w:color w:val="648676"/>
          <w:spacing w:val="6"/>
          <w:sz w:val="28"/>
          <w:szCs w:val="28"/>
        </w:rPr>
        <w:t>)</w:t>
      </w:r>
      <w:r>
        <w:rPr>
          <w:rFonts w:ascii="微软雅黑" w:hAnsi="微软雅黑" w:eastAsia="微软雅黑" w:cs="微软雅黑"/>
          <w:color w:val="648676"/>
          <w:spacing w:val="31"/>
          <w:sz w:val="28"/>
          <w:szCs w:val="28"/>
        </w:rPr>
        <w:t xml:space="preserve"> </w:t>
      </w:r>
      <w:r>
        <w:rPr>
          <w:rFonts w:ascii="微软雅黑" w:hAnsi="微软雅黑" w:eastAsia="微软雅黑" w:cs="微软雅黑"/>
          <w:color w:val="648676"/>
          <w:spacing w:val="6"/>
          <w:sz w:val="28"/>
          <w:szCs w:val="28"/>
        </w:rPr>
        <w:t>元数据管理</w:t>
      </w:r>
    </w:p>
    <w:p w14:paraId="238FCD10">
      <w:pPr>
        <w:pStyle w:val="2"/>
        <w:spacing w:line="408" w:lineRule="auto"/>
      </w:pPr>
    </w:p>
    <w:p w14:paraId="2B602508">
      <w:pPr>
        <w:spacing w:before="95" w:line="284" w:lineRule="auto"/>
        <w:ind w:left="247" w:right="54" w:firstLine="482"/>
        <w:rPr>
          <w:rFonts w:ascii="微软雅黑" w:hAnsi="微软雅黑" w:eastAsia="微软雅黑" w:cs="微软雅黑"/>
          <w:sz w:val="22"/>
          <w:szCs w:val="22"/>
        </w:rPr>
      </w:pPr>
      <w:r>
        <w:rPr>
          <w:rFonts w:ascii="微软雅黑" w:hAnsi="微软雅黑" w:eastAsia="微软雅黑" w:cs="微软雅黑"/>
          <w:color w:val="231F20"/>
          <w:spacing w:val="17"/>
          <w:sz w:val="22"/>
          <w:szCs w:val="22"/>
        </w:rPr>
        <w:t>元数据（</w:t>
      </w:r>
      <w:r>
        <w:rPr>
          <w:rFonts w:ascii="微软雅黑" w:hAnsi="微软雅黑" w:eastAsia="微软雅黑" w:cs="微软雅黑"/>
          <w:color w:val="231F20"/>
          <w:sz w:val="22"/>
          <w:szCs w:val="22"/>
        </w:rPr>
        <w:t>Metadata</w:t>
      </w:r>
      <w:r>
        <w:rPr>
          <w:rFonts w:ascii="微软雅黑" w:hAnsi="微软雅黑" w:eastAsia="微软雅黑" w:cs="微软雅黑"/>
          <w:color w:val="231F20"/>
          <w:spacing w:val="17"/>
          <w:sz w:val="22"/>
          <w:szCs w:val="22"/>
        </w:rPr>
        <w:t>）</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pacing w:val="17"/>
          <w:sz w:val="22"/>
          <w:szCs w:val="22"/>
        </w:rPr>
        <w:t>是指描述数据的数据。元数据管理（</w:t>
      </w:r>
      <w:r>
        <w:rPr>
          <w:rFonts w:ascii="微软雅黑" w:hAnsi="微软雅黑" w:eastAsia="微软雅黑" w:cs="微软雅黑"/>
          <w:color w:val="231F20"/>
          <w:sz w:val="22"/>
          <w:szCs w:val="22"/>
        </w:rPr>
        <w:t>Meta</w:t>
      </w:r>
      <w:r>
        <w:rPr>
          <w:rFonts w:ascii="微软雅黑" w:hAnsi="微软雅黑" w:eastAsia="微软雅黑" w:cs="微软雅黑"/>
          <w:color w:val="231F20"/>
          <w:spacing w:val="22"/>
          <w:sz w:val="22"/>
          <w:szCs w:val="22"/>
        </w:rPr>
        <w:t xml:space="preserve"> </w:t>
      </w:r>
      <w:r>
        <w:rPr>
          <w:rFonts w:ascii="微软雅黑" w:hAnsi="微软雅黑" w:eastAsia="微软雅黑" w:cs="微软雅黑"/>
          <w:color w:val="231F20"/>
          <w:sz w:val="22"/>
          <w:szCs w:val="22"/>
        </w:rPr>
        <w:t>Data</w:t>
      </w:r>
      <w:r>
        <w:rPr>
          <w:rFonts w:ascii="微软雅黑" w:hAnsi="微软雅黑" w:eastAsia="微软雅黑" w:cs="微软雅黑"/>
          <w:color w:val="231F20"/>
          <w:spacing w:val="17"/>
          <w:sz w:val="22"/>
          <w:szCs w:val="22"/>
        </w:rPr>
        <w:t xml:space="preserve"> </w:t>
      </w:r>
      <w:r>
        <w:rPr>
          <w:rFonts w:ascii="微软雅黑" w:hAnsi="微软雅黑" w:eastAsia="微软雅黑" w:cs="微软雅黑"/>
          <w:color w:val="231F20"/>
          <w:sz w:val="22"/>
          <w:szCs w:val="22"/>
        </w:rPr>
        <w:t>Management</w:t>
      </w:r>
      <w:r>
        <w:rPr>
          <w:rFonts w:ascii="微软雅黑" w:hAnsi="微软雅黑" w:eastAsia="微软雅黑" w:cs="微软雅黑"/>
          <w:color w:val="231F20"/>
          <w:spacing w:val="17"/>
          <w:sz w:val="22"/>
          <w:szCs w:val="22"/>
        </w:rPr>
        <w:t>）</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是数据资产管理的重要基础，是为获得高质量的、整合的元数据而进行的规划、实施与控制行为。</w:t>
      </w:r>
    </w:p>
    <w:p w14:paraId="60BBE571">
      <w:pPr>
        <w:pStyle w:val="2"/>
        <w:spacing w:line="404" w:lineRule="auto"/>
      </w:pPr>
    </w:p>
    <w:p w14:paraId="57EF4D6E">
      <w:pPr>
        <w:spacing w:before="94" w:line="178" w:lineRule="auto"/>
        <w:ind w:left="730"/>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元数据管理的关键活动包括：</w:t>
      </w:r>
    </w:p>
    <w:p w14:paraId="266FC8BD">
      <w:pPr>
        <w:spacing w:before="167" w:line="289" w:lineRule="auto"/>
        <w:ind w:left="249" w:right="68" w:firstLine="568"/>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w:t>
      </w:r>
      <w:r>
        <w:rPr>
          <w:rFonts w:ascii="微软雅黑" w:hAnsi="微软雅黑" w:eastAsia="微软雅黑" w:cs="微软雅黑"/>
          <w:color w:val="231F20"/>
          <w:spacing w:val="-41"/>
          <w:sz w:val="22"/>
          <w:szCs w:val="22"/>
        </w:rPr>
        <w:t xml:space="preserve"> </w:t>
      </w:r>
      <w:r>
        <w:rPr>
          <w:rFonts w:ascii="微软雅黑" w:hAnsi="微软雅黑" w:eastAsia="微软雅黑" w:cs="微软雅黑"/>
          <w:color w:val="231F20"/>
          <w:spacing w:val="3"/>
          <w:sz w:val="22"/>
          <w:szCs w:val="22"/>
        </w:rPr>
        <w:t>元数据管理计划：明确元数据管理相关参与方，</w:t>
      </w:r>
      <w:r>
        <w:rPr>
          <w:rFonts w:ascii="微软雅黑" w:hAnsi="微软雅黑" w:eastAsia="微软雅黑" w:cs="微软雅黑"/>
          <w:color w:val="231F20"/>
          <w:spacing w:val="-27"/>
          <w:sz w:val="22"/>
          <w:szCs w:val="22"/>
        </w:rPr>
        <w:t xml:space="preserve"> </w:t>
      </w:r>
      <w:r>
        <w:rPr>
          <w:rFonts w:ascii="微软雅黑" w:hAnsi="微软雅黑" w:eastAsia="微软雅黑" w:cs="微软雅黑"/>
          <w:color w:val="231F20"/>
          <w:spacing w:val="3"/>
          <w:sz w:val="22"/>
          <w:szCs w:val="22"/>
        </w:rPr>
        <w:t>采集元数据管理需求；确定</w:t>
      </w:r>
      <w:r>
        <w:rPr>
          <w:rFonts w:ascii="微软雅黑" w:hAnsi="微软雅黑" w:eastAsia="微软雅黑" w:cs="微软雅黑"/>
          <w:color w:val="231F20"/>
          <w:spacing w:val="2"/>
          <w:sz w:val="22"/>
          <w:szCs w:val="22"/>
        </w:rPr>
        <w:t>元数据类型、</w:t>
      </w:r>
      <w:r>
        <w:rPr>
          <w:rFonts w:ascii="微软雅黑" w:hAnsi="微软雅黑" w:eastAsia="微软雅黑" w:cs="微软雅黑"/>
          <w:color w:val="231F20"/>
          <w:sz w:val="22"/>
          <w:szCs w:val="22"/>
        </w:rPr>
        <w:t xml:space="preserve"> 范围、属性，  设计元数据架构，</w:t>
      </w:r>
      <w:r>
        <w:rPr>
          <w:rFonts w:ascii="微软雅黑" w:hAnsi="微软雅黑" w:eastAsia="微软雅黑" w:cs="微软雅黑"/>
          <w:color w:val="231F20"/>
          <w:spacing w:val="-33"/>
          <w:sz w:val="22"/>
          <w:szCs w:val="22"/>
        </w:rPr>
        <w:t xml:space="preserve"> </w:t>
      </w:r>
      <w:r>
        <w:rPr>
          <w:rFonts w:ascii="微软雅黑" w:hAnsi="微软雅黑" w:eastAsia="微软雅黑" w:cs="微软雅黑"/>
          <w:color w:val="231F20"/>
          <w:sz w:val="22"/>
          <w:szCs w:val="22"/>
        </w:rPr>
        <w:t xml:space="preserve">技术元数据与数据模型、主数据、数据开发相关架构一致；制定 </w:t>
      </w:r>
      <w:r>
        <w:rPr>
          <w:rFonts w:ascii="微软雅黑" w:hAnsi="微软雅黑" w:eastAsia="微软雅黑" w:cs="微软雅黑"/>
          <w:color w:val="231F20"/>
          <w:spacing w:val="-5"/>
          <w:sz w:val="22"/>
          <w:szCs w:val="22"/>
        </w:rPr>
        <w:t>元数据规范；</w:t>
      </w:r>
    </w:p>
    <w:p w14:paraId="4312929F">
      <w:pPr>
        <w:spacing w:before="17" w:line="287" w:lineRule="auto"/>
        <w:ind w:left="247" w:firstLine="570"/>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·元数据管理执行：依托元数据管理平台，采集和存储元数据；可视化数据血缘；应用元数</w:t>
      </w:r>
      <w:r>
        <w:rPr>
          <w:rFonts w:ascii="微软雅黑" w:hAnsi="微软雅黑" w:eastAsia="微软雅黑" w:cs="微软雅黑"/>
          <w:color w:val="231F20"/>
          <w:spacing w:val="-5"/>
          <w:sz w:val="22"/>
          <w:szCs w:val="22"/>
        </w:rPr>
        <w:t>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包括非结构化数据建模、自动维护数据资产目录等；</w:t>
      </w:r>
    </w:p>
    <w:p w14:paraId="7EEE9296">
      <w:pPr>
        <w:spacing w:before="17" w:line="287" w:lineRule="auto"/>
        <w:ind w:left="247" w:right="117" w:firstLine="570"/>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·元数据管理检查：元数据质量检查与治理；元数据治理执行过程规范性检</w:t>
      </w:r>
      <w:r>
        <w:rPr>
          <w:rFonts w:ascii="微软雅黑" w:hAnsi="微软雅黑" w:eastAsia="微软雅黑" w:cs="微软雅黑"/>
          <w:color w:val="231F20"/>
          <w:spacing w:val="3"/>
          <w:sz w:val="22"/>
          <w:szCs w:val="22"/>
        </w:rPr>
        <w:t>查与技术运维；</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保留元数据检查结果，建立元数据检查基线；</w:t>
      </w:r>
    </w:p>
    <w:p w14:paraId="1F1814EA">
      <w:pPr>
        <w:spacing w:before="18" w:line="287" w:lineRule="auto"/>
        <w:ind w:left="248" w:right="74" w:firstLine="569"/>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·元数据管理改进：根据元数据检查结果，召集相关利益方，明确元数据优化方</w:t>
      </w:r>
      <w:r>
        <w:rPr>
          <w:rFonts w:ascii="微软雅黑" w:hAnsi="微软雅黑" w:eastAsia="微软雅黑" w:cs="微软雅黑"/>
          <w:color w:val="231F20"/>
          <w:spacing w:val="4"/>
          <w:sz w:val="22"/>
          <w:szCs w:val="22"/>
        </w:rPr>
        <w:t>案；制定改</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进计划，持续改进元数据管理的方法、架构、技术与应用等内容。</w:t>
      </w:r>
    </w:p>
    <w:p w14:paraId="5293770D">
      <w:pPr>
        <w:spacing w:before="19" w:line="290" w:lineRule="auto"/>
        <w:ind w:left="247" w:right="73" w:firstLine="482"/>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元数据贯穿数据资产管理的全流程，是支撑数据资源化和数据资产化的核心。首先</w:t>
      </w:r>
      <w:r>
        <w:rPr>
          <w:rFonts w:ascii="微软雅黑" w:hAnsi="微软雅黑" w:eastAsia="微软雅黑" w:cs="微软雅黑"/>
          <w:color w:val="231F20"/>
          <w:spacing w:val="2"/>
          <w:sz w:val="22"/>
          <w:szCs w:val="22"/>
        </w:rPr>
        <w:t>，元数据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从业务视角和管理视角出发，通过定义业务元数据和管理元数据，增强了业务</w:t>
      </w:r>
      <w:r>
        <w:rPr>
          <w:rFonts w:ascii="微软雅黑" w:hAnsi="微软雅黑" w:eastAsia="微软雅黑" w:cs="微软雅黑"/>
          <w:color w:val="231F20"/>
          <w:spacing w:val="3"/>
          <w:sz w:val="22"/>
          <w:szCs w:val="22"/>
        </w:rPr>
        <w:t>人员和管理人员对</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于数据的理解与认识。其次，技术元数据通过自动从数据仓库、大数据平台、</w:t>
      </w:r>
      <w:r>
        <w:rPr>
          <w:rFonts w:ascii="微软雅黑" w:hAnsi="微软雅黑" w:eastAsia="微软雅黑" w:cs="微软雅黑"/>
          <w:color w:val="231F20"/>
          <w:sz w:val="22"/>
          <w:szCs w:val="22"/>
        </w:rPr>
        <w:t>ETL</w:t>
      </w:r>
      <w:r>
        <w:rPr>
          <w:rFonts w:ascii="微软雅黑" w:hAnsi="微软雅黑" w:eastAsia="微软雅黑" w:cs="微软雅黑"/>
          <w:color w:val="231F20"/>
          <w:spacing w:val="4"/>
          <w:sz w:val="22"/>
          <w:szCs w:val="22"/>
        </w:rPr>
        <w:t xml:space="preserve"> 中解析存储和</w:t>
      </w:r>
      <w:r>
        <w:rPr>
          <w:rFonts w:ascii="微软雅黑" w:hAnsi="微软雅黑" w:eastAsia="微软雅黑" w:cs="微软雅黑"/>
          <w:color w:val="231F20"/>
          <w:spacing w:val="11"/>
          <w:sz w:val="22"/>
          <w:szCs w:val="22"/>
        </w:rPr>
        <w:t xml:space="preserve"> </w:t>
      </w:r>
      <w:r>
        <w:rPr>
          <w:rFonts w:ascii="微软雅黑" w:hAnsi="微软雅黑" w:eastAsia="微软雅黑" w:cs="微软雅黑"/>
          <w:color w:val="231F20"/>
          <w:spacing w:val="-2"/>
          <w:sz w:val="22"/>
          <w:szCs w:val="22"/>
        </w:rPr>
        <w:t>流转过程，追踪和记录数据血缘关系，及时发现数据模型变更的影响，有效识别变更的潜在风险。</w:t>
      </w:r>
      <w:r>
        <w:rPr>
          <w:rFonts w:ascii="微软雅黑" w:hAnsi="微软雅黑" w:eastAsia="微软雅黑" w:cs="微软雅黑"/>
          <w:color w:val="231F20"/>
          <w:spacing w:val="17"/>
          <w:sz w:val="22"/>
          <w:szCs w:val="22"/>
        </w:rPr>
        <w:t xml:space="preserve"> </w:t>
      </w:r>
      <w:r>
        <w:rPr>
          <w:rFonts w:ascii="微软雅黑" w:hAnsi="微软雅黑" w:eastAsia="微软雅黑" w:cs="微软雅黑"/>
          <w:color w:val="231F20"/>
          <w:spacing w:val="-1"/>
          <w:sz w:val="22"/>
          <w:szCs w:val="22"/>
        </w:rPr>
        <w:t>最后，元数据可作为自动化维护数据资产目录、数据服务目录的有效工具。</w:t>
      </w:r>
    </w:p>
    <w:p w14:paraId="27C3BF97">
      <w:pPr>
        <w:spacing w:before="20" w:line="290" w:lineRule="auto"/>
        <w:ind w:left="246" w:right="68" w:firstLine="492"/>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图数据库有效提升元数据血缘关系的存储和分析效率。</w:t>
      </w:r>
      <w:r>
        <w:rPr>
          <w:rFonts w:ascii="微软雅黑" w:hAnsi="微软雅黑" w:eastAsia="微软雅黑" w:cs="微软雅黑"/>
          <w:color w:val="231F20"/>
          <w:spacing w:val="-31"/>
          <w:sz w:val="22"/>
          <w:szCs w:val="22"/>
        </w:rPr>
        <w:t xml:space="preserve"> </w:t>
      </w:r>
      <w:r>
        <w:rPr>
          <w:rFonts w:ascii="微软雅黑" w:hAnsi="微软雅黑" w:eastAsia="微软雅黑" w:cs="微软雅黑"/>
          <w:color w:val="231F20"/>
          <w:spacing w:val="2"/>
          <w:sz w:val="22"/>
          <w:szCs w:val="22"/>
        </w:rPr>
        <w:t>图数据库具有良好的展示实体关联关</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系的特性，且技术相对成熟，因此，已逐步应用至</w:t>
      </w:r>
      <w:r>
        <w:rPr>
          <w:rFonts w:ascii="微软雅黑" w:hAnsi="微软雅黑" w:eastAsia="微软雅黑" w:cs="微软雅黑"/>
          <w:color w:val="231F20"/>
          <w:spacing w:val="-4"/>
          <w:sz w:val="22"/>
          <w:szCs w:val="22"/>
        </w:rPr>
        <w:t>元数据血缘分析中。例如，  广东移动于 2021 年</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 xml:space="preserve">建立了基于图数据库的血缘分析，通过模型算法转换模型命名规则，解析模型关系、建模 </w:t>
      </w:r>
      <w:r>
        <w:rPr>
          <w:rFonts w:ascii="微软雅黑" w:hAnsi="微软雅黑" w:eastAsia="微软雅黑" w:cs="微软雅黑"/>
          <w:color w:val="231F20"/>
          <w:sz w:val="22"/>
          <w:szCs w:val="22"/>
        </w:rPr>
        <w:t>SQL</w:t>
      </w:r>
      <w:r>
        <w:rPr>
          <w:rFonts w:ascii="微软雅黑" w:hAnsi="微软雅黑" w:eastAsia="微软雅黑" w:cs="微软雅黑"/>
          <w:color w:val="231F20"/>
          <w:spacing w:val="2"/>
          <w:sz w:val="22"/>
          <w:szCs w:val="22"/>
        </w:rPr>
        <w:t>、</w:t>
      </w:r>
      <w:r>
        <w:rPr>
          <w:rFonts w:ascii="微软雅黑" w:hAnsi="微软雅黑" w:eastAsia="微软雅黑" w:cs="微软雅黑"/>
          <w:color w:val="231F20"/>
          <w:spacing w:val="18"/>
          <w:sz w:val="22"/>
          <w:szCs w:val="22"/>
        </w:rPr>
        <w:t xml:space="preserve"> </w:t>
      </w:r>
      <w:r>
        <w:rPr>
          <w:rFonts w:ascii="微软雅黑" w:hAnsi="微软雅黑" w:eastAsia="微软雅黑" w:cs="微软雅黑"/>
          <w:color w:val="231F20"/>
          <w:sz w:val="22"/>
          <w:szCs w:val="22"/>
        </w:rPr>
        <w:t>程序日志，自动形成元数据实体与元数据关系。截至目前，总计解析 80W 条</w:t>
      </w:r>
      <w:r>
        <w:rPr>
          <w:rFonts w:ascii="微软雅黑" w:hAnsi="微软雅黑" w:eastAsia="微软雅黑" w:cs="微软雅黑"/>
          <w:color w:val="231F20"/>
          <w:spacing w:val="-1"/>
          <w:sz w:val="22"/>
          <w:szCs w:val="22"/>
        </w:rPr>
        <w:t>程序日志，解析率达</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98%；形成可靠的元数据实体之间的血缘关系，血缘分析周期缩短 6</w:t>
      </w:r>
      <w:r>
        <w:rPr>
          <w:rFonts w:ascii="微软雅黑" w:hAnsi="微软雅黑" w:eastAsia="微软雅黑" w:cs="微软雅黑"/>
          <w:color w:val="231F20"/>
          <w:sz w:val="22"/>
          <w:szCs w:val="22"/>
        </w:rPr>
        <w:t>0%。</w:t>
      </w:r>
    </w:p>
    <w:p w14:paraId="1C5E56F3">
      <w:pPr>
        <w:pStyle w:val="2"/>
        <w:spacing w:line="275" w:lineRule="auto"/>
      </w:pPr>
    </w:p>
    <w:p w14:paraId="55A0B17B">
      <w:pPr>
        <w:spacing w:before="78" w:line="212" w:lineRule="auto"/>
        <w:ind w:left="5513"/>
        <w:rPr>
          <w:rFonts w:hint="eastAsia" w:ascii="宋体" w:hAnsi="宋体" w:eastAsia="宋体" w:cs="宋体"/>
          <w:sz w:val="24"/>
          <w:szCs w:val="24"/>
          <w:lang w:eastAsia="zh-CN"/>
        </w:rPr>
      </w:pPr>
      <w:r>
        <w:pict>
          <v:shape id="_x0000_s1102" o:spid="_x0000_s1102" o:spt="202" type="#_x0000_t202" style="position:absolute;left:0pt;margin-left:241.9pt;margin-top:-1.75pt;height:11.35pt;width:12.05pt;z-index:251760640;mso-width-relative:page;mso-height-relative:page;" filled="f" stroked="f" coordsize="21600,21600">
            <v:path/>
            <v:fill on="f" focussize="0,0"/>
            <v:stroke on="f"/>
            <v:imagedata o:title=""/>
            <o:lock v:ext="edit" aspectratio="f"/>
            <v:textbox inset="0mm,0mm,0mm,0mm">
              <w:txbxContent>
                <w:p w14:paraId="62BD5250">
                  <w:pPr>
                    <w:pStyle w:val="2"/>
                    <w:spacing w:before="20" w:line="194" w:lineRule="auto"/>
                    <w:ind w:left="20"/>
                    <w:rPr>
                      <w:sz w:val="20"/>
                      <w:szCs w:val="20"/>
                    </w:rPr>
                  </w:pPr>
                  <w:r>
                    <w:rPr>
                      <w:color w:val="231F20"/>
                      <w:spacing w:val="-6"/>
                      <w:sz w:val="20"/>
                      <w:szCs w:val="20"/>
                    </w:rPr>
                    <w:t>17</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7BA07C23">
      <w:pPr>
        <w:spacing w:line="212" w:lineRule="auto"/>
        <w:rPr>
          <w:rFonts w:ascii="宋体" w:hAnsi="宋体" w:eastAsia="宋体" w:cs="宋体"/>
          <w:sz w:val="24"/>
          <w:szCs w:val="24"/>
        </w:rPr>
        <w:sectPr>
          <w:pgSz w:w="11906" w:h="16158"/>
          <w:pgMar w:top="400" w:right="1178" w:bottom="400" w:left="1004" w:header="0" w:footer="0" w:gutter="0"/>
          <w:cols w:space="720" w:num="1"/>
        </w:sectPr>
      </w:pPr>
    </w:p>
    <w:p w14:paraId="1E2E6CEC">
      <w:pPr>
        <w:pStyle w:val="2"/>
        <w:spacing w:line="349" w:lineRule="auto"/>
      </w:pPr>
    </w:p>
    <w:p w14:paraId="683672A1">
      <w:pPr>
        <w:pStyle w:val="2"/>
        <w:spacing w:line="350" w:lineRule="auto"/>
      </w:pPr>
    </w:p>
    <w:p w14:paraId="7F05206D">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-2</w:t>
      </w:r>
    </w:p>
    <w:p w14:paraId="28E311E0">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6DE79932">
      <w:pPr>
        <w:pStyle w:val="2"/>
        <w:spacing w:line="283" w:lineRule="auto"/>
      </w:pPr>
    </w:p>
    <w:p w14:paraId="6B700309">
      <w:pPr>
        <w:pStyle w:val="2"/>
        <w:spacing w:line="283" w:lineRule="auto"/>
      </w:pPr>
    </w:p>
    <w:p w14:paraId="420ECC56">
      <w:pPr>
        <w:pStyle w:val="2"/>
        <w:spacing w:line="284" w:lineRule="auto"/>
      </w:pPr>
    </w:p>
    <w:p w14:paraId="0876AEFD">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8"/>
          <w:sz w:val="28"/>
          <w:szCs w:val="28"/>
        </w:rPr>
        <w:t>( 七 )</w:t>
      </w:r>
      <w:r>
        <w:rPr>
          <w:rFonts w:ascii="微软雅黑" w:hAnsi="微软雅黑" w:eastAsia="微软雅黑" w:cs="微软雅黑"/>
          <w:color w:val="648676"/>
          <w:spacing w:val="30"/>
          <w:sz w:val="28"/>
          <w:szCs w:val="28"/>
        </w:rPr>
        <w:t xml:space="preserve"> </w:t>
      </w:r>
      <w:r>
        <w:rPr>
          <w:rFonts w:ascii="微软雅黑" w:hAnsi="微软雅黑" w:eastAsia="微软雅黑" w:cs="微软雅黑"/>
          <w:color w:val="648676"/>
          <w:spacing w:val="8"/>
          <w:sz w:val="28"/>
          <w:szCs w:val="28"/>
        </w:rPr>
        <w:t>数据开发管理</w:t>
      </w:r>
    </w:p>
    <w:p w14:paraId="1D4EFA34">
      <w:pPr>
        <w:pStyle w:val="2"/>
        <w:spacing w:line="410" w:lineRule="auto"/>
      </w:pPr>
    </w:p>
    <w:p w14:paraId="7E20E4EB">
      <w:pPr>
        <w:spacing w:before="95" w:line="289" w:lineRule="auto"/>
        <w:ind w:left="247" w:firstLine="481"/>
        <w:rPr>
          <w:rFonts w:ascii="微软雅黑" w:hAnsi="微软雅黑" w:eastAsia="微软雅黑" w:cs="微软雅黑"/>
          <w:sz w:val="22"/>
          <w:szCs w:val="22"/>
        </w:rPr>
      </w:pPr>
      <w:r>
        <w:rPr>
          <w:rFonts w:ascii="微软雅黑" w:hAnsi="微软雅黑" w:eastAsia="微软雅黑" w:cs="微软雅黑"/>
          <w:color w:val="231F20"/>
          <w:spacing w:val="8"/>
          <w:sz w:val="22"/>
          <w:szCs w:val="22"/>
        </w:rPr>
        <w:t>数据开发是指将原始数据加工为数据资产的各类处理过程。</w:t>
      </w:r>
      <w:r>
        <w:rPr>
          <w:rFonts w:ascii="微软雅黑" w:hAnsi="微软雅黑" w:eastAsia="微软雅黑" w:cs="微软雅黑"/>
          <w:color w:val="231F20"/>
          <w:spacing w:val="-34"/>
          <w:sz w:val="22"/>
          <w:szCs w:val="22"/>
        </w:rPr>
        <w:t xml:space="preserve"> </w:t>
      </w:r>
      <w:r>
        <w:rPr>
          <w:rFonts w:ascii="微软雅黑" w:hAnsi="微软雅黑" w:eastAsia="微软雅黑" w:cs="微软雅黑"/>
          <w:color w:val="231F20"/>
          <w:spacing w:val="8"/>
          <w:sz w:val="22"/>
          <w:szCs w:val="22"/>
        </w:rPr>
        <w:t>数据开发管理是指通过建立开</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发管理规范与管理机制，面向数据、程序、任务等处理对象，</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pacing w:val="-2"/>
          <w:sz w:val="22"/>
          <w:szCs w:val="22"/>
        </w:rPr>
        <w:t>对开发过程和质量进行监控与管控，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使数据资产管理的开发逻辑清晰化、开发过程标准化，增强开发任务的复用性，提升开发的效</w:t>
      </w:r>
      <w:r>
        <w:rPr>
          <w:rFonts w:ascii="微软雅黑" w:hAnsi="微软雅黑" w:eastAsia="微软雅黑" w:cs="微软雅黑"/>
          <w:color w:val="231F20"/>
          <w:sz w:val="22"/>
          <w:szCs w:val="22"/>
        </w:rPr>
        <w:t>率。</w:t>
      </w:r>
    </w:p>
    <w:p w14:paraId="1EB896CE">
      <w:pPr>
        <w:spacing w:before="29" w:line="178" w:lineRule="auto"/>
        <w:ind w:left="728"/>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数据开发管理的关键活动包括：</w:t>
      </w:r>
    </w:p>
    <w:p w14:paraId="18FCF89A">
      <w:pPr>
        <w:spacing w:before="167" w:line="206" w:lineRule="auto"/>
        <w:ind w:left="818"/>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w:t>
      </w:r>
      <w:r>
        <w:rPr>
          <w:rFonts w:ascii="微软雅黑" w:hAnsi="微软雅黑" w:eastAsia="微软雅黑" w:cs="微软雅黑"/>
          <w:color w:val="231F20"/>
          <w:spacing w:val="-43"/>
          <w:sz w:val="22"/>
          <w:szCs w:val="22"/>
        </w:rPr>
        <w:t xml:space="preserve"> </w:t>
      </w:r>
      <w:r>
        <w:rPr>
          <w:rFonts w:ascii="微软雅黑" w:hAnsi="微软雅黑" w:eastAsia="微软雅黑" w:cs="微软雅黑"/>
          <w:color w:val="231F20"/>
          <w:spacing w:val="1"/>
          <w:sz w:val="22"/>
          <w:szCs w:val="22"/>
        </w:rPr>
        <w:t>数据开发管理计划：制定数据集成、开发、运维规范；</w:t>
      </w:r>
    </w:p>
    <w:p w14:paraId="4EED350C">
      <w:pPr>
        <w:spacing w:before="136" w:line="289" w:lineRule="auto"/>
        <w:ind w:left="248" w:right="96" w:firstLine="569"/>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·数据开发管理执行：建设集成了数据集成、程序开发、程序测试、任务调度</w:t>
      </w:r>
      <w:r>
        <w:rPr>
          <w:rFonts w:ascii="微软雅黑" w:hAnsi="微软雅黑" w:eastAsia="微软雅黑" w:cs="微软雅黑"/>
          <w:color w:val="231F20"/>
          <w:spacing w:val="4"/>
          <w:sz w:val="22"/>
          <w:szCs w:val="22"/>
        </w:rPr>
        <w:t>、任务运维等</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能力的一体化数据开发工具；根据数据集成规范，进行逻辑或物理的数据集成；根据数</w:t>
      </w:r>
      <w:r>
        <w:rPr>
          <w:rFonts w:ascii="微软雅黑" w:hAnsi="微软雅黑" w:eastAsia="微软雅黑" w:cs="微软雅黑"/>
          <w:color w:val="231F20"/>
          <w:spacing w:val="3"/>
          <w:sz w:val="22"/>
          <w:szCs w:val="22"/>
        </w:rPr>
        <w:t>据使用方</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5"/>
          <w:sz w:val="22"/>
          <w:szCs w:val="22"/>
        </w:rPr>
        <w:t>的需求，进行数据开发；</w:t>
      </w:r>
    </w:p>
    <w:p w14:paraId="789524AF">
      <w:pPr>
        <w:spacing w:before="16" w:line="206" w:lineRule="auto"/>
        <w:ind w:left="818"/>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w:t>
      </w:r>
      <w:r>
        <w:rPr>
          <w:rFonts w:ascii="微软雅黑" w:hAnsi="微软雅黑" w:eastAsia="微软雅黑" w:cs="微软雅黑"/>
          <w:color w:val="231F20"/>
          <w:spacing w:val="-42"/>
          <w:sz w:val="22"/>
          <w:szCs w:val="22"/>
        </w:rPr>
        <w:t xml:space="preserve"> </w:t>
      </w:r>
      <w:r>
        <w:rPr>
          <w:rFonts w:ascii="微软雅黑" w:hAnsi="微软雅黑" w:eastAsia="微软雅黑" w:cs="微软雅黑"/>
          <w:color w:val="231F20"/>
          <w:spacing w:val="1"/>
          <w:sz w:val="22"/>
          <w:szCs w:val="22"/>
        </w:rPr>
        <w:t>数据开发管理检查：监控数据处理任务的运行情况</w:t>
      </w:r>
      <w:r>
        <w:rPr>
          <w:rFonts w:ascii="微软雅黑" w:hAnsi="微软雅黑" w:eastAsia="微软雅黑" w:cs="微软雅黑"/>
          <w:color w:val="231F20"/>
          <w:sz w:val="22"/>
          <w:szCs w:val="22"/>
        </w:rPr>
        <w:t>，并及时处理各类异常；</w:t>
      </w:r>
    </w:p>
    <w:p w14:paraId="57A48B39">
      <w:pPr>
        <w:spacing w:before="134" w:line="288" w:lineRule="auto"/>
        <w:ind w:left="249" w:right="103" w:firstLine="568"/>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w:t>
      </w:r>
      <w:r>
        <w:rPr>
          <w:rFonts w:ascii="微软雅黑" w:hAnsi="微软雅黑" w:eastAsia="微软雅黑" w:cs="微软雅黑"/>
          <w:color w:val="231F20"/>
          <w:spacing w:val="-32"/>
          <w:sz w:val="22"/>
          <w:szCs w:val="22"/>
        </w:rPr>
        <w:t xml:space="preserve"> </w:t>
      </w:r>
      <w:r>
        <w:rPr>
          <w:rFonts w:ascii="微软雅黑" w:hAnsi="微软雅黑" w:eastAsia="微软雅黑" w:cs="微软雅黑"/>
          <w:color w:val="231F20"/>
          <w:spacing w:val="4"/>
          <w:sz w:val="22"/>
          <w:szCs w:val="22"/>
        </w:rPr>
        <w:t>数据开发管理改进：定期进行数据集成、开发、运维工作复盘，并以此为基础，对相关规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范进行持续迭代。</w:t>
      </w:r>
    </w:p>
    <w:p w14:paraId="471BE993">
      <w:pPr>
        <w:spacing w:before="18" w:line="291" w:lineRule="auto"/>
        <w:ind w:left="247" w:right="27" w:firstLine="482"/>
        <w:jc w:val="both"/>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依托统一数据开发平台，从技术侧和管理侧提升数据开发管</w:t>
      </w:r>
      <w:r>
        <w:rPr>
          <w:rFonts w:ascii="微软雅黑" w:hAnsi="微软雅黑" w:eastAsia="微软雅黑" w:cs="微软雅黑"/>
          <w:color w:val="231F20"/>
          <w:spacing w:val="-3"/>
          <w:sz w:val="22"/>
          <w:szCs w:val="22"/>
        </w:rPr>
        <w:t>理效率。例如，中国工商银行搭建</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了大数据开发工作站和研发与测试管理系统，对数据开发过程进行效率</w:t>
      </w:r>
      <w:r>
        <w:rPr>
          <w:rFonts w:ascii="微软雅黑" w:hAnsi="微软雅黑" w:eastAsia="微软雅黑" w:cs="微软雅黑"/>
          <w:color w:val="231F20"/>
          <w:spacing w:val="-2"/>
          <w:sz w:val="22"/>
          <w:szCs w:val="22"/>
        </w:rPr>
        <w:t>管控。大数据开发工作站创</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造了生产工作区，与常规生产运行资源、数据资源等解</w:t>
      </w:r>
      <w:r>
        <w:rPr>
          <w:rFonts w:ascii="微软雅黑" w:hAnsi="微软雅黑" w:eastAsia="微软雅黑" w:cs="微软雅黑"/>
          <w:color w:val="231F20"/>
          <w:spacing w:val="-10"/>
          <w:sz w:val="22"/>
          <w:szCs w:val="22"/>
        </w:rPr>
        <w:t>耦隔离，构建端到端的数据服务流水线。同时，</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在现有 Hive、MPPDB 等批量加工的基础上，进一步满足流式数据加工、联机数据访问服务的开发</w:t>
      </w:r>
      <w:r>
        <w:rPr>
          <w:rFonts w:ascii="微软雅黑" w:hAnsi="微软雅黑" w:eastAsia="微软雅黑" w:cs="微软雅黑"/>
          <w:color w:val="231F20"/>
          <w:spacing w:val="5"/>
          <w:sz w:val="22"/>
          <w:szCs w:val="22"/>
        </w:rPr>
        <w:t xml:space="preserve">  </w:t>
      </w:r>
      <w:r>
        <w:rPr>
          <w:rFonts w:ascii="微软雅黑" w:hAnsi="微软雅黑" w:eastAsia="微软雅黑" w:cs="微软雅黑"/>
          <w:color w:val="231F20"/>
          <w:spacing w:val="-2"/>
          <w:sz w:val="22"/>
          <w:szCs w:val="22"/>
        </w:rPr>
        <w:t>场景，将语言由 SQL 向 Spark、Python 等扩展。测试管理系统建立了数据开发需求管理指标，包</w:t>
      </w:r>
      <w:r>
        <w:rPr>
          <w:rFonts w:ascii="微软雅黑" w:hAnsi="微软雅黑" w:eastAsia="微软雅黑" w:cs="微软雅黑"/>
          <w:color w:val="231F20"/>
          <w:spacing w:val="7"/>
          <w:sz w:val="22"/>
          <w:szCs w:val="22"/>
        </w:rPr>
        <w:t xml:space="preserve">  </w:t>
      </w:r>
      <w:r>
        <w:rPr>
          <w:rFonts w:ascii="微软雅黑" w:hAnsi="微软雅黑" w:eastAsia="微软雅黑" w:cs="微软雅黑"/>
          <w:color w:val="231F20"/>
          <w:spacing w:val="-3"/>
          <w:sz w:val="22"/>
          <w:szCs w:val="22"/>
        </w:rPr>
        <w:t>括需求项平均周期、开发前置时间、开发节奏等。此外，采用“统计过程控制（Statistical Process</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6"/>
          <w:sz w:val="22"/>
          <w:szCs w:val="22"/>
        </w:rPr>
        <w:t>Control）”的理念，使用统计方法对开发过程与任务进行实时质量监控。相较</w:t>
      </w:r>
      <w:r>
        <w:rPr>
          <w:rFonts w:ascii="微软雅黑" w:hAnsi="微软雅黑" w:eastAsia="微软雅黑" w:cs="微软雅黑"/>
          <w:color w:val="231F20"/>
          <w:spacing w:val="-7"/>
          <w:sz w:val="22"/>
          <w:szCs w:val="22"/>
        </w:rPr>
        <w:t>于 2020 年第三季度，</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2021 年第三季度数据需求的平均研发周期大</w:t>
      </w:r>
      <w:r>
        <w:rPr>
          <w:rFonts w:ascii="微软雅黑" w:hAnsi="微软雅黑" w:eastAsia="微软雅黑" w:cs="微软雅黑"/>
          <w:color w:val="231F20"/>
          <w:spacing w:val="-5"/>
          <w:sz w:val="22"/>
          <w:szCs w:val="22"/>
        </w:rPr>
        <w:t>幅缩短，数据需求响应效率提升 60% 左右。</w:t>
      </w:r>
    </w:p>
    <w:p w14:paraId="52093919">
      <w:pPr>
        <w:spacing w:before="160" w:line="1952" w:lineRule="exact"/>
        <w:ind w:firstLine="2318"/>
      </w:pPr>
      <w:r>
        <w:pict>
          <v:rect id="_x0000_s1103" o:spid="_x0000_s1103" o:spt="1" style="position:absolute;left:0pt;margin-left:326.5pt;margin-top:44.3pt;height:1.25pt;width:4.35pt;z-index:251781120;mso-width-relative:page;mso-height-relative:page;" fillcolor="#DBE8E1" filled="t" stroked="f" coordsize="21600,21600">
            <v:path/>
            <v:fill on="t" focussize="0,0"/>
            <v:stroke on="f"/>
            <v:imagedata o:title=""/>
            <o:lock v:ext="edit"/>
          </v:rect>
        </w:pict>
      </w:r>
      <w:r>
        <w:pict>
          <v:rect id="_x0000_s1104" o:spid="_x0000_s1104" o:spt="1" style="position:absolute;left:0pt;margin-left:282.15pt;margin-top:45.55pt;height:3.1pt;width:3.1pt;z-index:251772928;mso-width-relative:page;mso-height-relative:page;" fillcolor="#D9E6DF" filled="t" stroked="f" coordsize="21600,21600">
            <v:path/>
            <v:fill on="t" focussize="0,0"/>
            <v:stroke on="f"/>
            <v:imagedata o:title=""/>
            <o:lock v:ext="edit"/>
          </v:rect>
        </w:pict>
      </w:r>
      <w:r>
        <w:pict>
          <v:group id="_x0000_s1105" o:spid="_x0000_s1105" o:spt="203" style="position:absolute;left:0pt;margin-left:379.45pt;margin-top:12.9pt;height:43.75pt;width:80.05pt;z-index:251761664;mso-width-relative:page;mso-height-relative:page;" coordsize="1601,875">
            <o:lock v:ext="edit"/>
            <v:shape id="_x0000_s1106" o:spid="_x0000_s1106" o:spt="75" type="#_x0000_t75" style="position:absolute;left:0;top:0;height:875;width:1601;" filled="f" stroked="f" coordsize="21600,21600">
              <v:path/>
              <v:fill on="f" focussize="0,0"/>
              <v:stroke on="f"/>
              <v:imagedata r:id="rId74" o:title=""/>
              <o:lock v:ext="edit" aspectratio="t"/>
            </v:shape>
            <v:shape id="_x0000_s1107" o:spid="_x0000_s1107" o:spt="202" type="#_x0000_t202" style="position:absolute;left:-20;top:-20;height:915;width:1641;" filled="f" stroked="f" coordsize="21600,21600">
              <v:path/>
              <v:fill on="f" focussize="0,0"/>
              <v:stroke on="f"/>
              <v:imagedata o:title=""/>
              <o:lock v:ext="edit" aspectratio="f"/>
              <v:textbox inset="0mm,0mm,0mm,0mm">
                <w:txbxContent>
                  <w:p w14:paraId="7FE55B3F">
                    <w:pPr>
                      <w:pStyle w:val="2"/>
                      <w:spacing w:line="277" w:lineRule="auto"/>
                    </w:pPr>
                  </w:p>
                  <w:p w14:paraId="42903067">
                    <w:pPr>
                      <w:spacing w:before="68" w:line="169" w:lineRule="exact"/>
                      <w:ind w:left="305"/>
                      <w:rPr>
                        <w:rFonts w:ascii="微软雅黑" w:hAnsi="微软雅黑" w:eastAsia="微软雅黑" w:cs="微软雅黑"/>
                        <w:sz w:val="16"/>
                        <w:szCs w:val="16"/>
                      </w:rPr>
                    </w:pPr>
                    <w:r>
                      <w:rPr>
                        <w:rFonts w:ascii="微软雅黑" w:hAnsi="微软雅黑" w:eastAsia="微软雅黑" w:cs="微软雅黑"/>
                        <w:color w:val="638778"/>
                        <w:spacing w:val="11"/>
                        <w:position w:val="-1"/>
                        <w:sz w:val="16"/>
                        <w:szCs w:val="16"/>
                      </w:rPr>
                      <w:t>研发测试环境</w:t>
                    </w:r>
                  </w:p>
                </w:txbxContent>
              </v:textbox>
            </v:shape>
          </v:group>
        </w:pict>
      </w:r>
      <w:r>
        <w:pict>
          <v:shape id="_x0000_s1108" o:spid="_x0000_s1108" o:spt="202" type="#_x0000_t202" style="position:absolute;left:0pt;margin-left:249.65pt;margin-top:12.85pt;height:11.6pt;width:60.9pt;z-index:251769856;mso-width-relative:page;mso-height-relative:page;" filled="f" stroked="f" coordsize="21600,21600">
            <v:path/>
            <v:fill on="f" focussize="0,0"/>
            <v:stroke on="f"/>
            <v:imagedata o:title=""/>
            <o:lock v:ext="edit" aspectratio="f"/>
            <v:textbox inset="0mm,0mm,0mm,0mm">
              <w:txbxContent>
                <w:p w14:paraId="0E8B9EA9">
                  <w:pPr>
                    <w:spacing w:before="20" w:line="191" w:lineRule="exact"/>
                    <w:ind w:left="20"/>
                    <w:rPr>
                      <w:rFonts w:ascii="微软雅黑" w:hAnsi="微软雅黑" w:eastAsia="微软雅黑" w:cs="微软雅黑"/>
                      <w:sz w:val="19"/>
                      <w:szCs w:val="19"/>
                    </w:rPr>
                  </w:pPr>
                  <w:r>
                    <w:rPr>
                      <w:rFonts w:ascii="微软雅黑" w:hAnsi="微软雅黑" w:eastAsia="微软雅黑" w:cs="微软雅黑"/>
                      <w:spacing w:val="6"/>
                      <w:position w:val="-1"/>
                      <w:sz w:val="19"/>
                      <w:szCs w:val="19"/>
                    </w:rPr>
                    <w:t>测试管理系统</w:t>
                  </w:r>
                </w:p>
              </w:txbxContent>
            </v:textbox>
          </v:shape>
        </w:pict>
      </w:r>
      <w:r>
        <w:pict>
          <v:shape id="_x0000_s1109" o:spid="_x0000_s1109" o:spt="202" type="#_x0000_t202" style="position:absolute;left:0pt;margin-left:292.4pt;margin-top:48.65pt;height:9.2pt;width:31.3pt;z-index:251774976;mso-width-relative:page;mso-height-relative:page;" filled="f" stroked="f" coordsize="21600,21600">
            <v:path/>
            <v:fill on="f" focussize="0,0"/>
            <v:stroke on="f"/>
            <v:imagedata o:title=""/>
            <o:lock v:ext="edit" aspectratio="f"/>
            <v:textbox inset="0mm,0mm,0mm,0mm">
              <w:txbxContent>
                <w:p w14:paraId="026B9076">
                  <w:pPr>
                    <w:spacing w:before="20" w:line="143" w:lineRule="exact"/>
                    <w:ind w:left="20"/>
                    <w:rPr>
                      <w:rFonts w:ascii="微软雅黑" w:hAnsi="微软雅黑" w:eastAsia="微软雅黑" w:cs="微软雅黑"/>
                      <w:sz w:val="14"/>
                      <w:szCs w:val="14"/>
                    </w:rPr>
                  </w:pPr>
                  <w:r>
                    <w:rPr>
                      <w:rFonts w:ascii="微软雅黑" w:hAnsi="微软雅黑" w:eastAsia="微软雅黑" w:cs="微软雅黑"/>
                      <w:color w:val="3D3D3D"/>
                      <w:spacing w:val="6"/>
                      <w:position w:val="-1"/>
                      <w:sz w:val="14"/>
                      <w:szCs w:val="14"/>
                    </w:rPr>
                    <w:t>开发前置</w:t>
                  </w:r>
                </w:p>
              </w:txbxContent>
            </v:textbox>
          </v:shape>
        </w:pict>
      </w:r>
      <w:r>
        <w:pict>
          <v:shape id="_x0000_s1110" o:spid="_x0000_s1110" o:spt="202" type="#_x0000_t202" style="position:absolute;left:0pt;margin-left:300.05pt;margin-top:57.3pt;height:9.1pt;width:15.95pt;z-index:251776000;mso-width-relative:page;mso-height-relative:page;" filled="f" stroked="f" coordsize="21600,21600">
            <v:path/>
            <v:fill on="f" focussize="0,0"/>
            <v:stroke on="f"/>
            <v:imagedata o:title=""/>
            <o:lock v:ext="edit" aspectratio="f"/>
            <v:textbox inset="0mm,0mm,0mm,0mm">
              <w:txbxContent>
                <w:p w14:paraId="11F1DC50">
                  <w:pPr>
                    <w:spacing w:before="20" w:line="141" w:lineRule="exact"/>
                    <w:ind w:left="20"/>
                    <w:rPr>
                      <w:rFonts w:ascii="微软雅黑" w:hAnsi="微软雅黑" w:eastAsia="微软雅黑" w:cs="微软雅黑"/>
                      <w:sz w:val="14"/>
                      <w:szCs w:val="14"/>
                    </w:rPr>
                  </w:pPr>
                  <w:r>
                    <w:rPr>
                      <w:rFonts w:ascii="微软雅黑" w:hAnsi="微软雅黑" w:eastAsia="微软雅黑" w:cs="微软雅黑"/>
                      <w:color w:val="3D3D3D"/>
                      <w:spacing w:val="-1"/>
                      <w:position w:val="-1"/>
                      <w:sz w:val="14"/>
                      <w:szCs w:val="14"/>
                    </w:rPr>
                    <w:t>时间</w:t>
                  </w:r>
                </w:p>
              </w:txbxContent>
            </v:textbox>
          </v:shape>
        </w:pict>
      </w:r>
      <w:r>
        <w:pict>
          <v:group id="_x0000_s1111" o:spid="_x0000_s1111" o:spt="203" style="position:absolute;left:0pt;margin-left:378.85pt;margin-top:68.35pt;height:35.75pt;width:80.7pt;z-index:251762688;mso-width-relative:page;mso-height-relative:page;" coordsize="1613,715">
            <o:lock v:ext="edit"/>
            <v:shape id="_x0000_s1112" o:spid="_x0000_s1112" o:spt="75" type="#_x0000_t75" style="position:absolute;left:0;top:0;height:715;width:1613;" filled="f" stroked="f" coordsize="21600,21600">
              <v:path/>
              <v:fill on="f" focussize="0,0"/>
              <v:stroke on="f"/>
              <v:imagedata r:id="rId75" o:title=""/>
              <o:lock v:ext="edit" aspectratio="t"/>
            </v:shape>
            <v:rect id="_x0000_s1113" o:spid="_x0000_s1113" o:spt="1" style="position:absolute;left:73;top:49;height:579;width:1478;" fillcolor="#C4D4CC" filled="t" stroked="f" coordsize="21600,21600">
              <v:path/>
              <v:fill on="t" focussize="0,0"/>
              <v:stroke on="f"/>
              <v:imagedata o:title=""/>
              <o:lock v:ext="edit"/>
            </v:rect>
            <v:shape id="_x0000_s1114" o:spid="_x0000_s1114" o:spt="202" type="#_x0000_t202" style="position:absolute;left:440;top:233;height:210;width:725;" filled="f" stroked="f" coordsize="21600,21600">
              <v:path/>
              <v:fill on="f" focussize="0,0"/>
              <v:stroke on="f"/>
              <v:imagedata o:title=""/>
              <o:lock v:ext="edit" aspectratio="f"/>
              <v:textbox inset="0mm,0mm,0mm,0mm">
                <w:txbxContent>
                  <w:p w14:paraId="265A4083">
                    <w:pPr>
                      <w:spacing w:before="20" w:line="169" w:lineRule="exact"/>
                      <w:ind w:left="20"/>
                      <w:rPr>
                        <w:rFonts w:ascii="微软雅黑" w:hAnsi="微软雅黑" w:eastAsia="微软雅黑" w:cs="微软雅黑"/>
                        <w:sz w:val="16"/>
                        <w:szCs w:val="16"/>
                      </w:rPr>
                    </w:pPr>
                    <w:r>
                      <w:rPr>
                        <w:rFonts w:ascii="微软雅黑" w:hAnsi="微软雅黑" w:eastAsia="微软雅黑" w:cs="微软雅黑"/>
                        <w:color w:val="638778"/>
                        <w:spacing w:val="11"/>
                        <w:position w:val="-1"/>
                        <w:sz w:val="16"/>
                        <w:szCs w:val="16"/>
                      </w:rPr>
                      <w:t>生产环境</w:t>
                    </w:r>
                  </w:p>
                </w:txbxContent>
              </v:textbox>
            </v:shape>
          </v:group>
        </w:pict>
      </w:r>
      <w:r>
        <w:pict>
          <v:group id="_x0000_s1115" o:spid="_x0000_s1115" o:spt="203" style="position:absolute;left:0pt;margin-left:255.1pt;margin-top:70.2pt;height:12.95pt;width:52.35pt;z-index:251780096;mso-width-relative:page;mso-height-relative:page;" coordsize="1046,258">
            <o:lock v:ext="edit"/>
            <v:shape id="_x0000_s1116" o:spid="_x0000_s1116" o:spt="75" type="#_x0000_t75" style="position:absolute;left:0;top:0;height:258;width:1046;" filled="f" stroked="f" coordsize="21600,21600">
              <v:path/>
              <v:fill on="f" focussize="0,0"/>
              <v:stroke on="f"/>
              <v:imagedata r:id="rId76" o:title=""/>
              <o:lock v:ext="edit" aspectratio="t"/>
            </v:shape>
            <v:shape id="_x0000_s1117" o:spid="_x0000_s1117" o:spt="202" type="#_x0000_t202" style="position:absolute;left:-20;top:-20;height:298;width:1086;" filled="f" stroked="f" coordsize="21600,21600">
              <v:path/>
              <v:fill on="f" focussize="0,0"/>
              <v:stroke on="f"/>
              <v:imagedata o:title=""/>
              <o:lock v:ext="edit" aspectratio="f"/>
              <v:textbox inset="0mm,0mm,0mm,0mm">
                <w:txbxContent>
                  <w:p w14:paraId="43EBC108">
                    <w:pPr>
                      <w:spacing w:before="80" w:line="144" w:lineRule="exact"/>
                      <w:ind w:left="249"/>
                      <w:rPr>
                        <w:rFonts w:ascii="微软雅黑" w:hAnsi="微软雅黑" w:eastAsia="微软雅黑" w:cs="微软雅黑"/>
                        <w:sz w:val="14"/>
                        <w:szCs w:val="14"/>
                      </w:rPr>
                    </w:pPr>
                    <w:r>
                      <w:rPr>
                        <w:rFonts w:ascii="微软雅黑" w:hAnsi="微软雅黑" w:eastAsia="微软雅黑" w:cs="微软雅黑"/>
                        <w:color w:val="3D3D3D"/>
                        <w:spacing w:val="6"/>
                        <w:position w:val="-1"/>
                        <w:sz w:val="14"/>
                        <w:szCs w:val="14"/>
                      </w:rPr>
                      <w:t>开发节奏</w:t>
                    </w:r>
                  </w:p>
                </w:txbxContent>
              </v:textbox>
            </v:shape>
          </v:group>
        </w:pict>
      </w:r>
      <w:r>
        <w:pict>
          <v:shape id="_x0000_s1118" o:spid="_x0000_s1118" o:spt="202" type="#_x0000_t202" style="position:absolute;left:0pt;margin-left:42.75pt;margin-top:69.7pt;height:10.4pt;width:53.45pt;z-index:251765760;mso-width-relative:page;mso-height-relative:page;" filled="f" stroked="f" coordsize="21600,21600">
            <v:path/>
            <v:fill on="f" focussize="0,0"/>
            <v:stroke on="f"/>
            <v:imagedata o:title=""/>
            <o:lock v:ext="edit" aspectratio="f"/>
            <v:textbox inset="0mm,0mm,0mm,0mm">
              <w:txbxContent>
                <w:p w14:paraId="78DE613E">
                  <w:pPr>
                    <w:spacing w:before="20" w:line="167" w:lineRule="exact"/>
                    <w:ind w:left="20"/>
                    <w:rPr>
                      <w:rFonts w:ascii="微软雅黑" w:hAnsi="微软雅黑" w:eastAsia="微软雅黑" w:cs="微软雅黑"/>
                      <w:sz w:val="16"/>
                      <w:szCs w:val="16"/>
                    </w:rPr>
                  </w:pPr>
                  <w:r>
                    <w:rPr>
                      <w:rFonts w:ascii="微软雅黑" w:hAnsi="微软雅黑" w:eastAsia="微软雅黑" w:cs="微软雅黑"/>
                      <w:color w:val="638778"/>
                      <w:spacing w:val="11"/>
                      <w:sz w:val="16"/>
                      <w:szCs w:val="16"/>
                    </w:rPr>
                    <w:t>数据开发人员</w:t>
                  </w:r>
                </w:p>
              </w:txbxContent>
            </v:textbox>
          </v:shape>
        </w:pict>
      </w:r>
      <w:r>
        <w:pict>
          <v:shape id="_x0000_s1119" o:spid="_x0000_s1119" o:spt="202" type="#_x0000_t202" style="position:absolute;left:0pt;margin-left:259.7pt;margin-top:87.65pt;height:9.25pt;width:45.75pt;z-index:251783168;mso-width-relative:page;mso-height-relative:page;" filled="f" stroked="f" coordsize="21600,21600">
            <v:path/>
            <v:fill on="f" focussize="0,0"/>
            <v:stroke on="f"/>
            <v:imagedata o:title=""/>
            <o:lock v:ext="edit" aspectratio="f"/>
            <v:textbox inset="0mm,0mm,0mm,0mm">
              <w:txbxContent>
                <w:p w14:paraId="17CE83AF">
                  <w:pPr>
                    <w:spacing w:before="20" w:line="144" w:lineRule="exact"/>
                    <w:ind w:left="20"/>
                    <w:rPr>
                      <w:rFonts w:ascii="微软雅黑" w:hAnsi="微软雅黑" w:eastAsia="微软雅黑" w:cs="微软雅黑"/>
                      <w:sz w:val="14"/>
                      <w:szCs w:val="14"/>
                    </w:rPr>
                  </w:pPr>
                  <w:r>
                    <w:rPr>
                      <w:rFonts w:ascii="微软雅黑" w:hAnsi="微软雅黑" w:eastAsia="微软雅黑" w:cs="微软雅黑"/>
                      <w:color w:val="3D3D3D"/>
                      <w:spacing w:val="5"/>
                      <w:position w:val="-1"/>
                      <w:sz w:val="14"/>
                      <w:szCs w:val="14"/>
                    </w:rPr>
                    <w:t>统计过程控制</w:t>
                  </w:r>
                </w:p>
              </w:txbxContent>
            </v:textbox>
          </v:shape>
        </w:pict>
      </w:r>
      <w:r>
        <w:drawing>
          <wp:anchor distT="0" distB="0" distL="0" distR="0" simplePos="0" relativeHeight="251764736" behindDoc="0" locked="0" layoutInCell="1" allowOverlap="1">
            <wp:simplePos x="0" y="0"/>
            <wp:positionH relativeFrom="column">
              <wp:posOffset>736600</wp:posOffset>
            </wp:positionH>
            <wp:positionV relativeFrom="paragraph">
              <wp:posOffset>523875</wp:posOffset>
            </wp:positionV>
            <wp:extent cx="227965" cy="320675"/>
            <wp:effectExtent l="0" t="0" r="0" b="0"/>
            <wp:wrapNone/>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77"/>
                    <a:stretch>
                      <a:fillRect/>
                    </a:stretch>
                  </pic:blipFill>
                  <pic:spPr>
                    <a:xfrm>
                      <a:off x="0" y="0"/>
                      <a:ext cx="228168" cy="320624"/>
                    </a:xfrm>
                    <a:prstGeom prst="rect">
                      <a:avLst/>
                    </a:prstGeom>
                  </pic:spPr>
                </pic:pic>
              </a:graphicData>
            </a:graphic>
          </wp:anchor>
        </w:drawing>
      </w:r>
      <w:r>
        <w:drawing>
          <wp:anchor distT="0" distB="0" distL="0" distR="0" simplePos="0" relativeHeight="251768832" behindDoc="0" locked="0" layoutInCell="1" allowOverlap="1">
            <wp:simplePos x="0" y="0"/>
            <wp:positionH relativeFrom="column">
              <wp:posOffset>4424045</wp:posOffset>
            </wp:positionH>
            <wp:positionV relativeFrom="paragraph">
              <wp:posOffset>375285</wp:posOffset>
            </wp:positionV>
            <wp:extent cx="445770" cy="117475"/>
            <wp:effectExtent l="0" t="0" r="0" b="0"/>
            <wp:wrapNone/>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78"/>
                    <a:stretch>
                      <a:fillRect/>
                    </a:stretch>
                  </pic:blipFill>
                  <pic:spPr>
                    <a:xfrm>
                      <a:off x="0" y="0"/>
                      <a:ext cx="445744" cy="117297"/>
                    </a:xfrm>
                    <a:prstGeom prst="rect">
                      <a:avLst/>
                    </a:prstGeom>
                  </pic:spPr>
                </pic:pic>
              </a:graphicData>
            </a:graphic>
          </wp:anchor>
        </w:drawing>
      </w:r>
      <w:r>
        <w:drawing>
          <wp:anchor distT="0" distB="0" distL="0" distR="0" simplePos="0" relativeHeight="251771904" behindDoc="0" locked="0" layoutInCell="1" allowOverlap="1">
            <wp:simplePos x="0" y="0"/>
            <wp:positionH relativeFrom="column">
              <wp:posOffset>3583305</wp:posOffset>
            </wp:positionH>
            <wp:positionV relativeFrom="paragraph">
              <wp:posOffset>578485</wp:posOffset>
            </wp:positionV>
            <wp:extent cx="664845" cy="320675"/>
            <wp:effectExtent l="0" t="0" r="0" b="0"/>
            <wp:wrapNone/>
            <wp:docPr id="120" name="IM 120"/>
            <wp:cNvGraphicFramePr/>
            <a:graphic xmlns:a="http://schemas.openxmlformats.org/drawingml/2006/main">
              <a:graphicData uri="http://schemas.openxmlformats.org/drawingml/2006/picture">
                <pic:pic xmlns:pic="http://schemas.openxmlformats.org/drawingml/2006/picture">
                  <pic:nvPicPr>
                    <pic:cNvPr id="120" name="IM 120"/>
                    <pic:cNvPicPr/>
                  </pic:nvPicPr>
                  <pic:blipFill>
                    <a:blip r:embed="rId79"/>
                    <a:stretch>
                      <a:fillRect/>
                    </a:stretch>
                  </pic:blipFill>
                  <pic:spPr>
                    <a:xfrm>
                      <a:off x="0" y="0"/>
                      <a:ext cx="664705" cy="320611"/>
                    </a:xfrm>
                    <a:prstGeom prst="rect">
                      <a:avLst/>
                    </a:prstGeom>
                  </pic:spPr>
                </pic:pic>
              </a:graphicData>
            </a:graphic>
          </wp:anchor>
        </w:drawing>
      </w:r>
      <w:r>
        <w:drawing>
          <wp:anchor distT="0" distB="0" distL="0" distR="0" simplePos="0" relativeHeight="251773952" behindDoc="0" locked="0" layoutInCell="1" allowOverlap="1">
            <wp:simplePos x="0" y="0"/>
            <wp:positionH relativeFrom="column">
              <wp:posOffset>3622675</wp:posOffset>
            </wp:positionH>
            <wp:positionV relativeFrom="paragraph">
              <wp:posOffset>562610</wp:posOffset>
            </wp:positionV>
            <wp:extent cx="578485" cy="391160"/>
            <wp:effectExtent l="0" t="0" r="0" b="0"/>
            <wp:wrapNone/>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80"/>
                    <a:stretch>
                      <a:fillRect/>
                    </a:stretch>
                  </pic:blipFill>
                  <pic:spPr>
                    <a:xfrm>
                      <a:off x="0" y="0"/>
                      <a:ext cx="578688" cy="390995"/>
                    </a:xfrm>
                    <a:prstGeom prst="rect">
                      <a:avLst/>
                    </a:prstGeom>
                  </pic:spPr>
                </pic:pic>
              </a:graphicData>
            </a:graphic>
          </wp:anchor>
        </w:drawing>
      </w:r>
      <w:r>
        <w:drawing>
          <wp:anchor distT="0" distB="0" distL="0" distR="0" simplePos="0" relativeHeight="251782144" behindDoc="0" locked="0" layoutInCell="1" allowOverlap="1">
            <wp:simplePos x="0" y="0"/>
            <wp:positionH relativeFrom="column">
              <wp:posOffset>2988945</wp:posOffset>
            </wp:positionH>
            <wp:positionV relativeFrom="paragraph">
              <wp:posOffset>1055370</wp:posOffset>
            </wp:positionV>
            <wp:extent cx="1204595" cy="285115"/>
            <wp:effectExtent l="0" t="0" r="0" b="0"/>
            <wp:wrapNone/>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81"/>
                    <a:stretch>
                      <a:fillRect/>
                    </a:stretch>
                  </pic:blipFill>
                  <pic:spPr>
                    <a:xfrm>
                      <a:off x="0" y="0"/>
                      <a:ext cx="1204290" cy="285381"/>
                    </a:xfrm>
                    <a:prstGeom prst="rect">
                      <a:avLst/>
                    </a:prstGeom>
                  </pic:spPr>
                </pic:pic>
              </a:graphicData>
            </a:graphic>
          </wp:anchor>
        </w:drawing>
      </w:r>
      <w:r>
        <w:drawing>
          <wp:anchor distT="0" distB="0" distL="0" distR="0" simplePos="0" relativeHeight="251767808" behindDoc="0" locked="0" layoutInCell="1" allowOverlap="1">
            <wp:simplePos x="0" y="0"/>
            <wp:positionH relativeFrom="column">
              <wp:posOffset>4416425</wp:posOffset>
            </wp:positionH>
            <wp:positionV relativeFrom="paragraph">
              <wp:posOffset>1024255</wp:posOffset>
            </wp:positionV>
            <wp:extent cx="445770" cy="117475"/>
            <wp:effectExtent l="0" t="0" r="0" b="0"/>
            <wp:wrapNone/>
            <wp:docPr id="126" name="IM 126"/>
            <wp:cNvGraphicFramePr/>
            <a:graphic xmlns:a="http://schemas.openxmlformats.org/drawingml/2006/main">
              <a:graphicData uri="http://schemas.openxmlformats.org/drawingml/2006/picture">
                <pic:pic xmlns:pic="http://schemas.openxmlformats.org/drawingml/2006/picture">
                  <pic:nvPicPr>
                    <pic:cNvPr id="126" name="IM 126"/>
                    <pic:cNvPicPr/>
                  </pic:nvPicPr>
                  <pic:blipFill>
                    <a:blip r:embed="rId82"/>
                    <a:stretch>
                      <a:fillRect/>
                    </a:stretch>
                  </pic:blipFill>
                  <pic:spPr>
                    <a:xfrm>
                      <a:off x="0" y="0"/>
                      <a:ext cx="445744" cy="117297"/>
                    </a:xfrm>
                    <a:prstGeom prst="rect">
                      <a:avLst/>
                    </a:prstGeom>
                  </pic:spPr>
                </pic:pic>
              </a:graphicData>
            </a:graphic>
          </wp:anchor>
        </w:drawing>
      </w:r>
      <w:r>
        <w:drawing>
          <wp:anchor distT="0" distB="0" distL="0" distR="0" simplePos="0" relativeHeight="251766784" behindDoc="0" locked="0" layoutInCell="1" allowOverlap="1">
            <wp:simplePos x="0" y="0"/>
            <wp:positionH relativeFrom="column">
              <wp:posOffset>1022350</wp:posOffset>
            </wp:positionH>
            <wp:positionV relativeFrom="paragraph">
              <wp:posOffset>697865</wp:posOffset>
            </wp:positionV>
            <wp:extent cx="445770" cy="121285"/>
            <wp:effectExtent l="0" t="0" r="0" b="0"/>
            <wp:wrapNone/>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83"/>
                    <a:stretch>
                      <a:fillRect/>
                    </a:stretch>
                  </pic:blipFill>
                  <pic:spPr>
                    <a:xfrm>
                      <a:off x="0" y="0"/>
                      <a:ext cx="445744" cy="120992"/>
                    </a:xfrm>
                    <a:prstGeom prst="rect">
                      <a:avLst/>
                    </a:prstGeom>
                  </pic:spPr>
                </pic:pic>
              </a:graphicData>
            </a:graphic>
          </wp:anchor>
        </w:drawing>
      </w:r>
      <w:r>
        <w:drawing>
          <wp:anchor distT="0" distB="0" distL="0" distR="0" simplePos="0" relativeHeight="251777024" behindDoc="0" locked="0" layoutInCell="1" allowOverlap="1">
            <wp:simplePos x="0" y="0"/>
            <wp:positionH relativeFrom="column">
              <wp:posOffset>3278505</wp:posOffset>
            </wp:positionH>
            <wp:positionV relativeFrom="paragraph">
              <wp:posOffset>859790</wp:posOffset>
            </wp:positionV>
            <wp:extent cx="578485" cy="195580"/>
            <wp:effectExtent l="0" t="0" r="0" b="0"/>
            <wp:wrapNone/>
            <wp:docPr id="130" name="IM 130"/>
            <wp:cNvGraphicFramePr/>
            <a:graphic xmlns:a="http://schemas.openxmlformats.org/drawingml/2006/main">
              <a:graphicData uri="http://schemas.openxmlformats.org/drawingml/2006/picture">
                <pic:pic xmlns:pic="http://schemas.openxmlformats.org/drawingml/2006/picture">
                  <pic:nvPicPr>
                    <pic:cNvPr id="130" name="IM 130"/>
                    <pic:cNvPicPr/>
                  </pic:nvPicPr>
                  <pic:blipFill>
                    <a:blip r:embed="rId84"/>
                    <a:stretch>
                      <a:fillRect/>
                    </a:stretch>
                  </pic:blipFill>
                  <pic:spPr>
                    <a:xfrm>
                      <a:off x="0" y="0"/>
                      <a:ext cx="578688" cy="195491"/>
                    </a:xfrm>
                    <a:prstGeom prst="rect">
                      <a:avLst/>
                    </a:prstGeom>
                  </pic:spPr>
                </pic:pic>
              </a:graphicData>
            </a:graphic>
          </wp:anchor>
        </w:drawing>
      </w:r>
      <w:r>
        <w:drawing>
          <wp:anchor distT="0" distB="0" distL="0" distR="0" simplePos="0" relativeHeight="251770880" behindDoc="0" locked="0" layoutInCell="1" allowOverlap="1">
            <wp:simplePos x="0" y="0"/>
            <wp:positionH relativeFrom="column">
              <wp:posOffset>3239135</wp:posOffset>
            </wp:positionH>
            <wp:positionV relativeFrom="paragraph">
              <wp:posOffset>859790</wp:posOffset>
            </wp:positionV>
            <wp:extent cx="39370" cy="101600"/>
            <wp:effectExtent l="0" t="0" r="0" b="0"/>
            <wp:wrapNone/>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85"/>
                    <a:stretch>
                      <a:fillRect/>
                    </a:stretch>
                  </pic:blipFill>
                  <pic:spPr>
                    <a:xfrm>
                      <a:off x="0" y="0"/>
                      <a:ext cx="39116" cy="101663"/>
                    </a:xfrm>
                    <a:prstGeom prst="rect">
                      <a:avLst/>
                    </a:prstGeom>
                  </pic:spPr>
                </pic:pic>
              </a:graphicData>
            </a:graphic>
          </wp:anchor>
        </w:drawing>
      </w:r>
      <w:r>
        <w:drawing>
          <wp:anchor distT="0" distB="0" distL="0" distR="0" simplePos="0" relativeHeight="251778048" behindDoc="0" locked="0" layoutInCell="1" allowOverlap="1">
            <wp:simplePos x="0" y="0"/>
            <wp:positionH relativeFrom="column">
              <wp:posOffset>3856990</wp:posOffset>
            </wp:positionH>
            <wp:positionV relativeFrom="paragraph">
              <wp:posOffset>859790</wp:posOffset>
            </wp:positionV>
            <wp:extent cx="46990" cy="93980"/>
            <wp:effectExtent l="0" t="0" r="0" b="0"/>
            <wp:wrapNone/>
            <wp:docPr id="134" name="IM 134"/>
            <wp:cNvGraphicFramePr/>
            <a:graphic xmlns:a="http://schemas.openxmlformats.org/drawingml/2006/main">
              <a:graphicData uri="http://schemas.openxmlformats.org/drawingml/2006/picture">
                <pic:pic xmlns:pic="http://schemas.openxmlformats.org/drawingml/2006/picture">
                  <pic:nvPicPr>
                    <pic:cNvPr id="134" name="IM 134"/>
                    <pic:cNvPicPr/>
                  </pic:nvPicPr>
                  <pic:blipFill>
                    <a:blip r:embed="rId86"/>
                    <a:stretch>
                      <a:fillRect/>
                    </a:stretch>
                  </pic:blipFill>
                  <pic:spPr>
                    <a:xfrm>
                      <a:off x="0" y="0"/>
                      <a:ext cx="46926" cy="93827"/>
                    </a:xfrm>
                    <a:prstGeom prst="rect">
                      <a:avLst/>
                    </a:prstGeom>
                  </pic:spPr>
                </pic:pic>
              </a:graphicData>
            </a:graphic>
          </wp:anchor>
        </w:drawing>
      </w:r>
      <w:r>
        <w:drawing>
          <wp:anchor distT="0" distB="0" distL="0" distR="0" simplePos="0" relativeHeight="251779072" behindDoc="0" locked="0" layoutInCell="1" allowOverlap="1">
            <wp:simplePos x="0" y="0"/>
            <wp:positionH relativeFrom="column">
              <wp:posOffset>3278505</wp:posOffset>
            </wp:positionH>
            <wp:positionV relativeFrom="paragraph">
              <wp:posOffset>859790</wp:posOffset>
            </wp:positionV>
            <wp:extent cx="578485" cy="101600"/>
            <wp:effectExtent l="0" t="0" r="0" b="0"/>
            <wp:wrapNone/>
            <wp:docPr id="136" name="IM 136"/>
            <wp:cNvGraphicFramePr/>
            <a:graphic xmlns:a="http://schemas.openxmlformats.org/drawingml/2006/main">
              <a:graphicData uri="http://schemas.openxmlformats.org/drawingml/2006/picture">
                <pic:pic xmlns:pic="http://schemas.openxmlformats.org/drawingml/2006/picture">
                  <pic:nvPicPr>
                    <pic:cNvPr id="136" name="IM 136"/>
                    <pic:cNvPicPr/>
                  </pic:nvPicPr>
                  <pic:blipFill>
                    <a:blip r:embed="rId87"/>
                    <a:stretch>
                      <a:fillRect/>
                    </a:stretch>
                  </pic:blipFill>
                  <pic:spPr>
                    <a:xfrm>
                      <a:off x="0" y="0"/>
                      <a:ext cx="578675" cy="101650"/>
                    </a:xfrm>
                    <a:prstGeom prst="rect">
                      <a:avLst/>
                    </a:prstGeom>
                  </pic:spPr>
                </pic:pic>
              </a:graphicData>
            </a:graphic>
          </wp:anchor>
        </w:drawing>
      </w:r>
      <w:r>
        <w:drawing>
          <wp:anchor distT="0" distB="0" distL="0" distR="0" simplePos="0" relativeHeight="251784192" behindDoc="0" locked="0" layoutInCell="1" allowOverlap="1">
            <wp:simplePos x="0" y="0"/>
            <wp:positionH relativeFrom="column">
              <wp:posOffset>3239770</wp:posOffset>
            </wp:positionH>
            <wp:positionV relativeFrom="paragraph">
              <wp:posOffset>1055370</wp:posOffset>
            </wp:positionV>
            <wp:extent cx="664845" cy="85725"/>
            <wp:effectExtent l="0" t="0" r="0" b="0"/>
            <wp:wrapNone/>
            <wp:docPr id="138" name="IM 138"/>
            <wp:cNvGraphicFramePr/>
            <a:graphic xmlns:a="http://schemas.openxmlformats.org/drawingml/2006/main">
              <a:graphicData uri="http://schemas.openxmlformats.org/drawingml/2006/picture">
                <pic:pic xmlns:pic="http://schemas.openxmlformats.org/drawingml/2006/picture">
                  <pic:nvPicPr>
                    <pic:cNvPr id="138" name="IM 138"/>
                    <pic:cNvPicPr/>
                  </pic:nvPicPr>
                  <pic:blipFill>
                    <a:blip r:embed="rId88"/>
                    <a:stretch>
                      <a:fillRect/>
                    </a:stretch>
                  </pic:blipFill>
                  <pic:spPr>
                    <a:xfrm>
                      <a:off x="0" y="0"/>
                      <a:ext cx="664718" cy="86017"/>
                    </a:xfrm>
                    <a:prstGeom prst="rect">
                      <a:avLst/>
                    </a:prstGeom>
                  </pic:spPr>
                </pic:pic>
              </a:graphicData>
            </a:graphic>
          </wp:anchor>
        </w:drawing>
      </w:r>
      <w:r>
        <w:rPr>
          <w:position w:val="-39"/>
        </w:rPr>
        <w:pict>
          <v:group id="_x0000_s1120" o:spid="_x0000_s1120" o:spt="203" style="height:97.6pt;width:232.8pt;" coordsize="4656,1951">
            <o:lock v:ext="edit"/>
            <v:shape id="_x0000_s1121" o:spid="_x0000_s1121" o:spt="75" type="#_x0000_t75" style="position:absolute;left:0;top:0;height:1951;width:4656;" filled="f" stroked="f" coordsize="21600,21600">
              <v:path/>
              <v:fill on="f" focussize="0,0"/>
              <v:stroke on="f"/>
              <v:imagedata r:id="rId89" o:title=""/>
              <o:lock v:ext="edit" aspectratio="t"/>
            </v:shape>
            <v:shape id="_x0000_s1122" o:spid="_x0000_s1122" o:spt="75" type="#_x0000_t75" style="position:absolute;left:2413;top:369;height:444;width:1798;" filled="f" stroked="f" coordsize="21600,21600">
              <v:path/>
              <v:fill on="f" focussize="0,0"/>
              <v:stroke on="f"/>
              <v:imagedata r:id="rId90" o:title=""/>
              <o:lock v:ext="edit" aspectratio="t"/>
            </v:shape>
            <v:shape id="_x0000_s1123" o:spid="_x0000_s1123" o:spt="75" type="#_x0000_t75" style="position:absolute;left:2266;top:763;height:505;width:911;" filled="f" stroked="f" coordsize="21600,21600">
              <v:path/>
              <v:fill on="f" focussize="0,0"/>
              <v:stroke on="f"/>
              <v:imagedata r:id="rId91" o:title=""/>
              <o:lock v:ext="edit" aspectratio="t"/>
            </v:shape>
            <v:rect id="_x0000_s1124" o:spid="_x0000_s1124" o:spt="1" style="position:absolute;left:2278;top:812;height:370;width:900;" fillcolor="#C4D4CC" filled="t" stroked="f" coordsize="21600,21600">
              <v:path/>
              <v:fill on="t" focussize="0,0"/>
              <v:stroke on="f"/>
              <v:imagedata o:title=""/>
              <o:lock v:ext="edit"/>
            </v:rect>
            <v:shape id="_x0000_s1125" o:spid="_x0000_s1125" o:spt="202" type="#_x0000_t202" style="position:absolute;left:302;top:97;height:1080;width:3892;" filled="f" stroked="f" coordsize="21600,21600">
              <v:path/>
              <v:fill on="f" focussize="0,0"/>
              <v:stroke on="f"/>
              <v:imagedata o:title=""/>
              <o:lock v:ext="edit" aspectratio="f"/>
              <v:textbox inset="0mm,0mm,0mm,0mm">
                <w:txbxContent>
                  <w:p w14:paraId="4D2D16D6">
                    <w:pPr>
                      <w:spacing w:before="20" w:line="192" w:lineRule="exact"/>
                      <w:ind w:firstLine="20"/>
                    </w:pPr>
                    <w:r>
                      <w:rPr>
                        <w:position w:val="-3"/>
                      </w:rPr>
                      <w:drawing>
                        <wp:inline distT="0" distB="0" distL="0" distR="0">
                          <wp:extent cx="996950" cy="121920"/>
                          <wp:effectExtent l="0" t="0" r="0" b="0"/>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96"/>
                                  <a:stretch>
                                    <a:fillRect/>
                                  </a:stretch>
                                </pic:blipFill>
                                <pic:spPr>
                                  <a:xfrm>
                                    <a:off x="0" y="0"/>
                                    <a:ext cx="997059" cy="121945"/>
                                  </a:xfrm>
                                  <a:prstGeom prst="rect">
                                    <a:avLst/>
                                  </a:prstGeom>
                                </pic:spPr>
                              </pic:pic>
                            </a:graphicData>
                          </a:graphic>
                        </wp:inline>
                      </w:drawing>
                    </w:r>
                  </w:p>
                  <w:p w14:paraId="1F6574B9">
                    <w:pPr>
                      <w:tabs>
                        <w:tab w:val="left" w:pos="2268"/>
                      </w:tabs>
                      <w:spacing w:before="165" w:line="145" w:lineRule="exact"/>
                      <w:ind w:left="2135"/>
                      <w:rPr>
                        <w:rFonts w:ascii="微软雅黑" w:hAnsi="微软雅黑" w:eastAsia="微软雅黑" w:cs="微软雅黑"/>
                        <w:sz w:val="15"/>
                        <w:szCs w:val="15"/>
                      </w:rPr>
                    </w:pPr>
                    <w:r>
                      <w:rPr>
                        <w:rFonts w:ascii="微软雅黑" w:hAnsi="微软雅黑" w:eastAsia="微软雅黑" w:cs="微软雅黑"/>
                        <w:color w:val="3D3D3D"/>
                        <w:position w:val="-1"/>
                        <w:sz w:val="15"/>
                        <w:szCs w:val="15"/>
                        <w:shd w:val="clear" w:fill="A6BDB2"/>
                      </w:rPr>
                      <w:tab/>
                    </w:r>
                    <w:r>
                      <w:rPr>
                        <w:rFonts w:ascii="微软雅黑" w:hAnsi="微软雅黑" w:eastAsia="微软雅黑" w:cs="微软雅黑"/>
                        <w:color w:val="3D3D3D"/>
                        <w:spacing w:val="-3"/>
                        <w:position w:val="-1"/>
                        <w:sz w:val="15"/>
                        <w:szCs w:val="15"/>
                        <w:shd w:val="clear" w:fill="A6BDB2"/>
                      </w:rPr>
                      <w:t xml:space="preserve">数据开发需求管理指标   </w:t>
                    </w:r>
                  </w:p>
                  <w:p w14:paraId="585AFDE4">
                    <w:pPr>
                      <w:spacing w:before="106" w:line="86" w:lineRule="exact"/>
                      <w:ind w:firstLine="1963"/>
                    </w:pPr>
                    <w:r>
                      <w:rPr>
                        <w:position w:val="-1"/>
                      </w:rPr>
                      <w:drawing>
                        <wp:inline distT="0" distB="0" distL="0" distR="0">
                          <wp:extent cx="625475" cy="54610"/>
                          <wp:effectExtent l="0" t="0" r="0" b="0"/>
                          <wp:docPr id="142" name="IM 142"/>
                          <wp:cNvGraphicFramePr/>
                          <a:graphic xmlns:a="http://schemas.openxmlformats.org/drawingml/2006/main">
                            <a:graphicData uri="http://schemas.openxmlformats.org/drawingml/2006/picture">
                              <pic:pic xmlns:pic="http://schemas.openxmlformats.org/drawingml/2006/picture">
                                <pic:nvPicPr>
                                  <pic:cNvPr id="142" name="IM 142"/>
                                  <pic:cNvPicPr/>
                                </pic:nvPicPr>
                                <pic:blipFill>
                                  <a:blip r:embed="rId97"/>
                                  <a:stretch>
                                    <a:fillRect/>
                                  </a:stretch>
                                </pic:blipFill>
                                <pic:spPr>
                                  <a:xfrm>
                                    <a:off x="0" y="0"/>
                                    <a:ext cx="625614" cy="54736"/>
                                  </a:xfrm>
                                  <a:prstGeom prst="rect">
                                    <a:avLst/>
                                  </a:prstGeom>
                                </pic:spPr>
                              </pic:pic>
                            </a:graphicData>
                          </a:graphic>
                        </wp:inline>
                      </w:drawing>
                    </w:r>
                  </w:p>
                  <w:p w14:paraId="524A218D">
                    <w:pPr>
                      <w:spacing w:before="28" w:line="158" w:lineRule="auto"/>
                      <w:ind w:left="2199" w:right="1179" w:hanging="72"/>
                      <w:rPr>
                        <w:rFonts w:ascii="微软雅黑" w:hAnsi="微软雅黑" w:eastAsia="微软雅黑" w:cs="微软雅黑"/>
                        <w:sz w:val="14"/>
                        <w:szCs w:val="14"/>
                      </w:rPr>
                    </w:pPr>
                    <w:r>
                      <w:rPr>
                        <w:rFonts w:ascii="微软雅黑" w:hAnsi="微软雅黑" w:eastAsia="微软雅黑" w:cs="微软雅黑"/>
                        <w:color w:val="3D3D3D"/>
                        <w:spacing w:val="6"/>
                        <w:sz w:val="14"/>
                        <w:szCs w:val="14"/>
                      </w:rPr>
                      <w:t>需求项平</w:t>
                    </w:r>
                    <w:r>
                      <w:rPr>
                        <w:rFonts w:ascii="微软雅黑" w:hAnsi="微软雅黑" w:eastAsia="微软雅黑" w:cs="微软雅黑"/>
                        <w:color w:val="3D3D3D"/>
                        <w:sz w:val="14"/>
                        <w:szCs w:val="14"/>
                      </w:rPr>
                      <w:t xml:space="preserve"> </w:t>
                    </w:r>
                    <w:r>
                      <w:rPr>
                        <w:rFonts w:ascii="微软雅黑" w:hAnsi="微软雅黑" w:eastAsia="微软雅黑" w:cs="微软雅黑"/>
                        <w:color w:val="3D3D3D"/>
                        <w:spacing w:val="3"/>
                        <w:sz w:val="14"/>
                        <w:szCs w:val="14"/>
                      </w:rPr>
                      <w:t>均周期</w:t>
                    </w:r>
                  </w:p>
                </w:txbxContent>
              </v:textbox>
            </v:shape>
            <v:shape id="_x0000_s1126" o:spid="_x0000_s1126" o:spt="75" type="#_x0000_t75" style="position:absolute;left:147;top:357;height:444;width:1811;" filled="f" stroked="f" coordsize="21600,21600">
              <v:path/>
              <v:fill on="f" focussize="0,0"/>
              <v:stroke on="f"/>
              <v:imagedata r:id="rId92" o:title=""/>
              <o:lock v:ext="edit" aspectratio="t"/>
            </v:shape>
            <v:shape id="_x0000_s1127" o:spid="_x0000_s1127" o:spt="75" type="#_x0000_t75" style="position:absolute;left:307;top:689;height:1158;width:1515;" filled="f" stroked="f" coordsize="21600,21600">
              <v:path/>
              <v:fill on="f" focussize="0,0"/>
              <v:stroke on="f"/>
              <v:imagedata r:id="rId93" o:title=""/>
              <o:lock v:ext="edit" aspectratio="t"/>
            </v:shape>
            <v:rect id="_x0000_s1128" o:spid="_x0000_s1128" o:spt="1" style="position:absolute;left:221;top:431;height:210;width:1663;" fillcolor="#A6BDB2" filled="t" stroked="f" coordsize="21600,21600">
              <v:path/>
              <v:fill on="t" focussize="0,0"/>
              <v:stroke on="f"/>
              <v:imagedata o:title=""/>
              <o:lock v:ext="edit"/>
            </v:rect>
            <v:shape id="_x0000_s1129" o:spid="_x0000_s1129" o:spt="202" type="#_x0000_t202" style="position:absolute;left:668;top:444;height:186;width:775;" filled="f" stroked="f" coordsize="21600,21600">
              <v:path/>
              <v:fill on="f" focussize="0,0"/>
              <v:stroke on="f"/>
              <v:imagedata o:title=""/>
              <o:lock v:ext="edit" aspectratio="f"/>
              <v:textbox inset="0mm,0mm,0mm,0mm">
                <w:txbxContent>
                  <w:p w14:paraId="3CB07E67">
                    <w:pPr>
                      <w:spacing w:before="20" w:line="145" w:lineRule="exact"/>
                      <w:ind w:left="20"/>
                      <w:rPr>
                        <w:rFonts w:ascii="微软雅黑" w:hAnsi="微软雅黑" w:eastAsia="微软雅黑" w:cs="微软雅黑"/>
                        <w:sz w:val="14"/>
                        <w:szCs w:val="14"/>
                      </w:rPr>
                    </w:pPr>
                    <w:r>
                      <w:rPr>
                        <w:rFonts w:ascii="微软雅黑" w:hAnsi="微软雅黑" w:eastAsia="微软雅黑" w:cs="微软雅黑"/>
                        <w:color w:val="3D3D3D"/>
                        <w:spacing w:val="6"/>
                        <w:position w:val="-1"/>
                        <w:sz w:val="14"/>
                        <w:szCs w:val="14"/>
                      </w:rPr>
                      <w:t>开发流水线</w:t>
                    </w:r>
                  </w:p>
                </w:txbxContent>
              </v:textbox>
            </v:shape>
            <v:rect id="_x0000_s1130" o:spid="_x0000_s1130" o:spt="1" style="position:absolute;left:2266;top:1268;height:86;width:517;" fillcolor="#DBE7E0" filled="t" stroked="f" coordsize="21600,21600">
              <v:path/>
              <v:fill on="t" focussize="0,0"/>
              <v:stroke on="f"/>
              <v:imagedata o:title=""/>
              <o:lock v:ext="edit"/>
            </v:rect>
            <v:shape id="_x0000_s1131" o:spid="_x0000_s1131" o:spt="75" type="#_x0000_t75" style="position:absolute;left:2204;top:763;height:505;width:61;" filled="f" stroked="f" coordsize="21600,21600">
              <v:path/>
              <v:fill on="f" focussize="0,0"/>
              <v:stroke on="f"/>
              <v:imagedata r:id="rId94" o:title=""/>
              <o:lock v:ext="edit" aspectratio="t"/>
            </v:shape>
            <v:shape id="_x0000_s1132" o:spid="_x0000_s1132" o:spt="75" type="#_x0000_t75" style="position:absolute;left:3177;top:812;height:382;width:74;" filled="f" stroked="f" coordsize="21600,21600">
              <v:path/>
              <v:fill on="f" focussize="0,0"/>
              <v:stroke on="f"/>
              <v:imagedata r:id="rId95" o:title=""/>
              <o:lock v:ext="edit" aspectratio="t"/>
            </v:shape>
            <w10:wrap type="none"/>
            <w10:anchorlock/>
          </v:group>
        </w:pict>
      </w:r>
    </w:p>
    <w:p w14:paraId="1CA97E75">
      <w:pPr>
        <w:spacing w:before="214" w:line="204" w:lineRule="auto"/>
        <w:ind w:left="3510"/>
        <w:rPr>
          <w:rFonts w:ascii="微软雅黑" w:hAnsi="微软雅黑" w:eastAsia="微软雅黑" w:cs="微软雅黑"/>
          <w:sz w:val="20"/>
          <w:szCs w:val="20"/>
        </w:rPr>
      </w:pPr>
      <w:r>
        <w:rPr>
          <w:rFonts w:ascii="微软雅黑" w:hAnsi="微软雅黑" w:eastAsia="微软雅黑" w:cs="微软雅黑"/>
          <w:color w:val="231F20"/>
          <w:spacing w:val="2"/>
          <w:sz w:val="20"/>
          <w:szCs w:val="20"/>
        </w:rPr>
        <w:t>图 8</w:t>
      </w:r>
      <w:r>
        <w:rPr>
          <w:rFonts w:ascii="微软雅黑" w:hAnsi="微软雅黑" w:eastAsia="微软雅黑" w:cs="微软雅黑"/>
          <w:color w:val="231F20"/>
          <w:spacing w:val="25"/>
          <w:sz w:val="20"/>
          <w:szCs w:val="20"/>
        </w:rPr>
        <w:t xml:space="preserve"> </w:t>
      </w:r>
      <w:r>
        <w:rPr>
          <w:rFonts w:ascii="微软雅黑" w:hAnsi="微软雅黑" w:eastAsia="微软雅黑" w:cs="微软雅黑"/>
          <w:color w:val="231F20"/>
          <w:spacing w:val="2"/>
          <w:sz w:val="20"/>
          <w:szCs w:val="20"/>
        </w:rPr>
        <w:t>工商银行数据开发流程示例</w:t>
      </w:r>
    </w:p>
    <w:p w14:paraId="6B1D96D5">
      <w:pPr>
        <w:pStyle w:val="2"/>
        <w:spacing w:line="342" w:lineRule="auto"/>
      </w:pPr>
    </w:p>
    <w:p w14:paraId="1445932B">
      <w:pPr>
        <w:pStyle w:val="2"/>
        <w:spacing w:before="59" w:line="194" w:lineRule="auto"/>
        <w:ind w:left="4858"/>
        <w:rPr>
          <w:sz w:val="20"/>
          <w:szCs w:val="20"/>
        </w:rPr>
      </w:pPr>
      <w:r>
        <w:pict>
          <v:shape id="_x0000_s1133" o:spid="_x0000_s1133" o:spt="202" type="#_x0000_t202" style="position:absolute;left:0pt;margin-left:274.65pt;margin-top:6.6pt;height:15.95pt;width:199.4pt;z-index:251763712;mso-width-relative:page;mso-height-relative:page;" filled="f" stroked="f" coordsize="21600,21600">
            <v:path/>
            <v:fill on="f" focussize="0,0"/>
            <v:stroke on="f"/>
            <v:imagedata o:title=""/>
            <o:lock v:ext="edit" aspectratio="f"/>
            <v:textbox inset="0mm,0mm,0mm,0mm">
              <w:txbxContent>
                <w:p w14:paraId="2DD992D8">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6"/>
          <w:sz w:val="20"/>
          <w:szCs w:val="20"/>
        </w:rPr>
        <w:t>18</w:t>
      </w:r>
    </w:p>
    <w:p w14:paraId="6BAAD196">
      <w:pPr>
        <w:spacing w:line="194" w:lineRule="auto"/>
        <w:rPr>
          <w:sz w:val="20"/>
          <w:szCs w:val="20"/>
        </w:rPr>
        <w:sectPr>
          <w:pgSz w:w="11906" w:h="16158"/>
          <w:pgMar w:top="400" w:right="1150" w:bottom="400" w:left="1004" w:header="0" w:footer="0" w:gutter="0"/>
          <w:cols w:space="720" w:num="1"/>
        </w:sectPr>
      </w:pPr>
    </w:p>
    <w:p w14:paraId="28B39FF2">
      <w:pPr>
        <w:pStyle w:val="2"/>
        <w:spacing w:line="349" w:lineRule="auto"/>
      </w:pPr>
    </w:p>
    <w:p w14:paraId="69BA9AF2">
      <w:pPr>
        <w:pStyle w:val="2"/>
        <w:spacing w:line="350" w:lineRule="auto"/>
      </w:pPr>
    </w:p>
    <w:p w14:paraId="5EF04670">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-2</w:t>
      </w:r>
    </w:p>
    <w:p w14:paraId="7F51D2F0">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7C545105">
      <w:pPr>
        <w:pStyle w:val="2"/>
        <w:spacing w:line="283" w:lineRule="auto"/>
      </w:pPr>
    </w:p>
    <w:p w14:paraId="73387817">
      <w:pPr>
        <w:pStyle w:val="2"/>
        <w:spacing w:line="283" w:lineRule="auto"/>
      </w:pPr>
    </w:p>
    <w:p w14:paraId="2C4F3F0F">
      <w:pPr>
        <w:pStyle w:val="2"/>
        <w:spacing w:line="284" w:lineRule="auto"/>
      </w:pPr>
    </w:p>
    <w:p w14:paraId="1CC4CC13">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8"/>
          <w:sz w:val="28"/>
          <w:szCs w:val="28"/>
        </w:rPr>
        <w:t>( 八 )</w:t>
      </w:r>
      <w:r>
        <w:rPr>
          <w:rFonts w:ascii="微软雅黑" w:hAnsi="微软雅黑" w:eastAsia="微软雅黑" w:cs="微软雅黑"/>
          <w:color w:val="648676"/>
          <w:spacing w:val="30"/>
          <w:sz w:val="28"/>
          <w:szCs w:val="28"/>
        </w:rPr>
        <w:t xml:space="preserve"> </w:t>
      </w:r>
      <w:r>
        <w:rPr>
          <w:rFonts w:ascii="微软雅黑" w:hAnsi="微软雅黑" w:eastAsia="微软雅黑" w:cs="微软雅黑"/>
          <w:color w:val="648676"/>
          <w:spacing w:val="8"/>
          <w:sz w:val="28"/>
          <w:szCs w:val="28"/>
        </w:rPr>
        <w:t>数据资产流通</w:t>
      </w:r>
    </w:p>
    <w:p w14:paraId="08E85915">
      <w:pPr>
        <w:pStyle w:val="2"/>
        <w:spacing w:line="408" w:lineRule="auto"/>
      </w:pPr>
    </w:p>
    <w:p w14:paraId="671B0A4A">
      <w:pPr>
        <w:spacing w:before="94" w:line="291" w:lineRule="auto"/>
        <w:ind w:left="247"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 xml:space="preserve">对于组织而言，数据资产流通是指通过数据共享、数据开放或数据交易等流通模式，推动数 </w:t>
      </w:r>
      <w:r>
        <w:rPr>
          <w:rFonts w:ascii="微软雅黑" w:hAnsi="微软雅黑" w:eastAsia="微软雅黑" w:cs="微软雅黑"/>
          <w:color w:val="231F20"/>
          <w:spacing w:val="4"/>
          <w:sz w:val="22"/>
          <w:szCs w:val="22"/>
        </w:rPr>
        <w:t>据资产在组织内外部的价值实现。数据共享是指打通组织各部门间的数据壁垒，建立统一</w:t>
      </w:r>
      <w:r>
        <w:rPr>
          <w:rFonts w:ascii="微软雅黑" w:hAnsi="微软雅黑" w:eastAsia="微软雅黑" w:cs="微软雅黑"/>
          <w:color w:val="231F20"/>
          <w:spacing w:val="3"/>
          <w:sz w:val="22"/>
          <w:szCs w:val="22"/>
        </w:rPr>
        <w:t>的数据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共享机制，加速数据资源在组织内部流动。数据开放是指向社会公众提</w:t>
      </w:r>
      <w:r>
        <w:rPr>
          <w:rFonts w:ascii="微软雅黑" w:hAnsi="微软雅黑" w:eastAsia="微软雅黑" w:cs="微软雅黑"/>
          <w:color w:val="231F20"/>
          <w:spacing w:val="-2"/>
          <w:sz w:val="22"/>
          <w:szCs w:val="22"/>
        </w:rPr>
        <w:t>供易于获取和理解的数据，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对于政府而言，数据开放主要是指公共数据资源开放，对于企业而言，数据开放主要是指</w:t>
      </w:r>
      <w:r>
        <w:rPr>
          <w:rFonts w:ascii="微软雅黑" w:hAnsi="微软雅黑" w:eastAsia="微软雅黑" w:cs="微软雅黑"/>
          <w:color w:val="231F20"/>
          <w:spacing w:val="3"/>
          <w:sz w:val="22"/>
          <w:szCs w:val="22"/>
        </w:rPr>
        <w:t>披露企</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业运行情况、推动政企数据融合等。</w:t>
      </w:r>
      <w:r>
        <w:rPr>
          <w:rFonts w:ascii="微软雅黑" w:hAnsi="微软雅黑" w:eastAsia="微软雅黑" w:cs="微软雅黑"/>
          <w:color w:val="231F20"/>
          <w:spacing w:val="52"/>
          <w:w w:val="101"/>
          <w:sz w:val="22"/>
          <w:szCs w:val="22"/>
        </w:rPr>
        <w:t xml:space="preserve"> </w:t>
      </w:r>
      <w:r>
        <w:rPr>
          <w:rFonts w:ascii="微软雅黑" w:hAnsi="微软雅黑" w:eastAsia="微软雅黑" w:cs="微软雅黑"/>
          <w:color w:val="231F20"/>
          <w:spacing w:val="-4"/>
          <w:sz w:val="22"/>
          <w:szCs w:val="22"/>
        </w:rPr>
        <w:t>数据交易是指交易双方通过合同约定，在安全合规的前提下，</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开展以数据或其衍生形态为主要标的的交易行为。</w:t>
      </w:r>
    </w:p>
    <w:p w14:paraId="469364F5">
      <w:pPr>
        <w:spacing w:before="28" w:line="291" w:lineRule="auto"/>
        <w:ind w:left="247" w:firstLine="481"/>
        <w:rPr>
          <w:rFonts w:ascii="微软雅黑" w:hAnsi="微软雅黑" w:eastAsia="微软雅黑" w:cs="微软雅黑"/>
          <w:sz w:val="22"/>
          <w:szCs w:val="22"/>
        </w:rPr>
      </w:pPr>
      <w:r>
        <w:drawing>
          <wp:anchor distT="0" distB="0" distL="0" distR="0" simplePos="0" relativeHeight="251786240" behindDoc="0" locked="0" layoutInCell="1" allowOverlap="1">
            <wp:simplePos x="0" y="0"/>
            <wp:positionH relativeFrom="column">
              <wp:posOffset>3039745</wp:posOffset>
            </wp:positionH>
            <wp:positionV relativeFrom="paragraph">
              <wp:posOffset>2134235</wp:posOffset>
            </wp:positionV>
            <wp:extent cx="58420" cy="2292985"/>
            <wp:effectExtent l="0" t="0" r="0" b="0"/>
            <wp:wrapNone/>
            <wp:docPr id="144" name="IM 144"/>
            <wp:cNvGraphicFramePr/>
            <a:graphic xmlns:a="http://schemas.openxmlformats.org/drawingml/2006/main">
              <a:graphicData uri="http://schemas.openxmlformats.org/drawingml/2006/picture">
                <pic:pic xmlns:pic="http://schemas.openxmlformats.org/drawingml/2006/picture">
                  <pic:nvPicPr>
                    <pic:cNvPr id="144" name="IM 144"/>
                    <pic:cNvPicPr/>
                  </pic:nvPicPr>
                  <pic:blipFill>
                    <a:blip r:embed="rId98"/>
                    <a:stretch>
                      <a:fillRect/>
                    </a:stretch>
                  </pic:blipFill>
                  <pic:spPr>
                    <a:xfrm>
                      <a:off x="0" y="0"/>
                      <a:ext cx="58318" cy="2292845"/>
                    </a:xfrm>
                    <a:prstGeom prst="rect">
                      <a:avLst/>
                    </a:prstGeom>
                  </pic:spPr>
                </pic:pic>
              </a:graphicData>
            </a:graphic>
          </wp:anchor>
        </w:drawing>
      </w:r>
      <w:r>
        <w:rPr>
          <w:rFonts w:ascii="微软雅黑" w:hAnsi="微软雅黑" w:eastAsia="微软雅黑" w:cs="微软雅黑"/>
          <w:color w:val="231F20"/>
          <w:spacing w:val="9"/>
          <w:sz w:val="22"/>
          <w:szCs w:val="22"/>
        </w:rPr>
        <w:t>数据共享、数据开放、数据交易的区别在于交换数据的属性</w:t>
      </w:r>
      <w:r>
        <w:rPr>
          <w:rFonts w:ascii="微软雅黑" w:hAnsi="微软雅黑" w:eastAsia="微软雅黑" w:cs="微软雅黑"/>
          <w:color w:val="231F20"/>
          <w:spacing w:val="8"/>
          <w:sz w:val="22"/>
          <w:szCs w:val="22"/>
        </w:rPr>
        <w:t>与数据交换的主体范围。对于</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具备公共属性的数据，在组织体系内部流通属于数据共享，如政府机构</w:t>
      </w:r>
      <w:r>
        <w:rPr>
          <w:rFonts w:ascii="微软雅黑" w:hAnsi="微软雅黑" w:eastAsia="微软雅黑" w:cs="微软雅黑"/>
          <w:color w:val="231F20"/>
          <w:spacing w:val="3"/>
          <w:sz w:val="22"/>
          <w:szCs w:val="22"/>
        </w:rPr>
        <w:t>之间的数据交换，在组织</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体系外部流通属于数据开放，如公共数据向社会公众开放。对于具有私有（商品）属性的数据，</w:t>
      </w:r>
      <w:r>
        <w:rPr>
          <w:rFonts w:ascii="微软雅黑" w:hAnsi="微软雅黑" w:eastAsia="微软雅黑" w:cs="微软雅黑"/>
          <w:color w:val="231F20"/>
          <w:spacing w:val="8"/>
          <w:sz w:val="22"/>
          <w:szCs w:val="22"/>
        </w:rPr>
        <w:t xml:space="preserve"> </w:t>
      </w:r>
      <w:r>
        <w:rPr>
          <w:rFonts w:ascii="微软雅黑" w:hAnsi="微软雅黑" w:eastAsia="微软雅黑" w:cs="微软雅黑"/>
          <w:color w:val="231F20"/>
          <w:spacing w:val="4"/>
          <w:sz w:val="22"/>
          <w:szCs w:val="22"/>
        </w:rPr>
        <w:t>在组织内部流通属于企业数据共享，如企业部门间数据交换，在组织外部流通属于数据交</w:t>
      </w:r>
      <w:r>
        <w:rPr>
          <w:rFonts w:ascii="微软雅黑" w:hAnsi="微软雅黑" w:eastAsia="微软雅黑" w:cs="微软雅黑"/>
          <w:color w:val="231F20"/>
          <w:spacing w:val="3"/>
          <w:sz w:val="22"/>
          <w:szCs w:val="22"/>
        </w:rPr>
        <w:t>易。需</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要说明的是，并非所有的数据交易均以货币进行结算，</w:t>
      </w:r>
      <w:r>
        <w:rPr>
          <w:rFonts w:ascii="微软雅黑" w:hAnsi="微软雅黑" w:eastAsia="微软雅黑" w:cs="微软雅黑"/>
          <w:color w:val="231F20"/>
          <w:spacing w:val="-40"/>
          <w:sz w:val="22"/>
          <w:szCs w:val="22"/>
        </w:rPr>
        <w:t xml:space="preserve"> </w:t>
      </w:r>
      <w:r>
        <w:rPr>
          <w:rFonts w:ascii="微软雅黑" w:hAnsi="微软雅黑" w:eastAsia="微软雅黑" w:cs="微软雅黑"/>
          <w:color w:val="231F20"/>
          <w:spacing w:val="3"/>
          <w:sz w:val="22"/>
          <w:szCs w:val="22"/>
        </w:rPr>
        <w:t>在遵循等价交换的前提下，不论是传统的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点对点交易模式，或是数据交易所的中介交易模式，由“以物易物”延伸的“以数易</w:t>
      </w:r>
      <w:r>
        <w:rPr>
          <w:rFonts w:ascii="微软雅黑" w:hAnsi="微软雅黑" w:eastAsia="微软雅黑" w:cs="微软雅黑"/>
          <w:color w:val="231F20"/>
          <w:spacing w:val="3"/>
          <w:sz w:val="22"/>
          <w:szCs w:val="22"/>
        </w:rPr>
        <w:t>数”或“以</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数易物”同样可能存在。</w:t>
      </w:r>
    </w:p>
    <w:p w14:paraId="2C34DA21">
      <w:pPr>
        <w:spacing w:line="131" w:lineRule="exact"/>
      </w:pPr>
    </w:p>
    <w:tbl>
      <w:tblPr>
        <w:tblStyle w:val="5"/>
        <w:tblW w:w="5907" w:type="dxa"/>
        <w:tblInd w:w="1950" w:type="dxa"/>
        <w:tblBorders>
          <w:top w:val="single" w:color="E0E8E6" w:sz="2" w:space="0"/>
          <w:left w:val="single" w:color="E0E8E6" w:sz="2" w:space="0"/>
          <w:bottom w:val="single" w:color="E0E8E6" w:sz="2" w:space="0"/>
          <w:right w:val="single" w:color="E0E8E6" w:sz="2" w:space="0"/>
          <w:insideH w:val="single" w:color="E0E8E6" w:sz="2" w:space="0"/>
          <w:insideV w:val="single" w:color="E0E8E6" w:sz="2" w:space="0"/>
        </w:tblBorders>
        <w:tblLayout w:type="fixed"/>
        <w:tblCellMar>
          <w:top w:w="0" w:type="dxa"/>
          <w:left w:w="0" w:type="dxa"/>
          <w:bottom w:w="0" w:type="dxa"/>
          <w:right w:w="0" w:type="dxa"/>
        </w:tblCellMar>
      </w:tblPr>
      <w:tblGrid>
        <w:gridCol w:w="2909"/>
        <w:gridCol w:w="2998"/>
      </w:tblGrid>
      <w:tr w14:paraId="6223E8E0">
        <w:tblPrEx>
          <w:tblBorders>
            <w:top w:val="single" w:color="E0E8E6" w:sz="2" w:space="0"/>
            <w:left w:val="single" w:color="E0E8E6" w:sz="2" w:space="0"/>
            <w:bottom w:val="single" w:color="E0E8E6" w:sz="2" w:space="0"/>
            <w:right w:val="single" w:color="E0E8E6" w:sz="2" w:space="0"/>
            <w:insideH w:val="single" w:color="E0E8E6" w:sz="2" w:space="0"/>
            <w:insideV w:val="single" w:color="E0E8E6" w:sz="2" w:space="0"/>
          </w:tblBorders>
          <w:tblCellMar>
            <w:top w:w="0" w:type="dxa"/>
            <w:left w:w="0" w:type="dxa"/>
            <w:bottom w:w="0" w:type="dxa"/>
            <w:right w:w="0" w:type="dxa"/>
          </w:tblCellMar>
        </w:tblPrEx>
        <w:trPr>
          <w:trHeight w:val="1865" w:hRule="atLeast"/>
        </w:trPr>
        <w:tc>
          <w:tcPr>
            <w:tcW w:w="2909" w:type="dxa"/>
            <w:tcBorders>
              <w:bottom w:val="single" w:color="6B8F80" w:sz="34" w:space="0"/>
            </w:tcBorders>
            <w:shd w:val="clear" w:color="auto" w:fill="E0E8E6"/>
            <w:vAlign w:val="top"/>
          </w:tcPr>
          <w:p w14:paraId="7D457A9C">
            <w:pPr>
              <w:spacing w:line="302" w:lineRule="auto"/>
              <w:rPr>
                <w:rFonts w:ascii="Arial"/>
                <w:sz w:val="21"/>
              </w:rPr>
            </w:pPr>
          </w:p>
          <w:p w14:paraId="03C548D8">
            <w:pPr>
              <w:spacing w:line="302" w:lineRule="auto"/>
              <w:rPr>
                <w:rFonts w:ascii="Arial"/>
                <w:sz w:val="21"/>
              </w:rPr>
            </w:pPr>
          </w:p>
          <w:p w14:paraId="244334B0">
            <w:pPr>
              <w:pStyle w:val="6"/>
              <w:spacing w:before="95" w:line="227" w:lineRule="exact"/>
              <w:ind w:left="1234"/>
            </w:pPr>
            <w:r>
              <w:rPr>
                <w:color w:val="638778"/>
                <w:spacing w:val="12"/>
                <w:position w:val="-1"/>
              </w:rPr>
              <w:t>数据开放</w:t>
            </w:r>
          </w:p>
          <w:p w14:paraId="56F2DC22">
            <w:pPr>
              <w:spacing w:line="461" w:lineRule="auto"/>
              <w:rPr>
                <w:rFonts w:ascii="Arial"/>
                <w:sz w:val="21"/>
              </w:rPr>
            </w:pPr>
          </w:p>
          <w:p w14:paraId="11F2A629">
            <w:pPr>
              <w:pStyle w:val="6"/>
              <w:spacing w:before="81" w:line="199" w:lineRule="exact"/>
              <w:ind w:left="117"/>
              <w:rPr>
                <w:sz w:val="19"/>
                <w:szCs w:val="19"/>
              </w:rPr>
            </w:pPr>
            <w:r>
              <w:rPr>
                <w:spacing w:val="12"/>
                <w:position w:val="-1"/>
                <w:sz w:val="19"/>
                <w:szCs w:val="19"/>
              </w:rPr>
              <w:t>组织外部</w:t>
            </w:r>
          </w:p>
        </w:tc>
        <w:tc>
          <w:tcPr>
            <w:tcW w:w="2998" w:type="dxa"/>
            <w:tcBorders>
              <w:top w:val="single" w:color="F2F2F2" w:sz="2" w:space="0"/>
              <w:left w:val="single" w:color="F2F2F2" w:sz="2" w:space="0"/>
              <w:bottom w:val="single" w:color="6B8F80" w:sz="34" w:space="0"/>
              <w:right w:val="single" w:color="F2F2F2" w:sz="2" w:space="0"/>
            </w:tcBorders>
            <w:shd w:val="clear" w:color="auto" w:fill="F2F2F2"/>
            <w:vAlign w:val="top"/>
          </w:tcPr>
          <w:p w14:paraId="612EBF19">
            <w:pPr>
              <w:pStyle w:val="6"/>
              <w:spacing w:before="223" w:line="197" w:lineRule="exact"/>
              <w:ind w:left="114"/>
              <w:rPr>
                <w:sz w:val="19"/>
                <w:szCs w:val="19"/>
              </w:rPr>
            </w:pPr>
            <w:r>
              <w:rPr>
                <w:spacing w:val="13"/>
                <w:position w:val="-1"/>
                <w:sz w:val="19"/>
                <w:szCs w:val="19"/>
              </w:rPr>
              <w:t>公共属性</w:t>
            </w:r>
          </w:p>
          <w:p w14:paraId="6E12A184">
            <w:pPr>
              <w:pStyle w:val="6"/>
              <w:spacing w:before="300" w:line="229" w:lineRule="exact"/>
              <w:ind w:left="761"/>
            </w:pPr>
            <w:r>
              <w:rPr>
                <w:color w:val="787878"/>
                <w:spacing w:val="12"/>
                <w:position w:val="-1"/>
              </w:rPr>
              <w:t>政府数据共享</w:t>
            </w:r>
          </w:p>
          <w:p w14:paraId="19B63B98">
            <w:pPr>
              <w:spacing w:line="428" w:lineRule="auto"/>
              <w:rPr>
                <w:rFonts w:ascii="Arial"/>
                <w:sz w:val="21"/>
              </w:rPr>
            </w:pPr>
          </w:p>
          <w:p w14:paraId="5A9891B2">
            <w:pPr>
              <w:pStyle w:val="6"/>
              <w:spacing w:before="81" w:line="199" w:lineRule="exact"/>
              <w:ind w:left="1836"/>
              <w:rPr>
                <w:sz w:val="19"/>
                <w:szCs w:val="19"/>
              </w:rPr>
            </w:pPr>
            <w:r>
              <w:rPr>
                <w:spacing w:val="12"/>
                <w:position w:val="-1"/>
                <w:sz w:val="19"/>
                <w:szCs w:val="19"/>
              </w:rPr>
              <w:t>组织内部</w:t>
            </w:r>
          </w:p>
        </w:tc>
      </w:tr>
      <w:tr w14:paraId="550B35F6">
        <w:tblPrEx>
          <w:tblBorders>
            <w:top w:val="single" w:color="E0E8E6" w:sz="2" w:space="0"/>
            <w:left w:val="single" w:color="E0E8E6" w:sz="2" w:space="0"/>
            <w:bottom w:val="single" w:color="E0E8E6" w:sz="2" w:space="0"/>
            <w:right w:val="single" w:color="E0E8E6" w:sz="2" w:space="0"/>
            <w:insideH w:val="single" w:color="E0E8E6" w:sz="2" w:space="0"/>
            <w:insideV w:val="single" w:color="E0E8E6" w:sz="2" w:space="0"/>
          </w:tblBorders>
          <w:tblCellMar>
            <w:top w:w="0" w:type="dxa"/>
            <w:left w:w="0" w:type="dxa"/>
            <w:bottom w:w="0" w:type="dxa"/>
            <w:right w:w="0" w:type="dxa"/>
          </w:tblCellMar>
        </w:tblPrEx>
        <w:trPr>
          <w:trHeight w:val="1650" w:hRule="atLeast"/>
        </w:trPr>
        <w:tc>
          <w:tcPr>
            <w:tcW w:w="2909" w:type="dxa"/>
            <w:tcBorders>
              <w:top w:val="single" w:color="6B8F80" w:sz="34" w:space="0"/>
              <w:left w:val="single" w:color="F2F2F2" w:sz="2" w:space="0"/>
              <w:bottom w:val="single" w:color="F2F2F2" w:sz="2" w:space="0"/>
              <w:right w:val="single" w:color="F2F2F2" w:sz="2" w:space="0"/>
            </w:tcBorders>
            <w:shd w:val="clear" w:color="auto" w:fill="F2F2F2"/>
            <w:vAlign w:val="top"/>
          </w:tcPr>
          <w:p w14:paraId="63F07F92">
            <w:pPr>
              <w:spacing w:line="251" w:lineRule="auto"/>
              <w:rPr>
                <w:rFonts w:ascii="Arial"/>
                <w:sz w:val="21"/>
              </w:rPr>
            </w:pPr>
          </w:p>
          <w:p w14:paraId="60F519E3">
            <w:pPr>
              <w:spacing w:line="252" w:lineRule="auto"/>
              <w:rPr>
                <w:rFonts w:ascii="Arial"/>
                <w:sz w:val="21"/>
              </w:rPr>
            </w:pPr>
          </w:p>
          <w:p w14:paraId="7DE864FD">
            <w:pPr>
              <w:pStyle w:val="6"/>
              <w:spacing w:before="95" w:line="227" w:lineRule="exact"/>
              <w:ind w:left="1234"/>
            </w:pPr>
            <w:r>
              <w:rPr>
                <w:color w:val="787878"/>
                <w:spacing w:val="9"/>
                <w:position w:val="-1"/>
              </w:rPr>
              <w:t>数据交易</w:t>
            </w:r>
          </w:p>
        </w:tc>
        <w:tc>
          <w:tcPr>
            <w:tcW w:w="2998" w:type="dxa"/>
            <w:tcBorders>
              <w:top w:val="single" w:color="6B8F80" w:sz="34" w:space="0"/>
            </w:tcBorders>
            <w:shd w:val="clear" w:color="auto" w:fill="E0E8E6"/>
            <w:vAlign w:val="top"/>
          </w:tcPr>
          <w:p w14:paraId="0AD9B564">
            <w:pPr>
              <w:spacing w:line="251" w:lineRule="auto"/>
              <w:rPr>
                <w:rFonts w:ascii="Arial"/>
                <w:sz w:val="21"/>
              </w:rPr>
            </w:pPr>
          </w:p>
          <w:p w14:paraId="62F9A766">
            <w:pPr>
              <w:spacing w:line="251" w:lineRule="auto"/>
              <w:rPr>
                <w:rFonts w:ascii="Arial"/>
                <w:sz w:val="21"/>
              </w:rPr>
            </w:pPr>
          </w:p>
          <w:p w14:paraId="5F34EB39">
            <w:pPr>
              <w:pStyle w:val="6"/>
              <w:spacing w:before="95" w:line="228" w:lineRule="exact"/>
              <w:ind w:left="771"/>
            </w:pPr>
            <w:r>
              <w:rPr>
                <w:color w:val="638778"/>
                <w:spacing w:val="12"/>
                <w:position w:val="-1"/>
              </w:rPr>
              <w:t>企业数据共享</w:t>
            </w:r>
          </w:p>
          <w:p w14:paraId="22A52A71">
            <w:pPr>
              <w:spacing w:line="380" w:lineRule="auto"/>
              <w:rPr>
                <w:rFonts w:ascii="Arial"/>
                <w:sz w:val="21"/>
              </w:rPr>
            </w:pPr>
          </w:p>
          <w:p w14:paraId="46526917">
            <w:pPr>
              <w:pStyle w:val="6"/>
              <w:spacing w:before="81" w:line="200" w:lineRule="exact"/>
              <w:ind w:left="240"/>
              <w:rPr>
                <w:sz w:val="19"/>
                <w:szCs w:val="19"/>
              </w:rPr>
            </w:pPr>
            <w:r>
              <w:rPr>
                <w:spacing w:val="13"/>
                <w:position w:val="-1"/>
                <w:sz w:val="19"/>
                <w:szCs w:val="19"/>
              </w:rPr>
              <w:t>私有属性</w:t>
            </w:r>
          </w:p>
        </w:tc>
      </w:tr>
    </w:tbl>
    <w:p w14:paraId="418099E0">
      <w:pPr>
        <w:spacing w:before="229" w:line="204" w:lineRule="auto"/>
        <w:ind w:left="2998"/>
        <w:rPr>
          <w:rFonts w:ascii="微软雅黑" w:hAnsi="微软雅黑" w:eastAsia="微软雅黑" w:cs="微软雅黑"/>
          <w:sz w:val="20"/>
          <w:szCs w:val="20"/>
        </w:rPr>
      </w:pPr>
      <w:r>
        <w:rPr>
          <w:rFonts w:ascii="微软雅黑" w:hAnsi="微软雅黑" w:eastAsia="微软雅黑" w:cs="微软雅黑"/>
          <w:color w:val="231F20"/>
          <w:spacing w:val="3"/>
          <w:sz w:val="20"/>
          <w:szCs w:val="20"/>
        </w:rPr>
        <w:t>图 9 数据共享、数据开放、数据交易的区别</w:t>
      </w:r>
    </w:p>
    <w:p w14:paraId="17FCDEEE">
      <w:pPr>
        <w:pStyle w:val="2"/>
        <w:spacing w:line="246" w:lineRule="auto"/>
      </w:pPr>
    </w:p>
    <w:p w14:paraId="1890CEA0">
      <w:pPr>
        <w:spacing w:before="95" w:line="287" w:lineRule="auto"/>
        <w:ind w:left="249" w:right="2" w:firstLine="481"/>
        <w:rPr>
          <w:rFonts w:ascii="微软雅黑" w:hAnsi="微软雅黑" w:eastAsia="微软雅黑" w:cs="微软雅黑"/>
          <w:sz w:val="22"/>
          <w:szCs w:val="22"/>
        </w:rPr>
      </w:pPr>
      <w:r>
        <w:rPr>
          <w:rFonts w:ascii="微软雅黑" w:hAnsi="微软雅黑" w:eastAsia="微软雅黑" w:cs="微软雅黑"/>
          <w:color w:val="231F20"/>
          <w:spacing w:val="9"/>
          <w:sz w:val="22"/>
          <w:szCs w:val="22"/>
        </w:rPr>
        <w:t>数据共享和数据开放应充分考虑数据使用者的需求，形成</w:t>
      </w:r>
      <w:r>
        <w:rPr>
          <w:rFonts w:ascii="微软雅黑" w:hAnsi="微软雅黑" w:eastAsia="微软雅黑" w:cs="微软雅黑"/>
          <w:color w:val="231F20"/>
          <w:spacing w:val="8"/>
          <w:sz w:val="22"/>
          <w:szCs w:val="22"/>
        </w:rPr>
        <w:t>需求清单，明确数据流通的数据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合规要求和潜在安全风险，建立数据安全分类分级标准，利用技术工具对数据资产流通过程开</w:t>
      </w:r>
    </w:p>
    <w:p w14:paraId="5590A686">
      <w:pPr>
        <w:pStyle w:val="2"/>
        <w:spacing w:before="260" w:line="194" w:lineRule="auto"/>
        <w:ind w:left="4858"/>
        <w:rPr>
          <w:sz w:val="20"/>
          <w:szCs w:val="20"/>
        </w:rPr>
      </w:pPr>
      <w:r>
        <w:pict>
          <v:shape id="_x0000_s1134" o:spid="_x0000_s1134" o:spt="202" type="#_x0000_t202" style="position:absolute;left:0pt;margin-left:274.65pt;margin-top:16.7pt;height:15.95pt;width:199.4pt;z-index:251785216;mso-width-relative:page;mso-height-relative:page;" filled="f" stroked="f" coordsize="21600,21600">
            <v:path/>
            <v:fill on="f" focussize="0,0"/>
            <v:stroke on="f"/>
            <v:imagedata o:title=""/>
            <o:lock v:ext="edit" aspectratio="f"/>
            <v:textbox inset="0mm,0mm,0mm,0mm">
              <w:txbxContent>
                <w:p w14:paraId="46D83609">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6"/>
          <w:sz w:val="20"/>
          <w:szCs w:val="20"/>
        </w:rPr>
        <w:t>19</w:t>
      </w:r>
    </w:p>
    <w:p w14:paraId="1042237E">
      <w:pPr>
        <w:spacing w:line="194" w:lineRule="auto"/>
        <w:rPr>
          <w:sz w:val="20"/>
          <w:szCs w:val="20"/>
        </w:rPr>
        <w:sectPr>
          <w:pgSz w:w="11906" w:h="16158"/>
          <w:pgMar w:top="400" w:right="1246" w:bottom="400" w:left="1004" w:header="0" w:footer="0" w:gutter="0"/>
          <w:cols w:space="720" w:num="1"/>
        </w:sectPr>
      </w:pPr>
    </w:p>
    <w:p w14:paraId="0681FB2B">
      <w:pPr>
        <w:pStyle w:val="2"/>
        <w:spacing w:line="349" w:lineRule="auto"/>
      </w:pPr>
    </w:p>
    <w:p w14:paraId="2A626E91">
      <w:pPr>
        <w:pStyle w:val="2"/>
        <w:spacing w:line="350" w:lineRule="auto"/>
      </w:pPr>
    </w:p>
    <w:p w14:paraId="62ED515A">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-2</w:t>
      </w:r>
    </w:p>
    <w:p w14:paraId="65747021">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4BA1427C">
      <w:pPr>
        <w:pStyle w:val="2"/>
        <w:spacing w:line="293" w:lineRule="auto"/>
      </w:pPr>
    </w:p>
    <w:p w14:paraId="5FA958BA">
      <w:pPr>
        <w:pStyle w:val="2"/>
        <w:spacing w:line="293" w:lineRule="auto"/>
      </w:pPr>
    </w:p>
    <w:p w14:paraId="776854E9">
      <w:pPr>
        <w:pStyle w:val="2"/>
        <w:spacing w:line="294" w:lineRule="auto"/>
      </w:pPr>
    </w:p>
    <w:p w14:paraId="6A68E441">
      <w:pPr>
        <w:spacing w:before="94" w:line="284" w:lineRule="auto"/>
        <w:ind w:left="248" w:right="68"/>
        <w:jc w:val="both"/>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展安全防护。上海市公共数据开放管理能力走在全国前列。</w:t>
      </w:r>
      <w:r>
        <w:rPr>
          <w:rFonts w:ascii="微软雅黑" w:hAnsi="微软雅黑" w:eastAsia="微软雅黑" w:cs="微软雅黑"/>
          <w:color w:val="231F20"/>
          <w:spacing w:val="32"/>
          <w:w w:val="101"/>
          <w:sz w:val="22"/>
          <w:szCs w:val="22"/>
        </w:rPr>
        <w:t xml:space="preserve"> </w:t>
      </w:r>
      <w:r>
        <w:rPr>
          <w:rFonts w:ascii="微软雅黑" w:hAnsi="微软雅黑" w:eastAsia="微软雅黑" w:cs="微软雅黑"/>
          <w:color w:val="231F20"/>
          <w:spacing w:val="2"/>
          <w:sz w:val="22"/>
          <w:szCs w:val="22"/>
        </w:rPr>
        <w:t>上海市于 2014</w:t>
      </w:r>
      <w:r>
        <w:rPr>
          <w:rFonts w:ascii="微软雅黑" w:hAnsi="微软雅黑" w:eastAsia="微软雅黑" w:cs="微软雅黑"/>
          <w:color w:val="231F20"/>
          <w:spacing w:val="1"/>
          <w:sz w:val="22"/>
          <w:szCs w:val="22"/>
        </w:rPr>
        <w:t xml:space="preserve"> 年起，出台年度“政</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府数据资源向社会开放工作计划”，通过分析多个主题下数据的需求度和成熟度，结合社会需</w:t>
      </w:r>
      <w:r>
        <w:rPr>
          <w:rFonts w:ascii="微软雅黑" w:hAnsi="微软雅黑" w:eastAsia="微软雅黑" w:cs="微软雅黑"/>
          <w:color w:val="231F20"/>
          <w:spacing w:val="10"/>
          <w:sz w:val="22"/>
          <w:szCs w:val="22"/>
        </w:rPr>
        <w:t xml:space="preserve"> </w:t>
      </w:r>
      <w:r>
        <w:rPr>
          <w:rFonts w:ascii="微软雅黑" w:hAnsi="微软雅黑" w:eastAsia="微软雅黑" w:cs="微软雅黑"/>
          <w:color w:val="231F20"/>
          <w:spacing w:val="9"/>
          <w:sz w:val="22"/>
          <w:szCs w:val="22"/>
        </w:rPr>
        <w:t>求，详细制定了当年的总体思路、重点工作任务和工作要求，并向社会公开。此外，上海市公</w:t>
      </w:r>
      <w:r>
        <w:rPr>
          <w:rFonts w:ascii="微软雅黑" w:hAnsi="微软雅黑" w:eastAsia="微软雅黑" w:cs="微软雅黑"/>
          <w:color w:val="231F20"/>
          <w:spacing w:val="8"/>
          <w:sz w:val="22"/>
          <w:szCs w:val="22"/>
        </w:rPr>
        <w:t xml:space="preserve"> </w:t>
      </w:r>
      <w:r>
        <w:rPr>
          <w:rFonts w:ascii="微软雅黑" w:hAnsi="微软雅黑" w:eastAsia="微软雅黑" w:cs="微软雅黑"/>
          <w:color w:val="231F20"/>
          <w:spacing w:val="9"/>
          <w:sz w:val="22"/>
          <w:szCs w:val="22"/>
        </w:rPr>
        <w:t>共数据开放平台支持用户对数据集进行评分，并对平台的数据查询、数据获取、数据展示等功</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能提出建议。</w:t>
      </w:r>
    </w:p>
    <w:p w14:paraId="6029DDB9">
      <w:pPr>
        <w:spacing w:before="67" w:line="290" w:lineRule="auto"/>
        <w:ind w:left="247" w:firstLine="480"/>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规范管理数据采购，统一开展数据交易。数据采购方面，确定各业务线数</w:t>
      </w:r>
      <w:r>
        <w:rPr>
          <w:rFonts w:ascii="微软雅黑" w:hAnsi="微软雅黑" w:eastAsia="微软雅黑" w:cs="微软雅黑"/>
          <w:color w:val="231F20"/>
          <w:spacing w:val="2"/>
          <w:sz w:val="22"/>
          <w:szCs w:val="22"/>
        </w:rPr>
        <w:t>据采购需求，明确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数据采购的必要性，构建可信外部数据分布图谱，并对数据供应商进行可信度评估，集</w:t>
      </w:r>
      <w:r>
        <w:rPr>
          <w:rFonts w:ascii="微软雅黑" w:hAnsi="微软雅黑" w:eastAsia="微软雅黑" w:cs="微软雅黑"/>
          <w:color w:val="231F20"/>
          <w:spacing w:val="3"/>
          <w:sz w:val="22"/>
          <w:szCs w:val="22"/>
        </w:rPr>
        <w:t>中管理采</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购数据类别及报价。数据交易方面，评估当前数据交易环境，制定年度数</w:t>
      </w:r>
      <w:r>
        <w:rPr>
          <w:rFonts w:ascii="微软雅黑" w:hAnsi="微软雅黑" w:eastAsia="微软雅黑" w:cs="微软雅黑"/>
          <w:color w:val="231F20"/>
          <w:spacing w:val="3"/>
          <w:sz w:val="22"/>
          <w:szCs w:val="22"/>
        </w:rPr>
        <w:t>据服务产品清单，形成</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5"/>
          <w:sz w:val="22"/>
          <w:szCs w:val="22"/>
        </w:rPr>
        <w:t>基本的数据定价标准、交易流程标准、交易合同模板</w:t>
      </w:r>
      <w:r>
        <w:rPr>
          <w:rFonts w:ascii="微软雅黑" w:hAnsi="微软雅黑" w:eastAsia="微软雅黑" w:cs="微软雅黑"/>
          <w:color w:val="231F20"/>
          <w:spacing w:val="-6"/>
          <w:sz w:val="22"/>
          <w:szCs w:val="22"/>
        </w:rPr>
        <w:t>，</w:t>
      </w:r>
      <w:r>
        <w:rPr>
          <w:rFonts w:ascii="微软雅黑" w:hAnsi="微软雅黑" w:eastAsia="微软雅黑" w:cs="微软雅黑"/>
          <w:color w:val="231F20"/>
          <w:spacing w:val="-31"/>
          <w:sz w:val="22"/>
          <w:szCs w:val="22"/>
        </w:rPr>
        <w:t xml:space="preserve"> </w:t>
      </w:r>
      <w:r>
        <w:rPr>
          <w:rFonts w:ascii="微软雅黑" w:hAnsi="微软雅黑" w:eastAsia="微软雅黑" w:cs="微软雅黑"/>
          <w:color w:val="231F20"/>
          <w:spacing w:val="-6"/>
          <w:sz w:val="22"/>
          <w:szCs w:val="22"/>
        </w:rPr>
        <w:t>使用交易平台或数据流通技术执行交易过程，</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同时，根据数据交易市场的变化，优化数据交易模式、定价规则、交易平台。</w:t>
      </w:r>
    </w:p>
    <w:p w14:paraId="5AB8473C">
      <w:pPr>
        <w:spacing w:before="99" w:line="7514" w:lineRule="exact"/>
        <w:ind w:firstLine="245"/>
      </w:pPr>
      <w:r>
        <w:pict>
          <v:group id="_x0000_s1135" o:spid="_x0000_s1135" o:spt="203" style="position:absolute;left:0pt;margin-left:24.05pt;margin-top:18.7pt;height:348.75pt;width:12.35pt;z-index:251788288;mso-width-relative:page;mso-height-relative:page;" coordsize="247,6975">
            <o:lock v:ext="edit"/>
            <v:shape id="_x0000_s1136" o:spid="_x0000_s1136" style="position:absolute;left:0;top:0;height:6945;width:247;" filled="f" stroked="t" coordsize="247,6945" path="m236,10c157,30,20,101,10,340m10,429l10,6934e">
              <v:fill on="f" focussize="0,0"/>
              <v:stroke weight="1pt" color="#648676" miterlimit="4" dashstyle="dash" endcap="round"/>
              <v:imagedata o:title=""/>
              <o:lock v:ext="edit"/>
            </v:shape>
            <v:shape id="_x0000_s1137" o:spid="_x0000_s1137" style="position:absolute;left:0;top:359;height:6615;width:20;" filled="f" stroked="t" coordsize="20,6615" path="m10,10l10,10m10,6605l10,6605e">
              <v:fill on="f" focussize="0,0"/>
              <v:stroke weight="1pt" color="#648676" miterlimit="4" endcap="round"/>
              <v:imagedata o:title=""/>
              <o:lock v:ext="edit"/>
            </v:shape>
          </v:group>
        </w:pict>
      </w:r>
      <w:r>
        <w:rPr>
          <w:position w:val="-150"/>
        </w:rPr>
        <w:pict>
          <v:group id="_x0000_s1138" o:spid="_x0000_s1138" o:spt="203" style="height:375.7pt;width:470.3pt;" coordsize="9405,7514">
            <o:lock v:ext="edit"/>
            <v:rect id="_x0000_s1139" o:spid="_x0000_s1139" o:spt="1" style="position:absolute;left:0;top:0;height:7514;width:9405;" fillcolor="#E9F6FE" filled="t" stroked="f" coordsize="21600,21600">
              <v:path/>
              <v:fill on="t" focussize="0,0"/>
              <v:stroke on="f"/>
              <v:imagedata o:title=""/>
              <o:lock v:ext="edit"/>
            </v:rect>
            <v:shape id="_x0000_s1140" o:spid="_x0000_s1140" o:spt="202" type="#_x0000_t202" style="position:absolute;left:709;top:581;height:6610;width:8077;" filled="f" stroked="f" coordsize="21600,21600">
              <v:path/>
              <v:fill on="f" focussize="0,0"/>
              <v:stroke on="f"/>
              <v:imagedata o:title=""/>
              <o:lock v:ext="edit" aspectratio="f"/>
              <v:textbox inset="0mm,0mm,0mm,0mm">
                <w:txbxContent>
                  <w:p w14:paraId="296634BF">
                    <w:pPr>
                      <w:spacing w:before="20" w:line="605" w:lineRule="exact"/>
                      <w:ind w:left="26"/>
                      <w:rPr>
                        <w:rFonts w:ascii="微软雅黑" w:hAnsi="微软雅黑" w:eastAsia="微软雅黑" w:cs="微软雅黑"/>
                        <w:sz w:val="32"/>
                        <w:szCs w:val="32"/>
                      </w:rPr>
                    </w:pPr>
                    <w:r>
                      <w:fldChar w:fldCharType="begin"/>
                    </w:r>
                    <w:r>
                      <w:instrText xml:space="preserve">EQ \* jc3 \* hps14 \o\al(\s\up 12(</w:instrText>
                    </w:r>
                    <w:r>
                      <w:rPr>
                        <w:rFonts w:ascii="Segoe UI" w:hAnsi="Segoe UI" w:eastAsia="Segoe UI" w:cs="Segoe UI"/>
                        <w:b/>
                        <w:bCs/>
                        <w:color w:val="648676"/>
                        <w:spacing w:val="1"/>
                        <w:w w:val="175"/>
                        <w:position w:val="2"/>
                        <w:sz w:val="14"/>
                        <w:szCs w:val="14"/>
                      </w:rPr>
                      <w:instrText xml:space="preserve"> </w:instrText>
                    </w:r>
                    <w:r>
                      <w:rPr>
                        <w:rFonts w:ascii="Segoe UI" w:hAnsi="Segoe UI" w:eastAsia="Segoe UI" w:cs="Segoe UI"/>
                        <w:b/>
                        <w:bCs/>
                        <w:color w:val="648676"/>
                        <w:w w:val="137"/>
                        <w:position w:val="2"/>
                        <w:sz w:val="14"/>
                        <w:szCs w:val="14"/>
                      </w:rPr>
                      <w:instrText xml:space="preserve">SP</w:instrText>
                    </w:r>
                    <w:r>
                      <w:instrText xml:space="preserve">),</w:instrText>
                    </w:r>
                    <w:r>
                      <w:rPr>
                        <w:rFonts w:ascii="Segoe UI" w:hAnsi="Segoe UI" w:eastAsia="Segoe UI" w:cs="Segoe UI"/>
                        <w:b/>
                        <w:bCs/>
                        <w:color w:val="648676"/>
                        <w:w w:val="123"/>
                        <w:position w:val="7"/>
                        <w:sz w:val="20"/>
                        <w:szCs w:val="20"/>
                      </w:rPr>
                      <w:instrText xml:space="preserve">COL</w:instrText>
                    </w:r>
                    <w:r>
                      <w:instrText xml:space="preserve">)</w:instrText>
                    </w:r>
                    <w:r>
                      <w:fldChar w:fldCharType="end"/>
                    </w:r>
                    <w:r>
                      <w:fldChar w:fldCharType="begin"/>
                    </w:r>
                    <w:r>
                      <w:instrText xml:space="preserve">EQ \* jc3 \* hps14 \o\al(\s\up 12(</w:instrText>
                    </w:r>
                    <w:r>
                      <w:rPr>
                        <w:rFonts w:ascii="Segoe UI" w:hAnsi="Segoe UI" w:eastAsia="Segoe UI" w:cs="Segoe UI"/>
                        <w:b/>
                        <w:bCs/>
                        <w:color w:val="648676"/>
                        <w:w w:val="141"/>
                        <w:position w:val="2"/>
                        <w:sz w:val="14"/>
                        <w:szCs w:val="14"/>
                      </w:rPr>
                      <w:instrText xml:space="preserve">E</w:instrText>
                    </w:r>
                    <w:r>
                      <w:instrText xml:space="preserve">),</w:instrText>
                    </w:r>
                    <w:r>
                      <w:rPr>
                        <w:rFonts w:ascii="Segoe UI" w:hAnsi="Segoe UI" w:eastAsia="Segoe UI" w:cs="Segoe UI"/>
                        <w:b/>
                        <w:bCs/>
                        <w:color w:val="648676"/>
                        <w:w w:val="90"/>
                        <w:position w:val="7"/>
                        <w:sz w:val="20"/>
                        <w:szCs w:val="20"/>
                      </w:rPr>
                      <w:instrText xml:space="preserve">U</w:instrText>
                    </w:r>
                    <w:r>
                      <w:instrText xml:space="preserve">)</w:instrText>
                    </w:r>
                    <w:r>
                      <w:fldChar w:fldCharType="end"/>
                    </w:r>
                    <w:r>
                      <w:rPr>
                        <w:rFonts w:ascii="Times New Roman" w:hAnsi="Times New Roman" w:eastAsia="Times New Roman" w:cs="Times New Roman"/>
                        <w:color w:val="648676"/>
                        <w:position w:val="-12"/>
                        <w:sz w:val="67"/>
                        <w:szCs w:val="67"/>
                      </w:rPr>
                      <w:drawing>
                        <wp:inline distT="0" distB="0" distL="0" distR="0">
                          <wp:extent cx="125095" cy="323850"/>
                          <wp:effectExtent l="0" t="0" r="0" b="0"/>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99"/>
                                  <a:stretch>
                                    <a:fillRect/>
                                  </a:stretch>
                                </pic:blipFill>
                                <pic:spPr>
                                  <a:xfrm>
                                    <a:off x="0" y="0"/>
                                    <a:ext cx="125311" cy="324460"/>
                                  </a:xfrm>
                                  <a:prstGeom prst="rect">
                                    <a:avLst/>
                                  </a:prstGeom>
                                </pic:spPr>
                              </pic:pic>
                            </a:graphicData>
                          </a:graphic>
                        </wp:inline>
                      </w:drawing>
                    </w:r>
                    <w:r>
                      <w:rPr>
                        <w:rFonts w:ascii="Times New Roman" w:hAnsi="Times New Roman" w:eastAsia="Times New Roman" w:cs="Times New Roman"/>
                        <w:color w:val="648676"/>
                        <w:position w:val="-12"/>
                        <w:sz w:val="67"/>
                        <w:szCs w:val="67"/>
                      </w:rPr>
                      <w:drawing>
                        <wp:inline distT="0" distB="0" distL="0" distR="0">
                          <wp:extent cx="131445" cy="321945"/>
                          <wp:effectExtent l="0" t="0" r="0" b="0"/>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100"/>
                                  <a:stretch>
                                    <a:fillRect/>
                                  </a:stretch>
                                </pic:blipFill>
                                <pic:spPr>
                                  <a:xfrm>
                                    <a:off x="0" y="0"/>
                                    <a:ext cx="131654" cy="322432"/>
                                  </a:xfrm>
                                  <a:prstGeom prst="rect">
                                    <a:avLst/>
                                  </a:prstGeom>
                                </pic:spPr>
                              </pic:pic>
                            </a:graphicData>
                          </a:graphic>
                        </wp:inline>
                      </w:drawing>
                    </w:r>
                    <w:r>
                      <w:rPr>
                        <w:rFonts w:ascii="Times New Roman" w:hAnsi="Times New Roman" w:eastAsia="Times New Roman" w:cs="Times New Roman"/>
                        <w:b/>
                        <w:bCs/>
                        <w:color w:val="648676"/>
                        <w:spacing w:val="-51"/>
                        <w:position w:val="-7"/>
                        <w:sz w:val="67"/>
                        <w:szCs w:val="67"/>
                      </w:rPr>
                      <w:t xml:space="preserve"> </w:t>
                    </w:r>
                    <w:r>
                      <w:rPr>
                        <w:rFonts w:ascii="Times New Roman" w:hAnsi="Times New Roman" w:eastAsia="Times New Roman" w:cs="Times New Roman"/>
                        <w:color w:val="648676"/>
                        <w:spacing w:val="-8"/>
                        <w:position w:val="-7"/>
                        <w:sz w:val="67"/>
                        <w:szCs w:val="67"/>
                      </w:rPr>
                      <w:t>1</w:t>
                    </w:r>
                    <w:r>
                      <w:rPr>
                        <w:rFonts w:ascii="Times New Roman" w:hAnsi="Times New Roman" w:eastAsia="Times New Roman" w:cs="Times New Roman"/>
                        <w:color w:val="648676"/>
                        <w:spacing w:val="75"/>
                        <w:position w:val="-7"/>
                        <w:sz w:val="67"/>
                        <w:szCs w:val="67"/>
                      </w:rPr>
                      <w:t xml:space="preserve"> </w:t>
                    </w:r>
                    <w:r>
                      <w:rPr>
                        <w:rFonts w:ascii="微软雅黑" w:hAnsi="微软雅黑" w:eastAsia="微软雅黑" w:cs="微软雅黑"/>
                        <w:color w:val="648676"/>
                        <w:spacing w:val="-8"/>
                        <w:position w:val="2"/>
                        <w:sz w:val="32"/>
                        <w:szCs w:val="32"/>
                      </w:rPr>
                      <w:t>数据资产交易模式</w:t>
                    </w:r>
                  </w:p>
                  <w:p w14:paraId="3C44932E">
                    <w:pPr>
                      <w:spacing w:before="234" w:line="291" w:lineRule="auto"/>
                      <w:ind w:left="20" w:right="20" w:firstLine="481"/>
                      <w:jc w:val="both"/>
                      <w:rPr>
                        <w:rFonts w:ascii="微软雅黑" w:hAnsi="微软雅黑" w:eastAsia="微软雅黑" w:cs="微软雅黑"/>
                        <w:sz w:val="22"/>
                        <w:szCs w:val="22"/>
                      </w:rPr>
                    </w:pPr>
                    <w:r>
                      <w:rPr>
                        <w:rFonts w:ascii="微软雅黑" w:hAnsi="微软雅黑" w:eastAsia="微软雅黑" w:cs="微软雅黑"/>
                        <w:color w:val="231F20"/>
                        <w:sz w:val="22"/>
                        <w:szCs w:val="22"/>
                      </w:rPr>
                      <w:t>数据交易所作为可信任的数据交易“中介”，为企</w:t>
                    </w:r>
                    <w:r>
                      <w:rPr>
                        <w:rFonts w:ascii="微软雅黑" w:hAnsi="微软雅黑" w:eastAsia="微软雅黑" w:cs="微软雅黑"/>
                        <w:color w:val="231F20"/>
                        <w:spacing w:val="-1"/>
                        <w:sz w:val="22"/>
                        <w:szCs w:val="22"/>
                      </w:rPr>
                      <w:t>业探索数据交易提供了一个</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7"/>
                        <w:sz w:val="22"/>
                        <w:szCs w:val="22"/>
                      </w:rPr>
                      <w:t>统一的可信任“窗口”。2014-2017</w:t>
                    </w:r>
                    <w:r>
                      <w:rPr>
                        <w:rFonts w:ascii="微软雅黑" w:hAnsi="微软雅黑" w:eastAsia="微软雅黑" w:cs="微软雅黑"/>
                        <w:color w:val="231F20"/>
                        <w:spacing w:val="-21"/>
                        <w:sz w:val="22"/>
                        <w:szCs w:val="22"/>
                      </w:rPr>
                      <w:t xml:space="preserve"> </w:t>
                    </w:r>
                    <w:r>
                      <w:rPr>
                        <w:rFonts w:ascii="微软雅黑" w:hAnsi="微软雅黑" w:eastAsia="微软雅黑" w:cs="微软雅黑"/>
                        <w:color w:val="231F20"/>
                        <w:spacing w:val="-7"/>
                        <w:sz w:val="22"/>
                        <w:szCs w:val="22"/>
                      </w:rPr>
                      <w:t>年间，国内先后成立了</w:t>
                    </w:r>
                    <w:r>
                      <w:rPr>
                        <w:rFonts w:ascii="微软雅黑" w:hAnsi="微软雅黑" w:eastAsia="微软雅黑" w:cs="微软雅黑"/>
                        <w:color w:val="231F20"/>
                        <w:spacing w:val="-20"/>
                        <w:sz w:val="22"/>
                        <w:szCs w:val="22"/>
                      </w:rPr>
                      <w:t xml:space="preserve"> </w:t>
                    </w:r>
                    <w:r>
                      <w:rPr>
                        <w:rFonts w:ascii="微软雅黑" w:hAnsi="微软雅黑" w:eastAsia="微软雅黑" w:cs="微软雅黑"/>
                        <w:color w:val="231F20"/>
                        <w:spacing w:val="-7"/>
                        <w:sz w:val="22"/>
                        <w:szCs w:val="22"/>
                      </w:rPr>
                      <w:t>20</w:t>
                    </w:r>
                    <w:r>
                      <w:rPr>
                        <w:rFonts w:ascii="微软雅黑" w:hAnsi="微软雅黑" w:eastAsia="微软雅黑" w:cs="微软雅黑"/>
                        <w:color w:val="231F20"/>
                        <w:spacing w:val="-21"/>
                        <w:sz w:val="22"/>
                        <w:szCs w:val="22"/>
                      </w:rPr>
                      <w:t xml:space="preserve"> </w:t>
                    </w:r>
                    <w:r>
                      <w:rPr>
                        <w:rFonts w:ascii="微软雅黑" w:hAnsi="微软雅黑" w:eastAsia="微软雅黑" w:cs="微软雅黑"/>
                        <w:color w:val="231F20"/>
                        <w:spacing w:val="-8"/>
                        <w:sz w:val="22"/>
                        <w:szCs w:val="22"/>
                      </w:rPr>
                      <w:t>余家由地方政府发起、</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指导或批准成立的数据交易机构，在一定的前提和场景下，形成数据确权、数据定价、</w:t>
                    </w:r>
                    <w:r>
                      <w:rPr>
                        <w:rFonts w:ascii="微软雅黑" w:hAnsi="微软雅黑" w:eastAsia="微软雅黑" w:cs="微软雅黑"/>
                        <w:color w:val="231F20"/>
                        <w:spacing w:val="16"/>
                        <w:w w:val="101"/>
                        <w:sz w:val="22"/>
                        <w:szCs w:val="22"/>
                      </w:rPr>
                      <w:t xml:space="preserve"> </w:t>
                    </w:r>
                    <w:r>
                      <w:rPr>
                        <w:rFonts w:ascii="微软雅黑" w:hAnsi="微软雅黑" w:eastAsia="微软雅黑" w:cs="微软雅黑"/>
                        <w:color w:val="231F20"/>
                        <w:sz w:val="22"/>
                        <w:szCs w:val="22"/>
                      </w:rPr>
                      <w:t>数据交易规则等机制。例如，北京国际大数据交易所于 2021 年 9 月上线了数据交</w:t>
                    </w:r>
                    <w:r>
                      <w:rPr>
                        <w:rFonts w:ascii="微软雅黑" w:hAnsi="微软雅黑" w:eastAsia="微软雅黑" w:cs="微软雅黑"/>
                        <w:color w:val="231F20"/>
                        <w:spacing w:val="2"/>
                        <w:sz w:val="22"/>
                        <w:szCs w:val="22"/>
                      </w:rPr>
                      <w:t xml:space="preserve">  </w:t>
                    </w:r>
                    <w:r>
                      <w:rPr>
                        <w:rFonts w:ascii="微软雅黑" w:hAnsi="微软雅黑" w:eastAsia="微软雅黑" w:cs="微软雅黑"/>
                        <w:color w:val="231F20"/>
                        <w:spacing w:val="-7"/>
                        <w:sz w:val="22"/>
                        <w:szCs w:val="22"/>
                      </w:rPr>
                      <w:t>易平台</w:t>
                    </w:r>
                    <w:r>
                      <w:rPr>
                        <w:rFonts w:ascii="微软雅黑" w:hAnsi="微软雅黑" w:eastAsia="微软雅黑" w:cs="微软雅黑"/>
                        <w:color w:val="231F20"/>
                        <w:spacing w:val="-8"/>
                        <w:sz w:val="22"/>
                        <w:szCs w:val="22"/>
                      </w:rPr>
                      <w:t xml:space="preserve"> </w:t>
                    </w:r>
                    <w:r>
                      <w:rPr>
                        <w:rFonts w:ascii="微软雅黑" w:hAnsi="微软雅黑" w:eastAsia="微软雅黑" w:cs="微软雅黑"/>
                        <w:color w:val="231F20"/>
                        <w:spacing w:val="-7"/>
                        <w:sz w:val="22"/>
                        <w:szCs w:val="22"/>
                      </w:rPr>
                      <w:t>IDeX</w:t>
                    </w:r>
                    <w:r>
                      <w:rPr>
                        <w:rFonts w:ascii="微软雅黑" w:hAnsi="微软雅黑" w:eastAsia="微软雅黑" w:cs="微软雅黑"/>
                        <w:color w:val="231F20"/>
                        <w:spacing w:val="-30"/>
                        <w:sz w:val="22"/>
                        <w:szCs w:val="22"/>
                      </w:rPr>
                      <w:t xml:space="preserve"> </w:t>
                    </w:r>
                    <w:r>
                      <w:rPr>
                        <w:rFonts w:ascii="微软雅黑" w:hAnsi="微软雅黑" w:eastAsia="微软雅黑" w:cs="微软雅黑"/>
                        <w:color w:val="231F20"/>
                        <w:spacing w:val="-7"/>
                        <w:sz w:val="22"/>
                        <w:szCs w:val="22"/>
                      </w:rPr>
                      <w:t>系统，与北京市公共数据开放平台互通，扩大吸纳公共数据资源的范畴，</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具备数据资产交易多项功能，并利用隐私计算、区块链、智能合约、数据确权标识、</w:t>
                    </w:r>
                    <w:r>
                      <w:rPr>
                        <w:rFonts w:ascii="微软雅黑" w:hAnsi="微软雅黑" w:eastAsia="微软雅黑" w:cs="微软雅黑"/>
                        <w:color w:val="231F20"/>
                        <w:spacing w:val="5"/>
                        <w:sz w:val="22"/>
                        <w:szCs w:val="22"/>
                      </w:rPr>
                      <w:t xml:space="preserve"> </w:t>
                    </w:r>
                    <w:r>
                      <w:rPr>
                        <w:rFonts w:ascii="微软雅黑" w:hAnsi="微软雅黑" w:eastAsia="微软雅黑" w:cs="微软雅黑"/>
                        <w:color w:val="231F20"/>
                        <w:spacing w:val="-1"/>
                        <w:sz w:val="22"/>
                        <w:szCs w:val="22"/>
                      </w:rPr>
                      <w:t>测试沙盒等技术，实现全链条交易服务。</w:t>
                    </w:r>
                  </w:p>
                  <w:p w14:paraId="453EB0BA">
                    <w:pPr>
                      <w:spacing w:before="13" w:line="276" w:lineRule="auto"/>
                      <w:ind w:left="20" w:right="112" w:firstLine="481"/>
                      <w:jc w:val="both"/>
                      <w:rPr>
                        <w:rFonts w:ascii="微软雅黑" w:hAnsi="微软雅黑" w:eastAsia="微软雅黑" w:cs="微软雅黑"/>
                        <w:sz w:val="22"/>
                        <w:szCs w:val="22"/>
                      </w:rPr>
                    </w:pPr>
                    <w:r>
                      <w:rPr>
                        <w:rFonts w:ascii="微软雅黑" w:hAnsi="微软雅黑" w:eastAsia="微软雅黑" w:cs="微软雅黑"/>
                        <w:color w:val="231F20"/>
                        <w:spacing w:val="6"/>
                        <w:sz w:val="22"/>
                        <w:szCs w:val="22"/>
                      </w:rPr>
                      <w:t>将原始数据到数据资产过程作为主线，创新数据交易标的形式，扩展数据交</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 xml:space="preserve">易市场边界。传统数据交易标的多是 </w:t>
                    </w:r>
                    <w:r>
                      <w:rPr>
                        <w:rFonts w:ascii="微软雅黑" w:hAnsi="微软雅黑" w:eastAsia="微软雅黑" w:cs="微软雅黑"/>
                        <w:color w:val="231F20"/>
                        <w:sz w:val="22"/>
                        <w:szCs w:val="22"/>
                      </w:rPr>
                      <w:t>API</w:t>
                    </w:r>
                    <w:r>
                      <w:rPr>
                        <w:rFonts w:ascii="微软雅黑" w:hAnsi="微软雅黑" w:eastAsia="微软雅黑" w:cs="微软雅黑"/>
                        <w:color w:val="231F20"/>
                        <w:spacing w:val="1"/>
                        <w:sz w:val="22"/>
                        <w:szCs w:val="22"/>
                      </w:rPr>
                      <w:t>、统计报告等形式，实际上，数据加工的</w:t>
                    </w:r>
                    <w:r>
                      <w:rPr>
                        <w:rFonts w:ascii="微软雅黑" w:hAnsi="微软雅黑" w:eastAsia="微软雅黑" w:cs="微软雅黑"/>
                        <w:color w:val="231F20"/>
                        <w:spacing w:val="3"/>
                        <w:sz w:val="22"/>
                        <w:szCs w:val="22"/>
                      </w:rPr>
                      <w:t xml:space="preserve"> </w:t>
                    </w:r>
                    <w:r>
                      <w:rPr>
                        <w:rFonts w:ascii="微软雅黑" w:hAnsi="微软雅黑" w:eastAsia="微软雅黑" w:cs="微软雅黑"/>
                        <w:color w:val="231F20"/>
                        <w:sz w:val="22"/>
                        <w:szCs w:val="22"/>
                      </w:rPr>
                      <w:t>投入技术（如管理工具、算法模型等技术服务）和中间产物（数据模型、数据规则</w:t>
                    </w:r>
                    <w:r>
                      <w:rPr>
                        <w:rFonts w:ascii="微软雅黑" w:hAnsi="微软雅黑" w:eastAsia="微软雅黑" w:cs="微软雅黑"/>
                        <w:color w:val="231F20"/>
                        <w:spacing w:val="9"/>
                        <w:sz w:val="22"/>
                        <w:szCs w:val="22"/>
                      </w:rPr>
                      <w:t xml:space="preserve"> </w:t>
                    </w:r>
                    <w:r>
                      <w:rPr>
                        <w:rFonts w:ascii="微软雅黑" w:hAnsi="微软雅黑" w:eastAsia="微软雅黑" w:cs="微软雅黑"/>
                        <w:color w:val="231F20"/>
                        <w:spacing w:val="1"/>
                        <w:sz w:val="22"/>
                        <w:szCs w:val="22"/>
                      </w:rPr>
                      <w:t>库、数据价值链、运营策略、定价机制、交易合同</w:t>
                    </w:r>
                    <w:r>
                      <w:rPr>
                        <w:rFonts w:ascii="微软雅黑" w:hAnsi="微软雅黑" w:eastAsia="微软雅黑" w:cs="微软雅黑"/>
                        <w:color w:val="231F20"/>
                        <w:sz w:val="22"/>
                        <w:szCs w:val="22"/>
                      </w:rPr>
                      <w:t xml:space="preserve">等数据解决方案）也可作为数据 </w:t>
                    </w:r>
                    <w:r>
                      <w:rPr>
                        <w:rFonts w:ascii="微软雅黑" w:hAnsi="微软雅黑" w:eastAsia="微软雅黑" w:cs="微软雅黑"/>
                        <w:color w:val="231F20"/>
                        <w:spacing w:val="1"/>
                        <w:sz w:val="22"/>
                        <w:szCs w:val="22"/>
                      </w:rPr>
                      <w:t>产品。此外，可引入数据生态多方参与，推动数据生</w:t>
                    </w:r>
                    <w:r>
                      <w:rPr>
                        <w:rFonts w:ascii="微软雅黑" w:hAnsi="微软雅黑" w:eastAsia="微软雅黑" w:cs="微软雅黑"/>
                        <w:color w:val="231F20"/>
                        <w:sz w:val="22"/>
                        <w:szCs w:val="22"/>
                      </w:rPr>
                      <w:t xml:space="preserve">态与数据交易相互促进。具体 </w:t>
                    </w:r>
                    <w:r>
                      <w:rPr>
                        <w:rFonts w:ascii="微软雅黑" w:hAnsi="微软雅黑" w:eastAsia="微软雅黑" w:cs="微软雅黑"/>
                        <w:color w:val="231F20"/>
                        <w:spacing w:val="-6"/>
                        <w:sz w:val="22"/>
                        <w:szCs w:val="22"/>
                      </w:rPr>
                      <w:t>如图 10 所示。</w:t>
                    </w:r>
                  </w:p>
                </w:txbxContent>
              </v:textbox>
            </v:shape>
            <v:group id="_x0000_s1141" o:spid="_x0000_s1141" o:spt="203" style="position:absolute;left:8866;top:266;height:6984;width:303;" coordsize="303,6984">
              <o:lock v:ext="edit"/>
              <v:shape id="_x0000_s1142" o:spid="_x0000_s1142" style="position:absolute;left:28;top:1;height:6922;width:275;" filled="f" stroked="t" coordsize="275,6922" path="m264,6912l264,406m260,319c247,220,198,27,10,10e">
                <v:fill on="f" focussize="0,0"/>
                <v:stroke weight="1pt" color="#648676" miterlimit="4" dashstyle="dash" endcap="round"/>
                <v:imagedata o:title=""/>
                <o:lock v:ext="edit"/>
              </v:shape>
              <v:shape id="_x0000_s1143" o:spid="_x0000_s1143" style="position:absolute;left:0;top:0;height:6984;width:303;" filled="f" stroked="t" coordsize="303,6984" path="m293,6973l293,6973m293,377l293,377m10,10l10,10e">
                <v:fill on="f" focussize="0,0"/>
                <v:stroke weight="1pt" color="#648676" miterlimit="4" endcap="round"/>
                <v:imagedata o:title=""/>
                <o:lock v:ext="edit"/>
              </v:shape>
            </v:group>
            <v:group id="_x0000_s1144" o:spid="_x0000_s1144" o:spt="203" style="position:absolute;left:519;top:266;height:20;width:8307;" coordsize="8307,20">
              <o:lock v:ext="edit"/>
              <v:shape id="_x0000_s1145" o:spid="_x0000_s1145" style="position:absolute;left:30;top:0;height:20;width:8277;" filled="f" stroked="t" coordsize="8277,20" path="m8266,10l10,10e">
                <v:fill on="f" focussize="0,0"/>
                <v:stroke weight="1pt" color="#648676" miterlimit="4" dashstyle="dash" endcap="round"/>
                <v:imagedata o:title=""/>
                <o:lock v:ext="edit"/>
              </v:shape>
              <v:shape id="_x0000_s1146" o:spid="_x0000_s1146" style="position:absolute;left:0;top:0;height:20;width:20;" filled="f" stroked="t" coordsize="20,20" path="m10,10l10,10e">
                <v:fill on="f" focussize="0,0"/>
                <v:stroke weight="1pt" color="#648676" miterlimit="4" endcap="round"/>
                <v:imagedata o:title=""/>
                <o:lock v:ext="edit"/>
              </v:shape>
            </v:group>
            <w10:wrap type="none"/>
            <w10:anchorlock/>
          </v:group>
        </w:pict>
      </w:r>
    </w:p>
    <w:p w14:paraId="104EF101">
      <w:pPr>
        <w:pStyle w:val="2"/>
      </w:pPr>
    </w:p>
    <w:p w14:paraId="70DBA5B9">
      <w:pPr>
        <w:pStyle w:val="2"/>
      </w:pPr>
    </w:p>
    <w:p w14:paraId="21E9E31D">
      <w:pPr>
        <w:spacing w:before="78" w:line="212" w:lineRule="auto"/>
        <w:ind w:left="5513"/>
        <w:rPr>
          <w:rFonts w:hint="eastAsia" w:ascii="宋体" w:hAnsi="宋体" w:eastAsia="宋体" w:cs="宋体"/>
          <w:sz w:val="24"/>
          <w:szCs w:val="24"/>
          <w:lang w:eastAsia="zh-CN"/>
        </w:rPr>
      </w:pPr>
      <w:r>
        <w:pict>
          <v:shape id="_x0000_s1147" o:spid="_x0000_s1147" o:spt="202" type="#_x0000_t202" style="position:absolute;left:0pt;margin-left:241.1pt;margin-top:-1.75pt;height:11.3pt;width:12.85pt;z-index:251787264;mso-width-relative:page;mso-height-relative:page;" filled="f" stroked="f" coordsize="21600,21600">
            <v:path/>
            <v:fill on="f" focussize="0,0"/>
            <v:stroke on="f"/>
            <v:imagedata o:title=""/>
            <o:lock v:ext="edit" aspectratio="f"/>
            <v:textbox inset="0mm,0mm,0mm,0mm">
              <w:txbxContent>
                <w:p w14:paraId="0543F2CA">
                  <w:pPr>
                    <w:pStyle w:val="2"/>
                    <w:spacing w:before="20" w:line="194" w:lineRule="auto"/>
                    <w:ind w:left="20"/>
                    <w:rPr>
                      <w:sz w:val="20"/>
                      <w:szCs w:val="20"/>
                    </w:rPr>
                  </w:pPr>
                  <w:r>
                    <w:rPr>
                      <w:color w:val="231F20"/>
                      <w:spacing w:val="-2"/>
                      <w:sz w:val="20"/>
                      <w:szCs w:val="20"/>
                    </w:rPr>
                    <w:t>20</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5D6BA1BD">
      <w:pPr>
        <w:spacing w:line="212" w:lineRule="auto"/>
        <w:rPr>
          <w:rFonts w:ascii="宋体" w:hAnsi="宋体" w:eastAsia="宋体" w:cs="宋体"/>
          <w:sz w:val="24"/>
          <w:szCs w:val="24"/>
        </w:rPr>
        <w:sectPr>
          <w:pgSz w:w="11906" w:h="16158"/>
          <w:pgMar w:top="400" w:right="1178" w:bottom="400" w:left="1004" w:header="0" w:footer="0" w:gutter="0"/>
          <w:cols w:space="720" w:num="1"/>
        </w:sectPr>
      </w:pPr>
    </w:p>
    <w:p w14:paraId="6D27C4BD">
      <w:pPr>
        <w:pStyle w:val="2"/>
        <w:spacing w:line="349" w:lineRule="auto"/>
      </w:pPr>
    </w:p>
    <w:p w14:paraId="249C6589">
      <w:pPr>
        <w:pStyle w:val="2"/>
        <w:spacing w:line="350" w:lineRule="auto"/>
      </w:pPr>
    </w:p>
    <w:p w14:paraId="43BA6BC0">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-2</w:t>
      </w:r>
    </w:p>
    <w:p w14:paraId="270AD397">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54C20F33">
      <w:pPr>
        <w:pStyle w:val="2"/>
        <w:spacing w:line="244" w:lineRule="auto"/>
      </w:pPr>
    </w:p>
    <w:p w14:paraId="7872A22C">
      <w:pPr>
        <w:pStyle w:val="2"/>
        <w:spacing w:line="245" w:lineRule="auto"/>
      </w:pPr>
    </w:p>
    <w:p w14:paraId="3090BA0C">
      <w:pPr>
        <w:pStyle w:val="2"/>
        <w:spacing w:line="245" w:lineRule="auto"/>
      </w:pPr>
    </w:p>
    <w:p w14:paraId="3441E561">
      <w:pPr>
        <w:pStyle w:val="2"/>
        <w:spacing w:line="245" w:lineRule="auto"/>
      </w:pPr>
    </w:p>
    <w:p w14:paraId="03D7DBE3">
      <w:pPr>
        <w:pStyle w:val="2"/>
        <w:spacing w:line="5896" w:lineRule="exact"/>
        <w:ind w:firstLine="242"/>
      </w:pPr>
      <w:r>
        <w:pict>
          <v:group id="_x0000_s1148" o:spid="_x0000_s1148" o:spt="203" style="position:absolute;left:0pt;margin-left:455.4pt;margin-top:10.85pt;height:275.75pt;width:15.2pt;z-index:251790336;mso-width-relative:page;mso-height-relative:page;" coordsize="303,5515">
            <o:lock v:ext="edit"/>
            <v:shape id="_x0000_s1149" o:spid="_x0000_s1149" style="position:absolute;left:28;top:60;height:5452;width:275;" filled="f" stroked="t" coordsize="275,5452" path="m264,10l264,5046m260,5133c247,5232,198,5424,10,5442e">
              <v:fill on="f" focussize="0,0"/>
              <v:stroke weight="1pt" color="#648676" miterlimit="4" dashstyle="dash" endcap="round"/>
              <v:imagedata o:title=""/>
              <o:lock v:ext="edit"/>
            </v:shape>
            <v:shape id="_x0000_s1150" o:spid="_x0000_s1150" style="position:absolute;left:0;top:0;height:5515;width:303;" filled="f" stroked="t" coordsize="303,5515" path="m293,10l293,10m293,5136l293,5136m10,5504l10,5504e">
              <v:fill on="f" focussize="0,0"/>
              <v:stroke weight="1pt" color="#648676" miterlimit="4" endcap="round"/>
              <v:imagedata o:title=""/>
              <o:lock v:ext="edit"/>
            </v:shape>
          </v:group>
        </w:pict>
      </w:r>
      <w:r>
        <w:rPr>
          <w:position w:val="-117"/>
        </w:rPr>
        <w:pict>
          <v:group id="_x0000_s1151" o:spid="_x0000_s1151" o:spt="203" style="height:294.85pt;width:470.3pt;" coordsize="9405,5897">
            <o:lock v:ext="edit"/>
            <v:shape id="_x0000_s1152" o:spid="_x0000_s1152" o:spt="75" type="#_x0000_t75" style="position:absolute;left:0;top:0;height:5897;width:9405;" filled="f" stroked="f" coordsize="21600,21600">
              <v:path/>
              <v:fill on="f" focussize="0,0"/>
              <v:stroke on="f"/>
              <v:imagedata r:id="rId101" o:title=""/>
              <o:lock v:ext="edit" aspectratio="t"/>
            </v:shape>
            <v:shape id="_x0000_s1153" o:spid="_x0000_s1153" o:spt="202" type="#_x0000_t202" style="position:absolute;left:712;top:293;height:5212;width:7990;" filled="f" stroked="f" coordsize="21600,21600">
              <v:path/>
              <v:fill on="f" focussize="0,0"/>
              <v:stroke on="f"/>
              <v:imagedata o:title=""/>
              <o:lock v:ext="edit" aspectratio="f"/>
              <v:textbox inset="0mm,0mm,0mm,0mm">
                <w:txbxContent>
                  <w:p w14:paraId="361F422C">
                    <w:pPr>
                      <w:spacing w:before="20" w:line="227" w:lineRule="exact"/>
                      <w:ind w:left="2303"/>
                      <w:rPr>
                        <w:rFonts w:ascii="微软雅黑" w:hAnsi="微软雅黑" w:eastAsia="微软雅黑" w:cs="微软雅黑"/>
                        <w:sz w:val="22"/>
                        <w:szCs w:val="22"/>
                      </w:rPr>
                    </w:pPr>
                    <w:r>
                      <w:rPr>
                        <w:rFonts w:ascii="微软雅黑" w:hAnsi="微软雅黑" w:eastAsia="微软雅黑" w:cs="微软雅黑"/>
                        <w:color w:val="6B8F80"/>
                        <w:spacing w:val="-3"/>
                        <w:position w:val="-1"/>
                        <w:sz w:val="22"/>
                        <w:szCs w:val="22"/>
                      </w:rPr>
                      <w:t xml:space="preserve">数据资源                       </w:t>
                    </w:r>
                    <w:r>
                      <w:rPr>
                        <w:rFonts w:ascii="微软雅黑" w:hAnsi="微软雅黑" w:eastAsia="微软雅黑" w:cs="微软雅黑"/>
                        <w:color w:val="6E9E85"/>
                        <w:spacing w:val="-3"/>
                        <w:position w:val="-1"/>
                        <w:sz w:val="22"/>
                        <w:szCs w:val="22"/>
                      </w:rPr>
                      <w:t>数据资产</w:t>
                    </w:r>
                  </w:p>
                  <w:p w14:paraId="055E2FF9">
                    <w:pPr>
                      <w:spacing w:before="213" w:line="146" w:lineRule="exact"/>
                      <w:ind w:left="6685"/>
                      <w:rPr>
                        <w:rFonts w:ascii="微软雅黑" w:hAnsi="微软雅黑" w:eastAsia="微软雅黑" w:cs="微软雅黑"/>
                        <w:sz w:val="14"/>
                        <w:szCs w:val="14"/>
                      </w:rPr>
                    </w:pPr>
                    <w:r>
                      <w:rPr>
                        <w:rFonts w:ascii="微软雅黑" w:hAnsi="微软雅黑" w:eastAsia="微软雅黑" w:cs="微软雅黑"/>
                        <w:position w:val="-1"/>
                        <w:sz w:val="14"/>
                        <w:szCs w:val="14"/>
                      </w:rPr>
                      <w:t>API</w:t>
                    </w:r>
                    <w:r>
                      <w:rPr>
                        <w:rFonts w:ascii="微软雅黑" w:hAnsi="微软雅黑" w:eastAsia="微软雅黑" w:cs="微软雅黑"/>
                        <w:spacing w:val="12"/>
                        <w:position w:val="-1"/>
                        <w:sz w:val="14"/>
                        <w:szCs w:val="14"/>
                      </w:rPr>
                      <w:t>、统计报告</w:t>
                    </w:r>
                  </w:p>
                  <w:p w14:paraId="6367A03D">
                    <w:pPr>
                      <w:spacing w:line="319" w:lineRule="auto"/>
                      <w:rPr>
                        <w:rFonts w:ascii="Arial"/>
                        <w:sz w:val="21"/>
                      </w:rPr>
                    </w:pPr>
                  </w:p>
                  <w:p w14:paraId="6053AB76">
                    <w:pPr>
                      <w:spacing w:before="69" w:line="167" w:lineRule="exact"/>
                      <w:ind w:left="1945"/>
                      <w:rPr>
                        <w:rFonts w:ascii="微软雅黑" w:hAnsi="微软雅黑" w:eastAsia="微软雅黑" w:cs="微软雅黑"/>
                        <w:sz w:val="16"/>
                        <w:szCs w:val="16"/>
                      </w:rPr>
                    </w:pPr>
                    <w:r>
                      <w:rPr>
                        <w:rFonts w:ascii="微软雅黑" w:hAnsi="微软雅黑" w:eastAsia="微软雅黑" w:cs="微软雅黑"/>
                        <w:color w:val="638778"/>
                        <w:spacing w:val="3"/>
                        <w:position w:val="-1"/>
                        <w:sz w:val="16"/>
                        <w:szCs w:val="16"/>
                      </w:rPr>
                      <w:t>采集加工平台、 管理工具、 算法模型</w:t>
                    </w:r>
                  </w:p>
                  <w:p w14:paraId="0B487556">
                    <w:pPr>
                      <w:spacing w:line="401" w:lineRule="auto"/>
                      <w:rPr>
                        <w:rFonts w:ascii="Arial"/>
                        <w:sz w:val="21"/>
                      </w:rPr>
                    </w:pPr>
                  </w:p>
                  <w:p w14:paraId="701408D7">
                    <w:pPr>
                      <w:spacing w:before="69" w:line="236" w:lineRule="auto"/>
                      <w:ind w:left="1785" w:right="3347" w:hanging="1"/>
                      <w:rPr>
                        <w:rFonts w:ascii="微软雅黑" w:hAnsi="微软雅黑" w:eastAsia="微软雅黑" w:cs="微软雅黑"/>
                        <w:sz w:val="16"/>
                        <w:szCs w:val="16"/>
                      </w:rPr>
                    </w:pPr>
                    <w:r>
                      <w:rPr>
                        <w:rFonts w:ascii="微软雅黑" w:hAnsi="微软雅黑" w:eastAsia="微软雅黑" w:cs="微软雅黑"/>
                        <w:color w:val="616161"/>
                        <w:spacing w:val="1"/>
                        <w:sz w:val="16"/>
                        <w:szCs w:val="16"/>
                      </w:rPr>
                      <w:t>数据模型、 数据规则库、</w:t>
                    </w:r>
                    <w:r>
                      <w:rPr>
                        <w:rFonts w:ascii="微软雅黑" w:hAnsi="微软雅黑" w:eastAsia="微软雅黑" w:cs="微软雅黑"/>
                        <w:color w:val="616161"/>
                        <w:spacing w:val="25"/>
                        <w:sz w:val="16"/>
                        <w:szCs w:val="16"/>
                      </w:rPr>
                      <w:t xml:space="preserve"> </w:t>
                    </w:r>
                    <w:r>
                      <w:rPr>
                        <w:rFonts w:ascii="微软雅黑" w:hAnsi="微软雅黑" w:eastAsia="微软雅黑" w:cs="微软雅黑"/>
                        <w:color w:val="616161"/>
                        <w:spacing w:val="1"/>
                        <w:sz w:val="16"/>
                        <w:szCs w:val="16"/>
                      </w:rPr>
                      <w:t>数据价值链、</w:t>
                    </w:r>
                    <w:r>
                      <w:rPr>
                        <w:rFonts w:ascii="微软雅黑" w:hAnsi="微软雅黑" w:eastAsia="微软雅黑" w:cs="微软雅黑"/>
                        <w:color w:val="616161"/>
                        <w:sz w:val="16"/>
                        <w:szCs w:val="16"/>
                      </w:rPr>
                      <w:t xml:space="preserve"> </w:t>
                    </w:r>
                    <w:r>
                      <w:rPr>
                        <w:rFonts w:ascii="微软雅黑" w:hAnsi="微软雅黑" w:eastAsia="微软雅黑" w:cs="微软雅黑"/>
                        <w:color w:val="616161"/>
                        <w:spacing w:val="2"/>
                        <w:sz w:val="16"/>
                        <w:szCs w:val="16"/>
                      </w:rPr>
                      <w:t>运营策略、</w:t>
                    </w:r>
                    <w:r>
                      <w:rPr>
                        <w:rFonts w:ascii="微软雅黑" w:hAnsi="微软雅黑" w:eastAsia="微软雅黑" w:cs="微软雅黑"/>
                        <w:color w:val="616161"/>
                        <w:spacing w:val="-14"/>
                        <w:sz w:val="16"/>
                        <w:szCs w:val="16"/>
                      </w:rPr>
                      <w:t xml:space="preserve"> </w:t>
                    </w:r>
                    <w:r>
                      <w:rPr>
                        <w:rFonts w:ascii="微软雅黑" w:hAnsi="微软雅黑" w:eastAsia="微软雅黑" w:cs="微软雅黑"/>
                        <w:color w:val="616161"/>
                        <w:spacing w:val="2"/>
                        <w:sz w:val="16"/>
                        <w:szCs w:val="16"/>
                      </w:rPr>
                      <w:t>定价机制、</w:t>
                    </w:r>
                    <w:r>
                      <w:rPr>
                        <w:rFonts w:ascii="微软雅黑" w:hAnsi="微软雅黑" w:eastAsia="微软雅黑" w:cs="微软雅黑"/>
                        <w:color w:val="616161"/>
                        <w:spacing w:val="21"/>
                        <w:sz w:val="16"/>
                        <w:szCs w:val="16"/>
                      </w:rPr>
                      <w:t xml:space="preserve"> </w:t>
                    </w:r>
                    <w:r>
                      <w:rPr>
                        <w:rFonts w:ascii="微软雅黑" w:hAnsi="微软雅黑" w:eastAsia="微软雅黑" w:cs="微软雅黑"/>
                        <w:color w:val="616161"/>
                        <w:spacing w:val="2"/>
                        <w:sz w:val="16"/>
                        <w:szCs w:val="16"/>
                      </w:rPr>
                      <w:t>交易合同</w:t>
                    </w:r>
                  </w:p>
                  <w:p w14:paraId="6FD865D9">
                    <w:pPr>
                      <w:spacing w:before="322" w:line="204" w:lineRule="auto"/>
                      <w:ind w:left="2286"/>
                      <w:rPr>
                        <w:rFonts w:ascii="微软雅黑" w:hAnsi="微软雅黑" w:eastAsia="微软雅黑" w:cs="微软雅黑"/>
                        <w:sz w:val="20"/>
                        <w:szCs w:val="20"/>
                      </w:rPr>
                    </w:pPr>
                    <w:r>
                      <w:rPr>
                        <w:rFonts w:ascii="微软雅黑" w:hAnsi="微软雅黑" w:eastAsia="微软雅黑" w:cs="微软雅黑"/>
                        <w:color w:val="231F20"/>
                        <w:spacing w:val="2"/>
                        <w:sz w:val="20"/>
                        <w:szCs w:val="20"/>
                      </w:rPr>
                      <w:t>图</w:t>
                    </w:r>
                    <w:r>
                      <w:rPr>
                        <w:rFonts w:ascii="微软雅黑" w:hAnsi="微软雅黑" w:eastAsia="微软雅黑" w:cs="微软雅黑"/>
                        <w:color w:val="231F20"/>
                        <w:spacing w:val="38"/>
                        <w:sz w:val="20"/>
                        <w:szCs w:val="20"/>
                      </w:rPr>
                      <w:t xml:space="preserve"> </w:t>
                    </w:r>
                    <w:r>
                      <w:rPr>
                        <w:rFonts w:ascii="微软雅黑" w:hAnsi="微软雅黑" w:eastAsia="微软雅黑" w:cs="微软雅黑"/>
                        <w:color w:val="231F20"/>
                        <w:spacing w:val="2"/>
                        <w:sz w:val="20"/>
                        <w:szCs w:val="20"/>
                      </w:rPr>
                      <w:t>10 数据资产交易标的物形式示意图</w:t>
                    </w:r>
                  </w:p>
                  <w:p w14:paraId="277584A1">
                    <w:pPr>
                      <w:spacing w:before="320" w:line="276" w:lineRule="auto"/>
                      <w:ind w:left="20" w:right="20" w:firstLine="485"/>
                      <w:jc w:val="both"/>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融合数据与算法、面向特定场景的数据产品已发展为成熟交易</w:t>
                    </w:r>
                    <w:r>
                      <w:rPr>
                        <w:rFonts w:ascii="微软雅黑" w:hAnsi="微软雅黑" w:eastAsia="微软雅黑" w:cs="微软雅黑"/>
                        <w:color w:val="231F20"/>
                        <w:spacing w:val="1"/>
                        <w:sz w:val="22"/>
                        <w:szCs w:val="22"/>
                      </w:rPr>
                      <w:t>标的。在 2021</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年 11 月 25</w:t>
                    </w:r>
                    <w:r>
                      <w:rPr>
                        <w:rFonts w:ascii="微软雅黑" w:hAnsi="微软雅黑" w:eastAsia="微软雅黑" w:cs="微软雅黑"/>
                        <w:color w:val="231F20"/>
                        <w:spacing w:val="33"/>
                        <w:sz w:val="22"/>
                        <w:szCs w:val="22"/>
                      </w:rPr>
                      <w:t xml:space="preserve"> </w:t>
                    </w:r>
                    <w:r>
                      <w:rPr>
                        <w:rFonts w:ascii="微软雅黑" w:hAnsi="微软雅黑" w:eastAsia="微软雅黑" w:cs="微软雅黑"/>
                        <w:color w:val="231F20"/>
                        <w:spacing w:val="-3"/>
                        <w:sz w:val="22"/>
                        <w:szCs w:val="22"/>
                      </w:rPr>
                      <w:t>日上海大数据交易所成立仪式上，国网上海电力公司向中国工商银行提</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供了名为“企业电智绘”的数据产品，该产品</w:t>
                    </w:r>
                    <w:r>
                      <w:rPr>
                        <w:rFonts w:ascii="微软雅黑" w:hAnsi="微软雅黑" w:eastAsia="微软雅黑" w:cs="微软雅黑"/>
                        <w:color w:val="231F20"/>
                        <w:sz w:val="22"/>
                        <w:szCs w:val="22"/>
                      </w:rPr>
                      <w:t>通过对企业用电数据进行脱敏、清晰 和深度加工，再经模型与算法，形成综合评估报告，作为银行对企业客户授信前的</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pacing w:val="-1"/>
                        <w:sz w:val="22"/>
                        <w:szCs w:val="22"/>
                      </w:rPr>
                      <w:t>“背书”或旁证，并在信贷反欺诈、贷后预警方面对银行进行辅助。</w:t>
                    </w:r>
                  </w:p>
                </w:txbxContent>
              </v:textbox>
            </v:shape>
            <v:group id="_x0000_s1154" o:spid="_x0000_s1154" o:spt="203" style="position:absolute;left:235;top:216;height:5505;width:247;" coordsize="247,5505">
              <o:lock v:ext="edit"/>
              <v:shape id="_x0000_s1155" o:spid="_x0000_s1155" style="position:absolute;left:0;top:30;height:5475;width:247;" filled="f" stroked="t" coordsize="247,5475" path="m236,5465c157,5444,20,5374,10,5135m10,5046l10,10e">
                <v:fill on="f" focussize="0,0"/>
                <v:stroke weight="1pt" color="#648676" miterlimit="4" dashstyle="dash" endcap="round"/>
                <v:imagedata o:title=""/>
                <o:lock v:ext="edit"/>
              </v:shape>
              <v:shape id="_x0000_s1156" o:spid="_x0000_s1156" style="position:absolute;left:0;top:0;height:5147;width:20;" filled="f" stroked="t" coordsize="20,5147" path="m10,5136l10,5136m10,10l10,10e">
                <v:fill on="f" focussize="0,0"/>
                <v:stroke weight="1pt" color="#648676" miterlimit="4" endcap="round"/>
                <v:imagedata o:title=""/>
                <o:lock v:ext="edit"/>
              </v:shape>
            </v:group>
            <v:shape id="_x0000_s1157" o:spid="_x0000_s1157" o:spt="75" type="#_x0000_t75" style="position:absolute;left:6353;top:253;height:2093;width:617;" filled="f" stroked="f" coordsize="21600,21600">
              <v:path/>
              <v:fill on="f" focussize="0,0"/>
              <v:stroke on="f"/>
              <v:imagedata r:id="rId102" o:title=""/>
              <o:lock v:ext="edit" aspectratio="t"/>
            </v:shape>
            <v:shape id="_x0000_s1158" o:spid="_x0000_s1158" o:spt="202" type="#_x0000_t202" style="position:absolute;left:7223;top:1273;height:187;width:1531;" filled="f" stroked="f" coordsize="21600,21600">
              <v:path/>
              <v:fill on="f" focussize="0,0"/>
              <v:stroke on="f"/>
              <v:imagedata o:title=""/>
              <o:lock v:ext="edit" aspectratio="f"/>
              <v:textbox inset="0mm,0mm,0mm,0mm">
                <w:txbxContent>
                  <w:p w14:paraId="0E8598CB">
                    <w:pPr>
                      <w:spacing w:before="20" w:line="146" w:lineRule="exact"/>
                      <w:ind w:left="20"/>
                      <w:rPr>
                        <w:rFonts w:ascii="微软雅黑" w:hAnsi="微软雅黑" w:eastAsia="微软雅黑" w:cs="微软雅黑"/>
                        <w:sz w:val="14"/>
                        <w:szCs w:val="14"/>
                      </w:rPr>
                    </w:pPr>
                    <w:r>
                      <w:rPr>
                        <w:rFonts w:ascii="微软雅黑" w:hAnsi="微软雅黑" w:eastAsia="微软雅黑" w:cs="微软雅黑"/>
                        <w:color w:val="638778"/>
                        <w:position w:val="-1"/>
                        <w:sz w:val="14"/>
                        <w:szCs w:val="14"/>
                      </w:rPr>
                      <w:t>APP</w:t>
                    </w:r>
                    <w:r>
                      <w:rPr>
                        <w:rFonts w:ascii="微软雅黑" w:hAnsi="微软雅黑" w:eastAsia="微软雅黑" w:cs="微软雅黑"/>
                        <w:color w:val="638778"/>
                        <w:spacing w:val="6"/>
                        <w:position w:val="-1"/>
                        <w:sz w:val="14"/>
                        <w:szCs w:val="14"/>
                      </w:rPr>
                      <w:t>、算法、 技术服务</w:t>
                    </w:r>
                  </w:p>
                </w:txbxContent>
              </v:textbox>
            </v:shape>
            <v:shape id="_x0000_s1159" o:spid="_x0000_s1159" o:spt="202" type="#_x0000_t202" style="position:absolute;left:674;top:292;height:247;width:886;" filled="f" stroked="f" coordsize="21600,21600">
              <v:path/>
              <v:fill on="f" focussize="0,0"/>
              <v:stroke on="f"/>
              <v:imagedata o:title=""/>
              <o:lock v:ext="edit" aspectratio="f"/>
              <v:textbox inset="0mm,0mm,0mm,0mm">
                <w:txbxContent>
                  <w:p w14:paraId="636694E0">
                    <w:pPr>
                      <w:spacing w:before="20" w:line="207" w:lineRule="exact"/>
                      <w:ind w:left="20"/>
                      <w:rPr>
                        <w:rFonts w:ascii="微软雅黑" w:hAnsi="微软雅黑" w:eastAsia="微软雅黑" w:cs="微软雅黑"/>
                        <w:sz w:val="20"/>
                        <w:szCs w:val="20"/>
                      </w:rPr>
                    </w:pPr>
                    <w:r>
                      <w:rPr>
                        <w:rFonts w:ascii="微软雅黑" w:hAnsi="微软雅黑" w:eastAsia="微软雅黑" w:cs="微软雅黑"/>
                        <w:color w:val="638778"/>
                        <w:spacing w:val="11"/>
                        <w:position w:val="-1"/>
                        <w:sz w:val="20"/>
                        <w:szCs w:val="20"/>
                      </w:rPr>
                      <w:t>原始数据</w:t>
                    </w:r>
                  </w:p>
                </w:txbxContent>
              </v:textbox>
            </v:shape>
            <v:shape id="_x0000_s1160" o:spid="_x0000_s1160" o:spt="202" type="#_x0000_t202" style="position:absolute;left:7442;top:319;height:248;width:880;" filled="f" stroked="f" coordsize="21600,21600">
              <v:path/>
              <v:fill on="f" focussize="0,0"/>
              <v:stroke on="f"/>
              <v:imagedata o:title=""/>
              <o:lock v:ext="edit" aspectratio="f"/>
              <v:textbox inset="0mm,0mm,0mm,0mm">
                <w:txbxContent>
                  <w:p w14:paraId="00B02338">
                    <w:pPr>
                      <w:spacing w:before="20" w:line="208" w:lineRule="exact"/>
                      <w:ind w:left="20"/>
                      <w:rPr>
                        <w:rFonts w:ascii="微软雅黑" w:hAnsi="微软雅黑" w:eastAsia="微软雅黑" w:cs="微软雅黑"/>
                        <w:sz w:val="20"/>
                        <w:szCs w:val="20"/>
                      </w:rPr>
                    </w:pPr>
                    <w:r>
                      <w:rPr>
                        <w:rFonts w:ascii="微软雅黑" w:hAnsi="微软雅黑" w:eastAsia="微软雅黑" w:cs="微软雅黑"/>
                        <w:color w:val="A1B8AD"/>
                        <w:spacing w:val="9"/>
                        <w:position w:val="-1"/>
                        <w:sz w:val="20"/>
                        <w:szCs w:val="20"/>
                      </w:rPr>
                      <w:t>数据产品</w:t>
                    </w:r>
                  </w:p>
                </w:txbxContent>
              </v:textbox>
            </v:shape>
            <v:group id="_x0000_s1161" o:spid="_x0000_s1161" o:spt="203" style="position:absolute;left:519;top:5711;height:20;width:8307;" coordsize="8307,20">
              <o:lock v:ext="edit"/>
              <v:shape id="_x0000_s1162" o:spid="_x0000_s1162" style="position:absolute;left:30;top:0;height:20;width:8277;" filled="f" stroked="t" coordsize="8277,20" path="m8266,10l10,10e">
                <v:fill on="f" focussize="0,0"/>
                <v:stroke weight="1pt" color="#648676" miterlimit="4" dashstyle="dash" endcap="round"/>
                <v:imagedata o:title=""/>
                <o:lock v:ext="edit"/>
              </v:shape>
              <v:shape id="_x0000_s1163" o:spid="_x0000_s1163" style="position:absolute;left:0;top:0;height:20;width:20;" filled="f" stroked="t" coordsize="20,20" path="m10,10l10,10e">
                <v:fill on="f" focussize="0,0"/>
                <v:stroke weight="1pt" color="#648676" miterlimit="4" endcap="round"/>
                <v:imagedata o:title=""/>
                <o:lock v:ext="edit"/>
              </v:shape>
            </v:group>
            <v:shape id="_x0000_s1164" o:spid="_x0000_s1164" o:spt="202" type="#_x0000_t202" style="position:absolute;left:1514;top:2027;height:227;width:786;" filled="f" stroked="f" coordsize="21600,21600">
              <v:path/>
              <v:fill on="f" focussize="0,0"/>
              <v:stroke on="f"/>
              <v:imagedata o:title=""/>
              <o:lock v:ext="edit" aspectratio="f"/>
              <v:textbox inset="0mm,0mm,0mm,0mm">
                <w:txbxContent>
                  <w:p w14:paraId="1ADC899B">
                    <w:pPr>
                      <w:spacing w:before="20" w:line="187" w:lineRule="exact"/>
                      <w:ind w:left="20"/>
                      <w:rPr>
                        <w:rFonts w:ascii="微软雅黑" w:hAnsi="微软雅黑" w:eastAsia="微软雅黑" w:cs="微软雅黑"/>
                        <w:sz w:val="18"/>
                        <w:szCs w:val="18"/>
                      </w:rPr>
                    </w:pPr>
                    <w:r>
                      <w:rPr>
                        <w:rFonts w:ascii="微软雅黑" w:hAnsi="微软雅黑" w:eastAsia="微软雅黑" w:cs="微软雅黑"/>
                        <w:color w:val="616161"/>
                        <w:spacing w:val="6"/>
                        <w:position w:val="-1"/>
                        <w:sz w:val="18"/>
                        <w:szCs w:val="18"/>
                      </w:rPr>
                      <w:t>中间产物</w:t>
                    </w:r>
                  </w:p>
                </w:txbxContent>
              </v:textbox>
            </v:shape>
            <v:shape id="_x0000_s1165" o:spid="_x0000_s1165" o:spt="202" type="#_x0000_t202" style="position:absolute;left:7522;top:2072;height:187;width:933;" filled="f" stroked="f" coordsize="21600,21600">
              <v:path/>
              <v:fill on="f" focussize="0,0"/>
              <v:stroke on="f"/>
              <v:imagedata o:title=""/>
              <o:lock v:ext="edit" aspectratio="f"/>
              <v:textbox inset="0mm,0mm,0mm,0mm">
                <w:txbxContent>
                  <w:p w14:paraId="66FA13DA">
                    <w:pPr>
                      <w:spacing w:before="20" w:line="147" w:lineRule="exact"/>
                      <w:ind w:left="20"/>
                      <w:rPr>
                        <w:rFonts w:ascii="微软雅黑" w:hAnsi="微软雅黑" w:eastAsia="微软雅黑" w:cs="微软雅黑"/>
                        <w:sz w:val="14"/>
                        <w:szCs w:val="14"/>
                      </w:rPr>
                    </w:pPr>
                    <w:r>
                      <w:rPr>
                        <w:rFonts w:ascii="微软雅黑" w:hAnsi="微软雅黑" w:eastAsia="微软雅黑" w:cs="微软雅黑"/>
                        <w:color w:val="808080"/>
                        <w:spacing w:val="8"/>
                        <w:sz w:val="14"/>
                        <w:szCs w:val="14"/>
                      </w:rPr>
                      <w:t>数据解决方案</w:t>
                    </w:r>
                  </w:p>
                </w:txbxContent>
              </v:textbox>
            </v:shape>
            <v:shape id="_x0000_s1166" o:spid="_x0000_s1166" o:spt="202" type="#_x0000_t202" style="position:absolute;left:1740;top:1262;height:226;width:419;" filled="f" stroked="f" coordsize="21600,21600">
              <v:path/>
              <v:fill on="f" focussize="0,0"/>
              <v:stroke on="f"/>
              <v:imagedata o:title=""/>
              <o:lock v:ext="edit" aspectratio="f"/>
              <v:textbox inset="0mm,0mm,0mm,0mm">
                <w:txbxContent>
                  <w:p w14:paraId="3AE0F053">
                    <w:pPr>
                      <w:spacing w:before="20" w:line="185" w:lineRule="exact"/>
                      <w:ind w:left="20"/>
                      <w:rPr>
                        <w:rFonts w:ascii="微软雅黑" w:hAnsi="微软雅黑" w:eastAsia="微软雅黑" w:cs="微软雅黑"/>
                        <w:sz w:val="18"/>
                        <w:szCs w:val="18"/>
                      </w:rPr>
                    </w:pPr>
                    <w:r>
                      <w:rPr>
                        <w:rFonts w:ascii="微软雅黑" w:hAnsi="微软雅黑" w:eastAsia="微软雅黑" w:cs="微软雅黑"/>
                        <w:color w:val="638778"/>
                        <w:spacing w:val="9"/>
                        <w:position w:val="-1"/>
                        <w:sz w:val="18"/>
                        <w:szCs w:val="18"/>
                      </w:rPr>
                      <w:t>技术</w:t>
                    </w:r>
                  </w:p>
                </w:txbxContent>
              </v:textbox>
            </v:shape>
            <w10:wrap type="none"/>
            <w10:anchorlock/>
          </v:group>
        </w:pict>
      </w:r>
    </w:p>
    <w:p w14:paraId="461B44B7">
      <w:pPr>
        <w:spacing w:before="323"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8"/>
          <w:sz w:val="28"/>
          <w:szCs w:val="28"/>
        </w:rPr>
        <w:t>( 九 )</w:t>
      </w:r>
      <w:r>
        <w:rPr>
          <w:rFonts w:ascii="微软雅黑" w:hAnsi="微软雅黑" w:eastAsia="微软雅黑" w:cs="微软雅黑"/>
          <w:color w:val="648676"/>
          <w:spacing w:val="30"/>
          <w:sz w:val="28"/>
          <w:szCs w:val="28"/>
        </w:rPr>
        <w:t xml:space="preserve"> </w:t>
      </w:r>
      <w:r>
        <w:rPr>
          <w:rFonts w:ascii="微软雅黑" w:hAnsi="微软雅黑" w:eastAsia="微软雅黑" w:cs="微软雅黑"/>
          <w:color w:val="648676"/>
          <w:spacing w:val="8"/>
          <w:sz w:val="28"/>
          <w:szCs w:val="28"/>
        </w:rPr>
        <w:t>数据价值评估</w:t>
      </w:r>
    </w:p>
    <w:p w14:paraId="399332A8">
      <w:pPr>
        <w:pStyle w:val="2"/>
        <w:spacing w:line="406" w:lineRule="auto"/>
      </w:pPr>
    </w:p>
    <w:p w14:paraId="50C25B37">
      <w:pPr>
        <w:spacing w:before="95" w:line="291" w:lineRule="auto"/>
        <w:ind w:left="247" w:right="2" w:firstLine="484"/>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狭义的数据价值是指数据的经济效益，广义的数据价值是在经济效益之外，考虑</w:t>
      </w:r>
      <w:r>
        <w:rPr>
          <w:rFonts w:ascii="微软雅黑" w:hAnsi="微软雅黑" w:eastAsia="微软雅黑" w:cs="微软雅黑"/>
          <w:color w:val="231F20"/>
          <w:spacing w:val="2"/>
          <w:sz w:val="22"/>
          <w:szCs w:val="22"/>
        </w:rPr>
        <w:t>数据的业务</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效益、成本计量等因素，  我们聚焦于广义的数据价值。数据价值评估是指</w:t>
      </w:r>
      <w:r>
        <w:rPr>
          <w:rFonts w:ascii="微软雅黑" w:hAnsi="微软雅黑" w:eastAsia="微软雅黑" w:cs="微软雅黑"/>
          <w:color w:val="231F20"/>
          <w:spacing w:val="-5"/>
          <w:sz w:val="22"/>
          <w:szCs w:val="22"/>
        </w:rPr>
        <w:t>通过构建价值评估体系，</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计量数据的经济效益、业务效益、投入成本等活动。数据价值评估是数据</w:t>
      </w:r>
      <w:r>
        <w:rPr>
          <w:rFonts w:ascii="微软雅黑" w:hAnsi="微软雅黑" w:eastAsia="微软雅黑" w:cs="微软雅黑"/>
          <w:color w:val="231F20"/>
          <w:spacing w:val="3"/>
          <w:sz w:val="22"/>
          <w:szCs w:val="22"/>
        </w:rPr>
        <w:t>资产管理的关键环节，</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是数据资产化的价值基线。目前，国内外相关标准化组织</w:t>
      </w:r>
      <w:r>
        <w:rPr>
          <w:rFonts w:ascii="微软雅黑" w:hAnsi="微软雅黑" w:eastAsia="微软雅黑" w:cs="微软雅黑"/>
          <w:color w:val="231F20"/>
          <w:spacing w:val="3"/>
          <w:sz w:val="22"/>
          <w:szCs w:val="22"/>
        </w:rPr>
        <w:t>、财会领域组织、技术咨询服务企业均</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从多个视角开展积极探索研究，相关研究成果见表 2。</w:t>
      </w:r>
    </w:p>
    <w:p w14:paraId="307E0495">
      <w:pPr>
        <w:spacing w:before="100" w:line="204" w:lineRule="auto"/>
        <w:ind w:left="3194"/>
        <w:rPr>
          <w:rFonts w:ascii="微软雅黑" w:hAnsi="微软雅黑" w:eastAsia="微软雅黑" w:cs="微软雅黑"/>
          <w:sz w:val="20"/>
          <w:szCs w:val="20"/>
        </w:rPr>
      </w:pPr>
      <w:r>
        <w:rPr>
          <w:rFonts w:ascii="微软雅黑" w:hAnsi="微软雅黑" w:eastAsia="微软雅黑" w:cs="微软雅黑"/>
          <w:color w:val="231F20"/>
          <w:spacing w:val="3"/>
          <w:sz w:val="20"/>
          <w:szCs w:val="20"/>
        </w:rPr>
        <w:t>表 2</w:t>
      </w:r>
      <w:r>
        <w:rPr>
          <w:rFonts w:ascii="微软雅黑" w:hAnsi="微软雅黑" w:eastAsia="微软雅黑" w:cs="微软雅黑"/>
          <w:color w:val="231F20"/>
          <w:spacing w:val="23"/>
          <w:sz w:val="20"/>
          <w:szCs w:val="20"/>
        </w:rPr>
        <w:t xml:space="preserve"> </w:t>
      </w:r>
      <w:r>
        <w:rPr>
          <w:rFonts w:ascii="微软雅黑" w:hAnsi="微软雅黑" w:eastAsia="微软雅黑" w:cs="微软雅黑"/>
          <w:color w:val="231F20"/>
          <w:spacing w:val="3"/>
          <w:sz w:val="20"/>
          <w:szCs w:val="20"/>
        </w:rPr>
        <w:t>国内外关于数据价值评估研究总结</w:t>
      </w:r>
    </w:p>
    <w:p w14:paraId="5E65E77F">
      <w:pPr>
        <w:spacing w:line="84" w:lineRule="exact"/>
      </w:pPr>
    </w:p>
    <w:tbl>
      <w:tblPr>
        <w:tblStyle w:val="5"/>
        <w:tblW w:w="9388" w:type="dxa"/>
        <w:tblInd w:w="252"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1414"/>
        <w:gridCol w:w="1113"/>
        <w:gridCol w:w="1169"/>
        <w:gridCol w:w="2546"/>
        <w:gridCol w:w="3146"/>
      </w:tblGrid>
      <w:tr w14:paraId="6936C8F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90" w:hRule="atLeast"/>
        </w:trPr>
        <w:tc>
          <w:tcPr>
            <w:tcW w:w="1414" w:type="dxa"/>
            <w:tcBorders>
              <w:top w:val="single" w:color="FFFFFF" w:sz="4" w:space="0"/>
              <w:left w:val="single" w:color="FFFFFF" w:sz="4" w:space="0"/>
              <w:right w:val="single" w:color="FFFFFF" w:sz="4" w:space="0"/>
            </w:tcBorders>
            <w:shd w:val="clear" w:color="auto" w:fill="648676"/>
            <w:vAlign w:val="top"/>
          </w:tcPr>
          <w:p w14:paraId="702ADE2D">
            <w:pPr>
              <w:pStyle w:val="6"/>
              <w:spacing w:before="76" w:line="193" w:lineRule="auto"/>
              <w:ind w:left="264"/>
            </w:pPr>
            <w:r>
              <w:rPr>
                <w:color w:val="FFFFFF"/>
                <w:spacing w:val="-2"/>
              </w:rPr>
              <w:t>研究单位</w:t>
            </w:r>
          </w:p>
        </w:tc>
        <w:tc>
          <w:tcPr>
            <w:tcW w:w="1113" w:type="dxa"/>
            <w:tcBorders>
              <w:top w:val="single" w:color="FFFFFF" w:sz="4" w:space="0"/>
              <w:left w:val="single" w:color="FFFFFF" w:sz="4" w:space="0"/>
              <w:right w:val="single" w:color="FFFFFF" w:sz="4" w:space="0"/>
            </w:tcBorders>
            <w:shd w:val="clear" w:color="auto" w:fill="648676"/>
            <w:vAlign w:val="top"/>
          </w:tcPr>
          <w:p w14:paraId="45524DCD">
            <w:pPr>
              <w:pStyle w:val="6"/>
              <w:spacing w:before="76" w:line="193" w:lineRule="auto"/>
              <w:ind w:left="112"/>
            </w:pPr>
            <w:r>
              <w:rPr>
                <w:color w:val="FFFFFF"/>
                <w:spacing w:val="-2"/>
              </w:rPr>
              <w:t>单位性质</w:t>
            </w:r>
          </w:p>
        </w:tc>
        <w:tc>
          <w:tcPr>
            <w:tcW w:w="1169" w:type="dxa"/>
            <w:tcBorders>
              <w:top w:val="single" w:color="FFFFFF" w:sz="4" w:space="0"/>
              <w:left w:val="single" w:color="FFFFFF" w:sz="4" w:space="0"/>
              <w:right w:val="single" w:color="FFFFFF" w:sz="4" w:space="0"/>
            </w:tcBorders>
            <w:shd w:val="clear" w:color="auto" w:fill="648676"/>
            <w:vAlign w:val="top"/>
          </w:tcPr>
          <w:p w14:paraId="458733A1">
            <w:pPr>
              <w:pStyle w:val="6"/>
              <w:spacing w:before="91" w:line="178" w:lineRule="auto"/>
              <w:ind w:left="370"/>
            </w:pPr>
            <w:r>
              <w:rPr>
                <w:color w:val="FFFFFF"/>
                <w:spacing w:val="-4"/>
              </w:rPr>
              <w:t>时间</w:t>
            </w:r>
          </w:p>
        </w:tc>
        <w:tc>
          <w:tcPr>
            <w:tcW w:w="2546" w:type="dxa"/>
            <w:tcBorders>
              <w:top w:val="single" w:color="FFFFFF" w:sz="4" w:space="0"/>
              <w:left w:val="single" w:color="FFFFFF" w:sz="4" w:space="0"/>
              <w:right w:val="single" w:color="FFFFFF" w:sz="4" w:space="0"/>
            </w:tcBorders>
            <w:shd w:val="clear" w:color="auto" w:fill="648676"/>
            <w:vAlign w:val="top"/>
          </w:tcPr>
          <w:p w14:paraId="41D421E5">
            <w:pPr>
              <w:pStyle w:val="6"/>
              <w:spacing w:before="76" w:line="193" w:lineRule="auto"/>
              <w:ind w:left="835"/>
            </w:pPr>
            <w:r>
              <w:rPr>
                <w:color w:val="FFFFFF"/>
                <w:spacing w:val="-2"/>
              </w:rPr>
              <w:t>主要贡献</w:t>
            </w:r>
          </w:p>
        </w:tc>
        <w:tc>
          <w:tcPr>
            <w:tcW w:w="3146" w:type="dxa"/>
            <w:tcBorders>
              <w:top w:val="single" w:color="FFFFFF" w:sz="4" w:space="0"/>
              <w:left w:val="single" w:color="FFFFFF" w:sz="4" w:space="0"/>
              <w:right w:val="single" w:color="FFFFFF" w:sz="4" w:space="0"/>
            </w:tcBorders>
            <w:shd w:val="clear" w:color="auto" w:fill="648676"/>
            <w:vAlign w:val="top"/>
          </w:tcPr>
          <w:p w14:paraId="019F83D8">
            <w:pPr>
              <w:pStyle w:val="6"/>
              <w:spacing w:before="76" w:line="193" w:lineRule="auto"/>
              <w:ind w:left="805"/>
            </w:pPr>
            <w:r>
              <w:rPr>
                <w:color w:val="FFFFFF"/>
                <w:spacing w:val="-1"/>
              </w:rPr>
              <w:t>评价及参考价值</w:t>
            </w:r>
          </w:p>
        </w:tc>
      </w:tr>
      <w:tr w14:paraId="0708C9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874" w:hRule="atLeast"/>
        </w:trPr>
        <w:tc>
          <w:tcPr>
            <w:tcW w:w="1414" w:type="dxa"/>
            <w:shd w:val="clear" w:color="auto" w:fill="EDF3F0"/>
            <w:vAlign w:val="top"/>
          </w:tcPr>
          <w:p w14:paraId="54983E23">
            <w:pPr>
              <w:spacing w:line="408" w:lineRule="auto"/>
              <w:rPr>
                <w:rFonts w:ascii="Arial"/>
                <w:sz w:val="21"/>
              </w:rPr>
            </w:pPr>
          </w:p>
          <w:p w14:paraId="3D724BC2">
            <w:pPr>
              <w:pStyle w:val="6"/>
              <w:spacing w:before="86" w:line="234" w:lineRule="auto"/>
              <w:ind w:left="498" w:right="171" w:hanging="259"/>
              <w:rPr>
                <w:sz w:val="20"/>
                <w:szCs w:val="20"/>
              </w:rPr>
            </w:pPr>
            <w:r>
              <w:rPr>
                <w:spacing w:val="-4"/>
                <w:sz w:val="20"/>
                <w:szCs w:val="20"/>
              </w:rPr>
              <w:t>国家标准化</w:t>
            </w:r>
            <w:r>
              <w:rPr>
                <w:spacing w:val="1"/>
                <w:sz w:val="20"/>
                <w:szCs w:val="20"/>
              </w:rPr>
              <w:t xml:space="preserve"> </w:t>
            </w:r>
            <w:r>
              <w:rPr>
                <w:spacing w:val="-2"/>
                <w:sz w:val="20"/>
                <w:szCs w:val="20"/>
              </w:rPr>
              <w:t>管理</w:t>
            </w:r>
          </w:p>
          <w:p w14:paraId="5D2DA53F">
            <w:pPr>
              <w:pStyle w:val="6"/>
              <w:spacing w:line="206" w:lineRule="auto"/>
              <w:ind w:left="428"/>
              <w:rPr>
                <w:sz w:val="20"/>
                <w:szCs w:val="20"/>
              </w:rPr>
            </w:pPr>
            <w:r>
              <w:rPr>
                <w:spacing w:val="-2"/>
                <w:sz w:val="20"/>
                <w:szCs w:val="20"/>
              </w:rPr>
              <w:t>委员会</w:t>
            </w:r>
          </w:p>
        </w:tc>
        <w:tc>
          <w:tcPr>
            <w:tcW w:w="1113" w:type="dxa"/>
            <w:shd w:val="clear" w:color="auto" w:fill="E9E8E8"/>
            <w:vAlign w:val="top"/>
          </w:tcPr>
          <w:p w14:paraId="508C3FCE">
            <w:pPr>
              <w:spacing w:line="397" w:lineRule="auto"/>
              <w:rPr>
                <w:rFonts w:ascii="Arial"/>
                <w:sz w:val="21"/>
              </w:rPr>
            </w:pPr>
          </w:p>
          <w:p w14:paraId="4F222157">
            <w:pPr>
              <w:pStyle w:val="6"/>
              <w:spacing w:before="86" w:line="208" w:lineRule="auto"/>
              <w:ind w:left="287"/>
              <w:rPr>
                <w:sz w:val="20"/>
                <w:szCs w:val="20"/>
              </w:rPr>
            </w:pPr>
            <w:r>
              <w:rPr>
                <w:spacing w:val="-4"/>
                <w:sz w:val="20"/>
                <w:szCs w:val="20"/>
              </w:rPr>
              <w:t>中国标</w:t>
            </w:r>
          </w:p>
          <w:p w14:paraId="36CD07EA">
            <w:pPr>
              <w:pStyle w:val="6"/>
              <w:spacing w:before="54" w:line="179" w:lineRule="auto"/>
              <w:ind w:left="249"/>
              <w:rPr>
                <w:sz w:val="20"/>
                <w:szCs w:val="20"/>
              </w:rPr>
            </w:pPr>
            <w:r>
              <w:rPr>
                <w:spacing w:val="-2"/>
                <w:sz w:val="20"/>
                <w:szCs w:val="20"/>
              </w:rPr>
              <w:t>准化组</w:t>
            </w:r>
          </w:p>
          <w:p w14:paraId="6502E7C1">
            <w:pPr>
              <w:pStyle w:val="6"/>
              <w:spacing w:before="85" w:line="177" w:lineRule="auto"/>
              <w:ind w:left="446"/>
              <w:rPr>
                <w:sz w:val="20"/>
                <w:szCs w:val="20"/>
              </w:rPr>
            </w:pPr>
            <w:r>
              <w:rPr>
                <w:sz w:val="20"/>
                <w:szCs w:val="20"/>
              </w:rPr>
              <w:t>织</w:t>
            </w:r>
          </w:p>
        </w:tc>
        <w:tc>
          <w:tcPr>
            <w:tcW w:w="1169" w:type="dxa"/>
            <w:shd w:val="clear" w:color="auto" w:fill="EDF3F0"/>
            <w:vAlign w:val="top"/>
          </w:tcPr>
          <w:p w14:paraId="44B39999">
            <w:pPr>
              <w:spacing w:line="245" w:lineRule="auto"/>
              <w:rPr>
                <w:rFonts w:ascii="Arial"/>
                <w:sz w:val="21"/>
              </w:rPr>
            </w:pPr>
          </w:p>
          <w:p w14:paraId="067C3BE8">
            <w:pPr>
              <w:spacing w:line="245" w:lineRule="auto"/>
              <w:rPr>
                <w:rFonts w:ascii="Arial"/>
                <w:sz w:val="21"/>
              </w:rPr>
            </w:pPr>
          </w:p>
          <w:p w14:paraId="769B23BE">
            <w:pPr>
              <w:spacing w:line="245" w:lineRule="auto"/>
              <w:rPr>
                <w:rFonts w:ascii="Arial"/>
                <w:sz w:val="21"/>
              </w:rPr>
            </w:pPr>
          </w:p>
          <w:p w14:paraId="58EE12FD">
            <w:pPr>
              <w:pStyle w:val="6"/>
              <w:spacing w:before="86" w:line="208" w:lineRule="auto"/>
              <w:ind w:left="239"/>
              <w:rPr>
                <w:sz w:val="20"/>
                <w:szCs w:val="20"/>
              </w:rPr>
            </w:pPr>
            <w:r>
              <w:rPr>
                <w:sz w:val="20"/>
                <w:szCs w:val="20"/>
              </w:rPr>
              <w:t>2020 年</w:t>
            </w:r>
          </w:p>
        </w:tc>
        <w:tc>
          <w:tcPr>
            <w:tcW w:w="2546" w:type="dxa"/>
            <w:shd w:val="clear" w:color="auto" w:fill="E9E8E8"/>
            <w:vAlign w:val="top"/>
          </w:tcPr>
          <w:p w14:paraId="42387136">
            <w:pPr>
              <w:pStyle w:val="6"/>
              <w:spacing w:before="318" w:line="234" w:lineRule="auto"/>
              <w:ind w:left="275" w:right="213"/>
              <w:jc w:val="both"/>
              <w:rPr>
                <w:sz w:val="20"/>
                <w:szCs w:val="20"/>
              </w:rPr>
            </w:pPr>
            <w:r>
              <w:rPr>
                <w:spacing w:val="3"/>
                <w:sz w:val="20"/>
                <w:szCs w:val="20"/>
              </w:rPr>
              <w:t>发布国家标准《电子商</w:t>
            </w:r>
            <w:r>
              <w:rPr>
                <w:sz w:val="20"/>
                <w:szCs w:val="20"/>
              </w:rPr>
              <w:t xml:space="preserve"> </w:t>
            </w:r>
            <w:r>
              <w:rPr>
                <w:spacing w:val="3"/>
                <w:sz w:val="20"/>
                <w:szCs w:val="20"/>
              </w:rPr>
              <w:t>务数据资产评估指标体</w:t>
            </w:r>
            <w:r>
              <w:rPr>
                <w:spacing w:val="5"/>
                <w:sz w:val="20"/>
                <w:szCs w:val="20"/>
              </w:rPr>
              <w:t xml:space="preserve"> </w:t>
            </w:r>
            <w:r>
              <w:rPr>
                <w:spacing w:val="6"/>
                <w:sz w:val="20"/>
                <w:szCs w:val="20"/>
              </w:rPr>
              <w:t>系  》（</w:t>
            </w:r>
            <w:r>
              <w:rPr>
                <w:sz w:val="20"/>
                <w:szCs w:val="20"/>
              </w:rPr>
              <w:t>GB</w:t>
            </w:r>
            <w:r>
              <w:rPr>
                <w:spacing w:val="6"/>
                <w:sz w:val="20"/>
                <w:szCs w:val="20"/>
              </w:rPr>
              <w:t>/T</w:t>
            </w:r>
            <w:r>
              <w:rPr>
                <w:spacing w:val="32"/>
                <w:sz w:val="20"/>
                <w:szCs w:val="20"/>
              </w:rPr>
              <w:t xml:space="preserve"> </w:t>
            </w:r>
            <w:r>
              <w:rPr>
                <w:spacing w:val="6"/>
                <w:sz w:val="20"/>
                <w:szCs w:val="20"/>
              </w:rPr>
              <w:t>37550-</w:t>
            </w:r>
            <w:r>
              <w:rPr>
                <w:sz w:val="20"/>
                <w:szCs w:val="20"/>
              </w:rPr>
              <w:t xml:space="preserve"> </w:t>
            </w:r>
            <w:r>
              <w:rPr>
                <w:spacing w:val="-4"/>
                <w:sz w:val="20"/>
                <w:szCs w:val="20"/>
              </w:rPr>
              <w:t>2019）。</w:t>
            </w:r>
          </w:p>
        </w:tc>
        <w:tc>
          <w:tcPr>
            <w:tcW w:w="3146" w:type="dxa"/>
            <w:shd w:val="clear" w:color="auto" w:fill="EDF3F0"/>
            <w:vAlign w:val="top"/>
          </w:tcPr>
          <w:p w14:paraId="261C31B9">
            <w:pPr>
              <w:pStyle w:val="6"/>
              <w:spacing w:before="145" w:line="236" w:lineRule="auto"/>
              <w:ind w:left="223" w:right="139"/>
              <w:jc w:val="both"/>
              <w:rPr>
                <w:sz w:val="20"/>
                <w:szCs w:val="20"/>
              </w:rPr>
            </w:pPr>
            <w:r>
              <w:rPr>
                <w:spacing w:val="23"/>
                <w:sz w:val="20"/>
                <w:szCs w:val="20"/>
              </w:rPr>
              <w:t>提出数据资产应用效果的分</w:t>
            </w:r>
            <w:r>
              <w:rPr>
                <w:spacing w:val="4"/>
                <w:sz w:val="20"/>
                <w:szCs w:val="20"/>
              </w:rPr>
              <w:t xml:space="preserve">  </w:t>
            </w:r>
            <w:r>
              <w:rPr>
                <w:spacing w:val="-3"/>
                <w:sz w:val="20"/>
                <w:szCs w:val="20"/>
              </w:rPr>
              <w:t>析，考虑数据资产的使用对象、</w:t>
            </w:r>
            <w:r>
              <w:rPr>
                <w:spacing w:val="3"/>
                <w:sz w:val="20"/>
                <w:szCs w:val="20"/>
              </w:rPr>
              <w:t xml:space="preserve"> </w:t>
            </w:r>
            <w:r>
              <w:rPr>
                <w:spacing w:val="6"/>
                <w:sz w:val="20"/>
                <w:szCs w:val="20"/>
              </w:rPr>
              <w:t>使用次数和使用效果评价，在</w:t>
            </w:r>
            <w:r>
              <w:rPr>
                <w:sz w:val="20"/>
                <w:szCs w:val="20"/>
              </w:rPr>
              <w:t xml:space="preserve">  </w:t>
            </w:r>
            <w:r>
              <w:rPr>
                <w:spacing w:val="6"/>
                <w:sz w:val="20"/>
                <w:szCs w:val="20"/>
              </w:rPr>
              <w:t>评估数据资产的运营效果时有</w:t>
            </w:r>
            <w:r>
              <w:rPr>
                <w:spacing w:val="2"/>
                <w:sz w:val="20"/>
                <w:szCs w:val="20"/>
              </w:rPr>
              <w:t xml:space="preserve">  </w:t>
            </w:r>
            <w:r>
              <w:rPr>
                <w:spacing w:val="-3"/>
                <w:sz w:val="20"/>
                <w:szCs w:val="20"/>
              </w:rPr>
              <w:t>参考价值。</w:t>
            </w:r>
          </w:p>
        </w:tc>
      </w:tr>
    </w:tbl>
    <w:p w14:paraId="769ACE63">
      <w:pPr>
        <w:pStyle w:val="2"/>
        <w:spacing w:line="380" w:lineRule="auto"/>
      </w:pPr>
    </w:p>
    <w:p w14:paraId="323AE9E8">
      <w:pPr>
        <w:pStyle w:val="2"/>
        <w:spacing w:before="58" w:line="194" w:lineRule="auto"/>
        <w:ind w:left="4842"/>
        <w:rPr>
          <w:sz w:val="20"/>
          <w:szCs w:val="20"/>
        </w:rPr>
      </w:pPr>
      <w:r>
        <w:pict>
          <v:shape id="_x0000_s1167" o:spid="_x0000_s1167" o:spt="202" type="#_x0000_t202" style="position:absolute;left:0pt;margin-left:274.65pt;margin-top:6.55pt;height:15.95pt;width:199.4pt;z-index:251789312;mso-width-relative:page;mso-height-relative:page;" filled="f" stroked="f" coordsize="21600,21600">
            <v:path/>
            <v:fill on="f" focussize="0,0"/>
            <v:stroke on="f"/>
            <v:imagedata o:title=""/>
            <o:lock v:ext="edit" aspectratio="f"/>
            <v:textbox inset="0mm,0mm,0mm,0mm">
              <w:txbxContent>
                <w:p w14:paraId="214B4EB2">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2"/>
          <w:sz w:val="20"/>
          <w:szCs w:val="20"/>
        </w:rPr>
        <w:t>21</w:t>
      </w:r>
    </w:p>
    <w:p w14:paraId="4DCFA63B">
      <w:pPr>
        <w:spacing w:line="194" w:lineRule="auto"/>
        <w:rPr>
          <w:sz w:val="20"/>
          <w:szCs w:val="20"/>
        </w:rPr>
        <w:sectPr>
          <w:pgSz w:w="11906" w:h="16158"/>
          <w:pgMar w:top="400" w:right="1250" w:bottom="400" w:left="1004" w:header="0" w:footer="0" w:gutter="0"/>
          <w:cols w:space="720" w:num="1"/>
        </w:sectPr>
      </w:pPr>
    </w:p>
    <w:p w14:paraId="4134D248">
      <w:pPr>
        <w:pStyle w:val="2"/>
        <w:spacing w:line="349" w:lineRule="auto"/>
      </w:pPr>
    </w:p>
    <w:p w14:paraId="4EF39C64">
      <w:pPr>
        <w:pStyle w:val="2"/>
        <w:spacing w:line="350" w:lineRule="auto"/>
      </w:pPr>
    </w:p>
    <w:p w14:paraId="7585DDF6">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-2</w:t>
      </w:r>
    </w:p>
    <w:p w14:paraId="49031886">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3A5F40B7">
      <w:pPr>
        <w:spacing w:before="5"/>
      </w:pPr>
    </w:p>
    <w:p w14:paraId="27931F8D">
      <w:pPr>
        <w:spacing w:before="5"/>
      </w:pPr>
    </w:p>
    <w:p w14:paraId="7BADA454">
      <w:pPr>
        <w:spacing w:before="5"/>
      </w:pPr>
    </w:p>
    <w:p w14:paraId="32D9A455">
      <w:pPr>
        <w:spacing w:before="4"/>
      </w:pPr>
    </w:p>
    <w:tbl>
      <w:tblPr>
        <w:tblStyle w:val="5"/>
        <w:tblW w:w="9388" w:type="dxa"/>
        <w:tblInd w:w="252"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1414"/>
        <w:gridCol w:w="1113"/>
        <w:gridCol w:w="1169"/>
        <w:gridCol w:w="2546"/>
        <w:gridCol w:w="3146"/>
      </w:tblGrid>
      <w:tr w14:paraId="3A6798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225" w:hRule="atLeast"/>
        </w:trPr>
        <w:tc>
          <w:tcPr>
            <w:tcW w:w="1414" w:type="dxa"/>
            <w:shd w:val="clear" w:color="auto" w:fill="EDF3F0"/>
            <w:vAlign w:val="top"/>
          </w:tcPr>
          <w:p w14:paraId="5D24863D">
            <w:pPr>
              <w:spacing w:line="247" w:lineRule="auto"/>
              <w:rPr>
                <w:rFonts w:ascii="Arial"/>
                <w:sz w:val="21"/>
              </w:rPr>
            </w:pPr>
          </w:p>
          <w:p w14:paraId="41DAC8A9">
            <w:pPr>
              <w:spacing w:line="247" w:lineRule="auto"/>
              <w:rPr>
                <w:rFonts w:ascii="Arial"/>
                <w:sz w:val="21"/>
              </w:rPr>
            </w:pPr>
          </w:p>
          <w:p w14:paraId="6B042A8C">
            <w:pPr>
              <w:spacing w:line="247" w:lineRule="auto"/>
              <w:rPr>
                <w:rFonts w:ascii="Arial"/>
                <w:sz w:val="21"/>
              </w:rPr>
            </w:pPr>
          </w:p>
          <w:p w14:paraId="695A2E23">
            <w:pPr>
              <w:pStyle w:val="6"/>
              <w:spacing w:before="86" w:line="226" w:lineRule="auto"/>
              <w:ind w:left="398" w:right="171" w:hanging="158"/>
              <w:rPr>
                <w:sz w:val="20"/>
                <w:szCs w:val="20"/>
              </w:rPr>
            </w:pPr>
            <w:r>
              <w:rPr>
                <w:spacing w:val="-4"/>
                <w:sz w:val="20"/>
                <w:szCs w:val="20"/>
              </w:rPr>
              <w:t>中国资产评</w:t>
            </w:r>
            <w:r>
              <w:rPr>
                <w:sz w:val="20"/>
                <w:szCs w:val="20"/>
              </w:rPr>
              <w:t xml:space="preserve"> </w:t>
            </w:r>
            <w:r>
              <w:rPr>
                <w:spacing w:val="-2"/>
                <w:sz w:val="20"/>
                <w:szCs w:val="20"/>
              </w:rPr>
              <w:t>估协会</w:t>
            </w:r>
          </w:p>
        </w:tc>
        <w:tc>
          <w:tcPr>
            <w:tcW w:w="1113" w:type="dxa"/>
            <w:shd w:val="clear" w:color="auto" w:fill="E9E8E8"/>
            <w:vAlign w:val="top"/>
          </w:tcPr>
          <w:p w14:paraId="0E114D49">
            <w:pPr>
              <w:spacing w:line="403" w:lineRule="auto"/>
              <w:rPr>
                <w:rFonts w:ascii="Arial"/>
                <w:sz w:val="21"/>
              </w:rPr>
            </w:pPr>
          </w:p>
          <w:p w14:paraId="6943FA29">
            <w:pPr>
              <w:pStyle w:val="6"/>
              <w:spacing w:before="86" w:line="208" w:lineRule="auto"/>
              <w:ind w:left="287"/>
              <w:rPr>
                <w:sz w:val="20"/>
                <w:szCs w:val="20"/>
              </w:rPr>
            </w:pPr>
            <w:bookmarkStart w:id="37" w:name="bookmark37"/>
            <w:bookmarkEnd w:id="37"/>
            <w:r>
              <w:rPr>
                <w:spacing w:val="-4"/>
                <w:sz w:val="20"/>
                <w:szCs w:val="20"/>
              </w:rPr>
              <w:t>中国财</w:t>
            </w:r>
          </w:p>
          <w:p w14:paraId="6672C1FD">
            <w:pPr>
              <w:pStyle w:val="6"/>
              <w:spacing w:before="55" w:line="178" w:lineRule="auto"/>
              <w:ind w:left="245"/>
              <w:rPr>
                <w:sz w:val="20"/>
                <w:szCs w:val="20"/>
              </w:rPr>
            </w:pPr>
            <w:r>
              <w:rPr>
                <w:spacing w:val="-2"/>
                <w:sz w:val="20"/>
                <w:szCs w:val="20"/>
              </w:rPr>
              <w:t>政部下</w:t>
            </w:r>
          </w:p>
          <w:p w14:paraId="7A1E937E">
            <w:pPr>
              <w:pStyle w:val="6"/>
              <w:spacing w:before="86" w:line="177" w:lineRule="auto"/>
              <w:ind w:left="245"/>
              <w:rPr>
                <w:sz w:val="20"/>
                <w:szCs w:val="20"/>
              </w:rPr>
            </w:pPr>
            <w:r>
              <w:rPr>
                <w:spacing w:val="-2"/>
                <w:sz w:val="20"/>
                <w:szCs w:val="20"/>
              </w:rPr>
              <w:t>属行业</w:t>
            </w:r>
          </w:p>
          <w:p w14:paraId="319DBF9B">
            <w:pPr>
              <w:pStyle w:val="6"/>
              <w:spacing w:before="85" w:line="178" w:lineRule="auto"/>
              <w:ind w:left="345"/>
              <w:rPr>
                <w:sz w:val="20"/>
                <w:szCs w:val="20"/>
              </w:rPr>
            </w:pPr>
            <w:r>
              <w:rPr>
                <w:spacing w:val="-2"/>
                <w:sz w:val="20"/>
                <w:szCs w:val="20"/>
              </w:rPr>
              <w:t>组织</w:t>
            </w:r>
          </w:p>
        </w:tc>
        <w:tc>
          <w:tcPr>
            <w:tcW w:w="1169" w:type="dxa"/>
            <w:shd w:val="clear" w:color="auto" w:fill="EDF3F0"/>
            <w:vAlign w:val="top"/>
          </w:tcPr>
          <w:p w14:paraId="66709BA2">
            <w:pPr>
              <w:spacing w:line="303" w:lineRule="auto"/>
              <w:rPr>
                <w:rFonts w:ascii="Arial"/>
                <w:sz w:val="21"/>
              </w:rPr>
            </w:pPr>
          </w:p>
          <w:p w14:paraId="0A519BB3">
            <w:pPr>
              <w:spacing w:line="303" w:lineRule="auto"/>
              <w:rPr>
                <w:rFonts w:ascii="Arial"/>
                <w:sz w:val="21"/>
              </w:rPr>
            </w:pPr>
          </w:p>
          <w:p w14:paraId="25F55315">
            <w:pPr>
              <w:spacing w:line="304" w:lineRule="auto"/>
              <w:rPr>
                <w:rFonts w:ascii="Arial"/>
                <w:sz w:val="21"/>
              </w:rPr>
            </w:pPr>
          </w:p>
          <w:p w14:paraId="7A1B26D5">
            <w:pPr>
              <w:pStyle w:val="6"/>
              <w:spacing w:before="86" w:line="208" w:lineRule="auto"/>
              <w:ind w:left="239"/>
              <w:rPr>
                <w:sz w:val="20"/>
                <w:szCs w:val="20"/>
              </w:rPr>
            </w:pPr>
            <w:r>
              <w:rPr>
                <w:sz w:val="20"/>
                <w:szCs w:val="20"/>
              </w:rPr>
              <w:t>2020 年</w:t>
            </w:r>
          </w:p>
        </w:tc>
        <w:tc>
          <w:tcPr>
            <w:tcW w:w="2546" w:type="dxa"/>
            <w:shd w:val="clear" w:color="auto" w:fill="E9E8E8"/>
            <w:vAlign w:val="top"/>
          </w:tcPr>
          <w:p w14:paraId="6EC66981">
            <w:pPr>
              <w:pStyle w:val="6"/>
              <w:spacing w:before="151" w:line="238" w:lineRule="auto"/>
              <w:ind w:left="276" w:right="213"/>
              <w:jc w:val="both"/>
              <w:rPr>
                <w:sz w:val="20"/>
                <w:szCs w:val="20"/>
              </w:rPr>
            </w:pPr>
            <w:r>
              <w:rPr>
                <w:spacing w:val="3"/>
                <w:sz w:val="20"/>
                <w:szCs w:val="20"/>
              </w:rPr>
              <w:t>提出数据资产的资产评</w:t>
            </w:r>
            <w:r>
              <w:rPr>
                <w:spacing w:val="5"/>
                <w:sz w:val="20"/>
                <w:szCs w:val="20"/>
              </w:rPr>
              <w:t xml:space="preserve"> </w:t>
            </w:r>
            <w:r>
              <w:rPr>
                <w:spacing w:val="3"/>
                <w:sz w:val="20"/>
                <w:szCs w:val="20"/>
              </w:rPr>
              <w:t>估专家指引，参考无形</w:t>
            </w:r>
            <w:r>
              <w:rPr>
                <w:spacing w:val="5"/>
                <w:sz w:val="20"/>
                <w:szCs w:val="20"/>
              </w:rPr>
              <w:t xml:space="preserve"> </w:t>
            </w:r>
            <w:r>
              <w:rPr>
                <w:spacing w:val="3"/>
                <w:sz w:val="20"/>
                <w:szCs w:val="20"/>
              </w:rPr>
              <w:t>资产评估为数据资产评</w:t>
            </w:r>
            <w:r>
              <w:rPr>
                <w:spacing w:val="5"/>
                <w:sz w:val="20"/>
                <w:szCs w:val="20"/>
              </w:rPr>
              <w:t xml:space="preserve"> </w:t>
            </w:r>
            <w:r>
              <w:rPr>
                <w:spacing w:val="3"/>
                <w:sz w:val="20"/>
                <w:szCs w:val="20"/>
              </w:rPr>
              <w:t>估提出改良成本法、改</w:t>
            </w:r>
            <w:r>
              <w:rPr>
                <w:sz w:val="20"/>
                <w:szCs w:val="20"/>
              </w:rPr>
              <w:t xml:space="preserve"> </w:t>
            </w:r>
            <w:r>
              <w:rPr>
                <w:spacing w:val="3"/>
                <w:sz w:val="20"/>
                <w:szCs w:val="20"/>
              </w:rPr>
              <w:t>良收益法以及改良市场</w:t>
            </w:r>
            <w:r>
              <w:rPr>
                <w:spacing w:val="5"/>
                <w:sz w:val="20"/>
                <w:szCs w:val="20"/>
              </w:rPr>
              <w:t xml:space="preserve"> </w:t>
            </w:r>
            <w:r>
              <w:rPr>
                <w:spacing w:val="-2"/>
                <w:sz w:val="20"/>
                <w:szCs w:val="20"/>
              </w:rPr>
              <w:t>法三种评估方法。</w:t>
            </w:r>
          </w:p>
        </w:tc>
        <w:tc>
          <w:tcPr>
            <w:tcW w:w="3146" w:type="dxa"/>
            <w:shd w:val="clear" w:color="auto" w:fill="EDF3F0"/>
            <w:vAlign w:val="top"/>
          </w:tcPr>
          <w:p w14:paraId="0D3970F7">
            <w:pPr>
              <w:spacing w:line="401" w:lineRule="auto"/>
              <w:rPr>
                <w:rFonts w:ascii="Arial"/>
                <w:sz w:val="21"/>
              </w:rPr>
            </w:pPr>
          </w:p>
          <w:p w14:paraId="03C016A2">
            <w:pPr>
              <w:pStyle w:val="6"/>
              <w:spacing w:before="86" w:line="236" w:lineRule="auto"/>
              <w:ind w:left="232" w:right="217" w:hanging="8"/>
              <w:jc w:val="both"/>
              <w:rPr>
                <w:sz w:val="20"/>
                <w:szCs w:val="20"/>
              </w:rPr>
            </w:pPr>
            <w:r>
              <w:rPr>
                <w:spacing w:val="6"/>
                <w:sz w:val="20"/>
                <w:szCs w:val="20"/>
              </w:rPr>
              <w:t>作为资产评估专业机构，其提</w:t>
            </w:r>
            <w:r>
              <w:rPr>
                <w:spacing w:val="1"/>
                <w:sz w:val="20"/>
                <w:szCs w:val="20"/>
              </w:rPr>
              <w:t xml:space="preserve"> </w:t>
            </w:r>
            <w:r>
              <w:rPr>
                <w:spacing w:val="5"/>
                <w:sz w:val="20"/>
                <w:szCs w:val="20"/>
              </w:rPr>
              <w:t>出的三种评估方式在数据资产</w:t>
            </w:r>
            <w:r>
              <w:rPr>
                <w:spacing w:val="9"/>
                <w:sz w:val="20"/>
                <w:szCs w:val="20"/>
              </w:rPr>
              <w:t xml:space="preserve"> </w:t>
            </w:r>
            <w:r>
              <w:rPr>
                <w:spacing w:val="5"/>
                <w:sz w:val="20"/>
                <w:szCs w:val="20"/>
              </w:rPr>
              <w:t>的经济价值衡量中具有权威性</w:t>
            </w:r>
            <w:r>
              <w:rPr>
                <w:spacing w:val="9"/>
                <w:sz w:val="20"/>
                <w:szCs w:val="20"/>
              </w:rPr>
              <w:t xml:space="preserve"> </w:t>
            </w:r>
            <w:r>
              <w:rPr>
                <w:spacing w:val="-4"/>
                <w:sz w:val="20"/>
                <w:szCs w:val="20"/>
              </w:rPr>
              <w:t>以及可落地性。</w:t>
            </w:r>
          </w:p>
        </w:tc>
      </w:tr>
      <w:tr w14:paraId="62C6FD8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554" w:hRule="atLeast"/>
        </w:trPr>
        <w:tc>
          <w:tcPr>
            <w:tcW w:w="1414" w:type="dxa"/>
            <w:shd w:val="clear" w:color="auto" w:fill="EDF3F0"/>
            <w:vAlign w:val="top"/>
          </w:tcPr>
          <w:p w14:paraId="4DB990EC">
            <w:pPr>
              <w:spacing w:line="275" w:lineRule="auto"/>
              <w:rPr>
                <w:rFonts w:ascii="Arial"/>
                <w:sz w:val="21"/>
              </w:rPr>
            </w:pPr>
          </w:p>
          <w:p w14:paraId="3BBD93E6">
            <w:pPr>
              <w:spacing w:line="275" w:lineRule="auto"/>
              <w:rPr>
                <w:rFonts w:ascii="Arial"/>
                <w:sz w:val="21"/>
              </w:rPr>
            </w:pPr>
          </w:p>
          <w:p w14:paraId="57860017">
            <w:pPr>
              <w:spacing w:line="275" w:lineRule="auto"/>
              <w:rPr>
                <w:rFonts w:ascii="Arial"/>
                <w:sz w:val="21"/>
              </w:rPr>
            </w:pPr>
          </w:p>
          <w:p w14:paraId="2D946539">
            <w:pPr>
              <w:spacing w:line="275" w:lineRule="auto"/>
              <w:rPr>
                <w:rFonts w:ascii="Arial"/>
                <w:sz w:val="21"/>
              </w:rPr>
            </w:pPr>
          </w:p>
          <w:p w14:paraId="351BCCC4">
            <w:pPr>
              <w:pStyle w:val="6"/>
              <w:spacing w:before="86" w:line="177" w:lineRule="auto"/>
              <w:ind w:left="363"/>
              <w:rPr>
                <w:sz w:val="20"/>
                <w:szCs w:val="20"/>
              </w:rPr>
            </w:pPr>
            <w:r>
              <w:rPr>
                <w:spacing w:val="1"/>
                <w:sz w:val="20"/>
                <w:szCs w:val="20"/>
              </w:rPr>
              <w:t>Gartner</w:t>
            </w:r>
          </w:p>
        </w:tc>
        <w:tc>
          <w:tcPr>
            <w:tcW w:w="1113" w:type="dxa"/>
            <w:shd w:val="clear" w:color="auto" w:fill="E9E8E8"/>
            <w:vAlign w:val="top"/>
          </w:tcPr>
          <w:p w14:paraId="5D261BF5">
            <w:pPr>
              <w:spacing w:line="284" w:lineRule="auto"/>
              <w:rPr>
                <w:rFonts w:ascii="Arial"/>
                <w:sz w:val="21"/>
              </w:rPr>
            </w:pPr>
          </w:p>
          <w:p w14:paraId="16AF3853">
            <w:pPr>
              <w:spacing w:line="284" w:lineRule="auto"/>
              <w:rPr>
                <w:rFonts w:ascii="Arial"/>
                <w:sz w:val="21"/>
              </w:rPr>
            </w:pPr>
          </w:p>
          <w:p w14:paraId="56E9B436">
            <w:pPr>
              <w:pStyle w:val="6"/>
              <w:spacing w:before="86" w:line="207" w:lineRule="auto"/>
              <w:ind w:left="273"/>
              <w:rPr>
                <w:sz w:val="20"/>
                <w:szCs w:val="20"/>
              </w:rPr>
            </w:pPr>
            <w:r>
              <w:rPr>
                <w:spacing w:val="-2"/>
                <w:sz w:val="20"/>
                <w:szCs w:val="20"/>
              </w:rPr>
              <w:t>全球技</w:t>
            </w:r>
          </w:p>
          <w:p w14:paraId="237E919D">
            <w:pPr>
              <w:pStyle w:val="6"/>
              <w:spacing w:before="44" w:line="207" w:lineRule="auto"/>
              <w:ind w:left="247"/>
              <w:rPr>
                <w:sz w:val="20"/>
                <w:szCs w:val="20"/>
              </w:rPr>
            </w:pPr>
            <w:r>
              <w:rPr>
                <w:spacing w:val="-2"/>
                <w:sz w:val="20"/>
                <w:szCs w:val="20"/>
              </w:rPr>
              <w:t>术咨询</w:t>
            </w:r>
          </w:p>
          <w:p w14:paraId="1568779E">
            <w:pPr>
              <w:pStyle w:val="6"/>
              <w:spacing w:before="43" w:line="207" w:lineRule="auto"/>
              <w:ind w:left="247"/>
              <w:rPr>
                <w:sz w:val="20"/>
                <w:szCs w:val="20"/>
              </w:rPr>
            </w:pPr>
            <w:r>
              <w:rPr>
                <w:spacing w:val="-2"/>
                <w:sz w:val="20"/>
                <w:szCs w:val="20"/>
              </w:rPr>
              <w:t>服务公</w:t>
            </w:r>
          </w:p>
          <w:p w14:paraId="18104E25">
            <w:pPr>
              <w:pStyle w:val="6"/>
              <w:spacing w:before="66" w:line="172" w:lineRule="auto"/>
              <w:ind w:left="448"/>
              <w:rPr>
                <w:sz w:val="20"/>
                <w:szCs w:val="20"/>
              </w:rPr>
            </w:pPr>
            <w:r>
              <w:rPr>
                <w:sz w:val="20"/>
                <w:szCs w:val="20"/>
              </w:rPr>
              <w:t>司</w:t>
            </w:r>
          </w:p>
        </w:tc>
        <w:tc>
          <w:tcPr>
            <w:tcW w:w="1169" w:type="dxa"/>
            <w:shd w:val="clear" w:color="auto" w:fill="EDF3F0"/>
            <w:vAlign w:val="top"/>
          </w:tcPr>
          <w:p w14:paraId="133B49E8">
            <w:pPr>
              <w:spacing w:line="268" w:lineRule="auto"/>
              <w:rPr>
                <w:rFonts w:ascii="Arial"/>
                <w:sz w:val="21"/>
              </w:rPr>
            </w:pPr>
          </w:p>
          <w:p w14:paraId="296C5252">
            <w:pPr>
              <w:spacing w:line="268" w:lineRule="auto"/>
              <w:rPr>
                <w:rFonts w:ascii="Arial"/>
                <w:sz w:val="21"/>
              </w:rPr>
            </w:pPr>
          </w:p>
          <w:p w14:paraId="00FEC151">
            <w:pPr>
              <w:spacing w:line="269" w:lineRule="auto"/>
              <w:rPr>
                <w:rFonts w:ascii="Arial"/>
                <w:sz w:val="21"/>
              </w:rPr>
            </w:pPr>
          </w:p>
          <w:p w14:paraId="6E9D35F8">
            <w:pPr>
              <w:spacing w:line="269" w:lineRule="auto"/>
              <w:rPr>
                <w:rFonts w:ascii="Arial"/>
                <w:sz w:val="21"/>
              </w:rPr>
            </w:pPr>
          </w:p>
          <w:p w14:paraId="647CEE5C">
            <w:pPr>
              <w:pStyle w:val="6"/>
              <w:spacing w:before="86" w:line="208" w:lineRule="auto"/>
              <w:ind w:left="239"/>
              <w:rPr>
                <w:sz w:val="20"/>
                <w:szCs w:val="20"/>
              </w:rPr>
            </w:pPr>
            <w:r>
              <w:rPr>
                <w:sz w:val="20"/>
                <w:szCs w:val="20"/>
              </w:rPr>
              <w:t>2020 年</w:t>
            </w:r>
          </w:p>
        </w:tc>
        <w:tc>
          <w:tcPr>
            <w:tcW w:w="2546" w:type="dxa"/>
            <w:shd w:val="clear" w:color="auto" w:fill="E9E8E8"/>
            <w:vAlign w:val="top"/>
          </w:tcPr>
          <w:p w14:paraId="4714F27B">
            <w:pPr>
              <w:pStyle w:val="6"/>
              <w:spacing w:before="319" w:line="236" w:lineRule="auto"/>
              <w:ind w:left="274" w:right="213" w:firstLine="1"/>
              <w:jc w:val="both"/>
              <w:rPr>
                <w:sz w:val="20"/>
                <w:szCs w:val="20"/>
              </w:rPr>
            </w:pPr>
            <w:r>
              <w:rPr>
                <w:spacing w:val="3"/>
                <w:sz w:val="20"/>
                <w:szCs w:val="20"/>
              </w:rPr>
              <w:t>提出市场价值、经济价</w:t>
            </w:r>
            <w:r>
              <w:rPr>
                <w:spacing w:val="1"/>
                <w:sz w:val="20"/>
                <w:szCs w:val="20"/>
              </w:rPr>
              <w:t xml:space="preserve"> </w:t>
            </w:r>
            <w:r>
              <w:rPr>
                <w:spacing w:val="3"/>
                <w:sz w:val="20"/>
                <w:szCs w:val="20"/>
              </w:rPr>
              <w:t>值、内在价值、业务价</w:t>
            </w:r>
            <w:r>
              <w:rPr>
                <w:spacing w:val="1"/>
                <w:sz w:val="20"/>
                <w:szCs w:val="20"/>
              </w:rPr>
              <w:t xml:space="preserve"> </w:t>
            </w:r>
            <w:r>
              <w:rPr>
                <w:spacing w:val="3"/>
                <w:sz w:val="20"/>
                <w:szCs w:val="20"/>
              </w:rPr>
              <w:t>值、绩效价值、成本价</w:t>
            </w:r>
            <w:r>
              <w:rPr>
                <w:spacing w:val="1"/>
                <w:sz w:val="20"/>
                <w:szCs w:val="20"/>
              </w:rPr>
              <w:t xml:space="preserve"> </w:t>
            </w:r>
            <w:r>
              <w:rPr>
                <w:spacing w:val="3"/>
                <w:sz w:val="20"/>
                <w:szCs w:val="20"/>
              </w:rPr>
              <w:t>值、废弃价值、风险价</w:t>
            </w:r>
            <w:r>
              <w:rPr>
                <w:spacing w:val="1"/>
                <w:sz w:val="20"/>
                <w:szCs w:val="20"/>
              </w:rPr>
              <w:t xml:space="preserve"> </w:t>
            </w:r>
            <w:r>
              <w:rPr>
                <w:spacing w:val="3"/>
                <w:sz w:val="20"/>
                <w:szCs w:val="20"/>
              </w:rPr>
              <w:t>值共八大维度的信息资</w:t>
            </w:r>
            <w:r>
              <w:rPr>
                <w:spacing w:val="7"/>
                <w:sz w:val="20"/>
                <w:szCs w:val="20"/>
              </w:rPr>
              <w:t xml:space="preserve"> </w:t>
            </w:r>
            <w:r>
              <w:rPr>
                <w:spacing w:val="-2"/>
                <w:sz w:val="20"/>
                <w:szCs w:val="20"/>
              </w:rPr>
              <w:t>产价值评估模型。</w:t>
            </w:r>
          </w:p>
        </w:tc>
        <w:tc>
          <w:tcPr>
            <w:tcW w:w="3146" w:type="dxa"/>
            <w:shd w:val="clear" w:color="auto" w:fill="EDF3F0"/>
            <w:vAlign w:val="top"/>
          </w:tcPr>
          <w:p w14:paraId="54B82BEA">
            <w:pPr>
              <w:pStyle w:val="6"/>
              <w:spacing w:before="150" w:line="235" w:lineRule="auto"/>
              <w:ind w:left="225" w:right="216" w:firstLine="6"/>
              <w:rPr>
                <w:sz w:val="20"/>
                <w:szCs w:val="20"/>
              </w:rPr>
            </w:pPr>
            <w:r>
              <w:rPr>
                <w:sz w:val="20"/>
                <w:szCs w:val="20"/>
              </w:rPr>
              <w:t>Gartner</w:t>
            </w:r>
            <w:r>
              <w:rPr>
                <w:spacing w:val="9"/>
                <w:sz w:val="20"/>
                <w:szCs w:val="20"/>
              </w:rPr>
              <w:t xml:space="preserve"> 的评价框架从多角度</w:t>
            </w:r>
            <w:r>
              <w:rPr>
                <w:spacing w:val="4"/>
                <w:sz w:val="20"/>
                <w:szCs w:val="20"/>
              </w:rPr>
              <w:t xml:space="preserve"> </w:t>
            </w:r>
            <w:r>
              <w:rPr>
                <w:spacing w:val="6"/>
                <w:sz w:val="20"/>
                <w:szCs w:val="20"/>
              </w:rPr>
              <w:t>评估数据资产的多方面价值，</w:t>
            </w:r>
            <w:r>
              <w:rPr>
                <w:spacing w:val="5"/>
                <w:sz w:val="20"/>
                <w:szCs w:val="20"/>
              </w:rPr>
              <w:t xml:space="preserve"> </w:t>
            </w:r>
            <w:r>
              <w:rPr>
                <w:spacing w:val="6"/>
                <w:sz w:val="20"/>
                <w:szCs w:val="20"/>
              </w:rPr>
              <w:t>分析维度较完整，具有很强参</w:t>
            </w:r>
            <w:r>
              <w:rPr>
                <w:sz w:val="20"/>
                <w:szCs w:val="20"/>
              </w:rPr>
              <w:t xml:space="preserve"> </w:t>
            </w:r>
            <w:r>
              <w:rPr>
                <w:spacing w:val="-4"/>
                <w:sz w:val="20"/>
                <w:szCs w:val="20"/>
              </w:rPr>
              <w:t>考价值。</w:t>
            </w:r>
          </w:p>
          <w:p w14:paraId="081A5D0A">
            <w:pPr>
              <w:pStyle w:val="6"/>
              <w:spacing w:before="12" w:line="235" w:lineRule="auto"/>
              <w:ind w:left="223" w:right="153" w:firstLine="1"/>
              <w:jc w:val="both"/>
              <w:rPr>
                <w:sz w:val="20"/>
                <w:szCs w:val="20"/>
              </w:rPr>
            </w:pPr>
            <w:r>
              <w:rPr>
                <w:spacing w:val="6"/>
                <w:sz w:val="20"/>
                <w:szCs w:val="20"/>
              </w:rPr>
              <w:t>具体价值评估指标设计含义模</w:t>
            </w:r>
            <w:r>
              <w:rPr>
                <w:spacing w:val="2"/>
                <w:sz w:val="20"/>
                <w:szCs w:val="20"/>
              </w:rPr>
              <w:t xml:space="preserve">  </w:t>
            </w:r>
            <w:r>
              <w:rPr>
                <w:spacing w:val="-4"/>
                <w:sz w:val="20"/>
                <w:szCs w:val="20"/>
              </w:rPr>
              <w:t>糊、数据来源及计算方式笼统，</w:t>
            </w:r>
            <w:r>
              <w:rPr>
                <w:spacing w:val="3"/>
                <w:sz w:val="20"/>
                <w:szCs w:val="20"/>
              </w:rPr>
              <w:t xml:space="preserve"> </w:t>
            </w:r>
            <w:r>
              <w:rPr>
                <w:spacing w:val="-3"/>
                <w:sz w:val="20"/>
                <w:szCs w:val="20"/>
              </w:rPr>
              <w:t>不具有落地性。</w:t>
            </w:r>
          </w:p>
        </w:tc>
      </w:tr>
      <w:tr w14:paraId="03C4E3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537" w:hRule="atLeast"/>
        </w:trPr>
        <w:tc>
          <w:tcPr>
            <w:tcW w:w="1414" w:type="dxa"/>
            <w:shd w:val="clear" w:color="auto" w:fill="EDF3F0"/>
            <w:vAlign w:val="top"/>
          </w:tcPr>
          <w:p w14:paraId="09D93A95">
            <w:pPr>
              <w:spacing w:line="301" w:lineRule="auto"/>
              <w:rPr>
                <w:rFonts w:ascii="Arial"/>
                <w:sz w:val="21"/>
              </w:rPr>
            </w:pPr>
          </w:p>
          <w:p w14:paraId="7E11EE5A">
            <w:pPr>
              <w:spacing w:line="301" w:lineRule="auto"/>
              <w:rPr>
                <w:rFonts w:ascii="Arial"/>
                <w:sz w:val="21"/>
              </w:rPr>
            </w:pPr>
          </w:p>
          <w:p w14:paraId="222F90B9">
            <w:pPr>
              <w:pStyle w:val="6"/>
              <w:spacing w:before="86" w:line="175" w:lineRule="auto"/>
              <w:ind w:left="293"/>
              <w:rPr>
                <w:sz w:val="20"/>
                <w:szCs w:val="20"/>
              </w:rPr>
            </w:pPr>
            <w:r>
              <w:rPr>
                <w:spacing w:val="2"/>
                <w:sz w:val="20"/>
                <w:szCs w:val="20"/>
              </w:rPr>
              <w:t>Forrester</w:t>
            </w:r>
          </w:p>
        </w:tc>
        <w:tc>
          <w:tcPr>
            <w:tcW w:w="1113" w:type="dxa"/>
            <w:shd w:val="clear" w:color="auto" w:fill="E9E8E8"/>
            <w:vAlign w:val="top"/>
          </w:tcPr>
          <w:p w14:paraId="33E80CBE">
            <w:pPr>
              <w:pStyle w:val="6"/>
              <w:spacing w:before="153" w:line="207" w:lineRule="auto"/>
              <w:ind w:left="273"/>
              <w:rPr>
                <w:sz w:val="20"/>
                <w:szCs w:val="20"/>
              </w:rPr>
            </w:pPr>
            <w:r>
              <w:rPr>
                <w:spacing w:val="-2"/>
                <w:sz w:val="20"/>
                <w:szCs w:val="20"/>
              </w:rPr>
              <w:t>全球技</w:t>
            </w:r>
          </w:p>
          <w:p w14:paraId="04151A5D">
            <w:pPr>
              <w:pStyle w:val="6"/>
              <w:spacing w:before="44" w:line="207" w:lineRule="auto"/>
              <w:ind w:left="247"/>
              <w:rPr>
                <w:sz w:val="20"/>
                <w:szCs w:val="20"/>
              </w:rPr>
            </w:pPr>
            <w:r>
              <w:rPr>
                <w:spacing w:val="-2"/>
                <w:sz w:val="20"/>
                <w:szCs w:val="20"/>
              </w:rPr>
              <w:t>术咨询</w:t>
            </w:r>
          </w:p>
          <w:p w14:paraId="56066304">
            <w:pPr>
              <w:pStyle w:val="6"/>
              <w:spacing w:before="43" w:line="207" w:lineRule="auto"/>
              <w:ind w:left="247"/>
              <w:rPr>
                <w:sz w:val="20"/>
                <w:szCs w:val="20"/>
              </w:rPr>
            </w:pPr>
            <w:r>
              <w:rPr>
                <w:spacing w:val="-2"/>
                <w:sz w:val="20"/>
                <w:szCs w:val="20"/>
              </w:rPr>
              <w:t>服务公</w:t>
            </w:r>
          </w:p>
          <w:p w14:paraId="2CF5DE49">
            <w:pPr>
              <w:pStyle w:val="6"/>
              <w:spacing w:before="66" w:line="172" w:lineRule="auto"/>
              <w:ind w:left="448"/>
              <w:rPr>
                <w:sz w:val="20"/>
                <w:szCs w:val="20"/>
              </w:rPr>
            </w:pPr>
            <w:r>
              <w:rPr>
                <w:sz w:val="20"/>
                <w:szCs w:val="20"/>
              </w:rPr>
              <w:t>司</w:t>
            </w:r>
          </w:p>
        </w:tc>
        <w:tc>
          <w:tcPr>
            <w:tcW w:w="1169" w:type="dxa"/>
            <w:shd w:val="clear" w:color="auto" w:fill="EDF3F0"/>
            <w:vAlign w:val="top"/>
          </w:tcPr>
          <w:p w14:paraId="073B94C5">
            <w:pPr>
              <w:spacing w:line="287" w:lineRule="auto"/>
              <w:rPr>
                <w:rFonts w:ascii="Arial"/>
                <w:sz w:val="21"/>
              </w:rPr>
            </w:pPr>
          </w:p>
          <w:p w14:paraId="58BCB954">
            <w:pPr>
              <w:spacing w:line="287" w:lineRule="auto"/>
              <w:rPr>
                <w:rFonts w:ascii="Arial"/>
                <w:sz w:val="21"/>
              </w:rPr>
            </w:pPr>
          </w:p>
          <w:p w14:paraId="7B18E4B0">
            <w:pPr>
              <w:pStyle w:val="6"/>
              <w:spacing w:before="85" w:line="208" w:lineRule="auto"/>
              <w:ind w:left="239"/>
              <w:rPr>
                <w:sz w:val="20"/>
                <w:szCs w:val="20"/>
              </w:rPr>
            </w:pPr>
            <w:r>
              <w:rPr>
                <w:sz w:val="20"/>
                <w:szCs w:val="20"/>
              </w:rPr>
              <w:t>2020 年</w:t>
            </w:r>
          </w:p>
        </w:tc>
        <w:tc>
          <w:tcPr>
            <w:tcW w:w="2546" w:type="dxa"/>
            <w:shd w:val="clear" w:color="auto" w:fill="E9E8E8"/>
            <w:vAlign w:val="top"/>
          </w:tcPr>
          <w:p w14:paraId="1CDF2CC6">
            <w:pPr>
              <w:spacing w:line="405" w:lineRule="auto"/>
              <w:rPr>
                <w:rFonts w:ascii="Arial"/>
                <w:sz w:val="21"/>
              </w:rPr>
            </w:pPr>
          </w:p>
          <w:p w14:paraId="62813F3D">
            <w:pPr>
              <w:pStyle w:val="6"/>
              <w:spacing w:before="86" w:line="233" w:lineRule="auto"/>
              <w:ind w:left="275" w:right="213"/>
              <w:rPr>
                <w:sz w:val="20"/>
                <w:szCs w:val="20"/>
              </w:rPr>
            </w:pPr>
            <w:r>
              <w:rPr>
                <w:spacing w:val="-1"/>
                <w:sz w:val="20"/>
                <w:szCs w:val="20"/>
              </w:rPr>
              <w:t>提出报表、BI 类应用的</w:t>
            </w:r>
            <w:r>
              <w:rPr>
                <w:spacing w:val="3"/>
                <w:sz w:val="20"/>
                <w:szCs w:val="20"/>
              </w:rPr>
              <w:t xml:space="preserve"> </w:t>
            </w:r>
            <w:r>
              <w:rPr>
                <w:spacing w:val="-1"/>
                <w:sz w:val="20"/>
                <w:szCs w:val="20"/>
              </w:rPr>
              <w:t>经济价值评估方式</w:t>
            </w:r>
          </w:p>
        </w:tc>
        <w:tc>
          <w:tcPr>
            <w:tcW w:w="3146" w:type="dxa"/>
            <w:shd w:val="clear" w:color="auto" w:fill="EDF3F0"/>
            <w:vAlign w:val="top"/>
          </w:tcPr>
          <w:p w14:paraId="6F5E3CEC">
            <w:pPr>
              <w:pStyle w:val="6"/>
              <w:spacing w:before="156" w:line="235" w:lineRule="auto"/>
              <w:ind w:left="223" w:right="216" w:firstLine="2"/>
              <w:jc w:val="both"/>
              <w:rPr>
                <w:sz w:val="20"/>
                <w:szCs w:val="20"/>
              </w:rPr>
            </w:pPr>
            <w:r>
              <w:rPr>
                <w:spacing w:val="-2"/>
                <w:sz w:val="20"/>
                <w:szCs w:val="20"/>
              </w:rPr>
              <w:t>采用了多步式方法评估 BI 应用</w:t>
            </w:r>
            <w:r>
              <w:rPr>
                <w:spacing w:val="11"/>
                <w:sz w:val="20"/>
                <w:szCs w:val="20"/>
              </w:rPr>
              <w:t xml:space="preserve"> </w:t>
            </w:r>
            <w:r>
              <w:rPr>
                <w:spacing w:val="6"/>
                <w:sz w:val="20"/>
                <w:szCs w:val="20"/>
              </w:rPr>
              <w:t>对组织的影响，其测算出的经</w:t>
            </w:r>
            <w:r>
              <w:rPr>
                <w:spacing w:val="1"/>
                <w:sz w:val="20"/>
                <w:szCs w:val="20"/>
              </w:rPr>
              <w:t xml:space="preserve"> </w:t>
            </w:r>
            <w:r>
              <w:rPr>
                <w:spacing w:val="6"/>
                <w:sz w:val="20"/>
                <w:szCs w:val="20"/>
              </w:rPr>
              <w:t>济价值相关参数具有一定参考</w:t>
            </w:r>
            <w:r>
              <w:rPr>
                <w:spacing w:val="5"/>
                <w:sz w:val="20"/>
                <w:szCs w:val="20"/>
              </w:rPr>
              <w:t xml:space="preserve"> </w:t>
            </w:r>
            <w:r>
              <w:rPr>
                <w:spacing w:val="-2"/>
                <w:sz w:val="20"/>
                <w:szCs w:val="20"/>
              </w:rPr>
              <w:t>价值</w:t>
            </w:r>
          </w:p>
        </w:tc>
      </w:tr>
      <w:tr w14:paraId="6079B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904" w:hRule="atLeast"/>
        </w:trPr>
        <w:tc>
          <w:tcPr>
            <w:tcW w:w="1414" w:type="dxa"/>
            <w:shd w:val="clear" w:color="auto" w:fill="EDF3F0"/>
            <w:vAlign w:val="top"/>
          </w:tcPr>
          <w:p w14:paraId="61B220A4">
            <w:pPr>
              <w:spacing w:line="277" w:lineRule="auto"/>
              <w:rPr>
                <w:rFonts w:ascii="Arial"/>
                <w:sz w:val="21"/>
              </w:rPr>
            </w:pPr>
          </w:p>
          <w:p w14:paraId="7E51F09B">
            <w:pPr>
              <w:spacing w:line="277" w:lineRule="auto"/>
              <w:rPr>
                <w:rFonts w:ascii="Arial"/>
                <w:sz w:val="21"/>
              </w:rPr>
            </w:pPr>
          </w:p>
          <w:p w14:paraId="6983A3BC">
            <w:pPr>
              <w:spacing w:line="277" w:lineRule="auto"/>
              <w:rPr>
                <w:rFonts w:ascii="Arial"/>
                <w:sz w:val="21"/>
              </w:rPr>
            </w:pPr>
          </w:p>
          <w:p w14:paraId="0A46291A">
            <w:pPr>
              <w:spacing w:line="277" w:lineRule="auto"/>
              <w:rPr>
                <w:rFonts w:ascii="Arial"/>
                <w:sz w:val="21"/>
              </w:rPr>
            </w:pPr>
          </w:p>
          <w:p w14:paraId="627D7D7C">
            <w:pPr>
              <w:pStyle w:val="6"/>
              <w:spacing w:before="86" w:line="237" w:lineRule="auto"/>
              <w:ind w:left="427" w:right="371" w:firstLine="109"/>
              <w:rPr>
                <w:sz w:val="20"/>
                <w:szCs w:val="20"/>
              </w:rPr>
            </w:pPr>
            <w:r>
              <w:rPr>
                <w:spacing w:val="-4"/>
                <w:w w:val="98"/>
                <w:sz w:val="20"/>
                <w:szCs w:val="20"/>
              </w:rPr>
              <w:t>阿里</w:t>
            </w:r>
            <w:r>
              <w:rPr>
                <w:sz w:val="20"/>
                <w:szCs w:val="20"/>
              </w:rPr>
              <w:t xml:space="preserve">   </w:t>
            </w:r>
            <w:r>
              <w:rPr>
                <w:spacing w:val="-2"/>
                <w:sz w:val="20"/>
                <w:szCs w:val="20"/>
              </w:rPr>
              <w:t>研究院</w:t>
            </w:r>
          </w:p>
        </w:tc>
        <w:tc>
          <w:tcPr>
            <w:tcW w:w="1113" w:type="dxa"/>
            <w:shd w:val="clear" w:color="auto" w:fill="E9E8E8"/>
            <w:vAlign w:val="top"/>
          </w:tcPr>
          <w:p w14:paraId="0ABB162B">
            <w:pPr>
              <w:spacing w:line="248" w:lineRule="auto"/>
              <w:rPr>
                <w:rFonts w:ascii="Arial"/>
                <w:sz w:val="21"/>
              </w:rPr>
            </w:pPr>
          </w:p>
          <w:p w14:paraId="44A62BDA">
            <w:pPr>
              <w:spacing w:line="249" w:lineRule="auto"/>
              <w:rPr>
                <w:rFonts w:ascii="Arial"/>
                <w:sz w:val="21"/>
              </w:rPr>
            </w:pPr>
          </w:p>
          <w:p w14:paraId="447F82E3">
            <w:pPr>
              <w:spacing w:line="249" w:lineRule="auto"/>
              <w:rPr>
                <w:rFonts w:ascii="Arial"/>
                <w:sz w:val="21"/>
              </w:rPr>
            </w:pPr>
          </w:p>
          <w:p w14:paraId="2A86A093">
            <w:pPr>
              <w:pStyle w:val="6"/>
              <w:spacing w:before="86" w:line="207" w:lineRule="auto"/>
              <w:ind w:left="287"/>
              <w:rPr>
                <w:sz w:val="20"/>
                <w:szCs w:val="20"/>
              </w:rPr>
            </w:pPr>
            <w:r>
              <w:rPr>
                <w:spacing w:val="-4"/>
                <w:sz w:val="20"/>
                <w:szCs w:val="20"/>
              </w:rPr>
              <w:t>中国技</w:t>
            </w:r>
          </w:p>
          <w:p w14:paraId="10051AEA">
            <w:pPr>
              <w:pStyle w:val="6"/>
              <w:spacing w:before="44" w:line="207" w:lineRule="auto"/>
              <w:ind w:left="247"/>
              <w:rPr>
                <w:sz w:val="20"/>
                <w:szCs w:val="20"/>
              </w:rPr>
            </w:pPr>
            <w:r>
              <w:rPr>
                <w:spacing w:val="-2"/>
                <w:sz w:val="20"/>
                <w:szCs w:val="20"/>
              </w:rPr>
              <w:t>术咨询</w:t>
            </w:r>
          </w:p>
          <w:p w14:paraId="5BCEBD7F">
            <w:pPr>
              <w:pStyle w:val="6"/>
              <w:spacing w:before="43" w:line="207" w:lineRule="auto"/>
              <w:ind w:left="247"/>
              <w:rPr>
                <w:sz w:val="20"/>
                <w:szCs w:val="20"/>
              </w:rPr>
            </w:pPr>
            <w:r>
              <w:rPr>
                <w:spacing w:val="-2"/>
                <w:sz w:val="20"/>
                <w:szCs w:val="20"/>
              </w:rPr>
              <w:t>服务公</w:t>
            </w:r>
          </w:p>
          <w:p w14:paraId="25A00188">
            <w:pPr>
              <w:pStyle w:val="6"/>
              <w:spacing w:before="66" w:line="172" w:lineRule="auto"/>
              <w:ind w:left="448"/>
              <w:rPr>
                <w:sz w:val="20"/>
                <w:szCs w:val="20"/>
              </w:rPr>
            </w:pPr>
            <w:r>
              <w:rPr>
                <w:sz w:val="20"/>
                <w:szCs w:val="20"/>
              </w:rPr>
              <w:t>司</w:t>
            </w:r>
          </w:p>
        </w:tc>
        <w:tc>
          <w:tcPr>
            <w:tcW w:w="1169" w:type="dxa"/>
            <w:shd w:val="clear" w:color="auto" w:fill="EDF3F0"/>
            <w:vAlign w:val="top"/>
          </w:tcPr>
          <w:p w14:paraId="0B368F64">
            <w:pPr>
              <w:spacing w:line="250" w:lineRule="auto"/>
              <w:rPr>
                <w:rFonts w:ascii="Arial"/>
                <w:sz w:val="21"/>
              </w:rPr>
            </w:pPr>
          </w:p>
          <w:p w14:paraId="42676C31">
            <w:pPr>
              <w:spacing w:line="250" w:lineRule="auto"/>
              <w:rPr>
                <w:rFonts w:ascii="Arial"/>
                <w:sz w:val="21"/>
              </w:rPr>
            </w:pPr>
          </w:p>
          <w:p w14:paraId="083B9DB7">
            <w:pPr>
              <w:spacing w:line="250" w:lineRule="auto"/>
              <w:rPr>
                <w:rFonts w:ascii="Arial"/>
                <w:sz w:val="21"/>
              </w:rPr>
            </w:pPr>
          </w:p>
          <w:p w14:paraId="4FF73BF7">
            <w:pPr>
              <w:spacing w:line="251" w:lineRule="auto"/>
              <w:rPr>
                <w:rFonts w:ascii="Arial"/>
                <w:sz w:val="21"/>
              </w:rPr>
            </w:pPr>
          </w:p>
          <w:p w14:paraId="72AB83E1">
            <w:pPr>
              <w:spacing w:line="251" w:lineRule="auto"/>
              <w:rPr>
                <w:rFonts w:ascii="Arial"/>
                <w:sz w:val="21"/>
              </w:rPr>
            </w:pPr>
          </w:p>
          <w:p w14:paraId="470EC4CF">
            <w:pPr>
              <w:pStyle w:val="6"/>
              <w:spacing w:before="86" w:line="208" w:lineRule="auto"/>
              <w:ind w:left="250"/>
              <w:rPr>
                <w:sz w:val="20"/>
                <w:szCs w:val="20"/>
              </w:rPr>
            </w:pPr>
            <w:r>
              <w:rPr>
                <w:spacing w:val="-4"/>
                <w:sz w:val="20"/>
                <w:szCs w:val="20"/>
              </w:rPr>
              <w:t>2019 年</w:t>
            </w:r>
          </w:p>
        </w:tc>
        <w:tc>
          <w:tcPr>
            <w:tcW w:w="2546" w:type="dxa"/>
            <w:shd w:val="clear" w:color="auto" w:fill="E9E8E8"/>
            <w:vAlign w:val="top"/>
          </w:tcPr>
          <w:p w14:paraId="045297E8">
            <w:pPr>
              <w:pStyle w:val="6"/>
              <w:spacing w:before="154" w:line="234" w:lineRule="auto"/>
              <w:ind w:left="274" w:right="136"/>
              <w:jc w:val="both"/>
              <w:rPr>
                <w:sz w:val="20"/>
                <w:szCs w:val="20"/>
              </w:rPr>
            </w:pPr>
            <w:r>
              <w:rPr>
                <w:spacing w:val="3"/>
                <w:sz w:val="20"/>
                <w:szCs w:val="20"/>
              </w:rPr>
              <w:t>发布《数据资产化之路  数据资产的估值与行业  实践》，分析数据资产</w:t>
            </w:r>
            <w:r>
              <w:rPr>
                <w:sz w:val="20"/>
                <w:szCs w:val="20"/>
              </w:rPr>
              <w:t xml:space="preserve">  价值影响因素以及 5 种  </w:t>
            </w:r>
            <w:r>
              <w:rPr>
                <w:spacing w:val="3"/>
                <w:sz w:val="20"/>
                <w:szCs w:val="20"/>
              </w:rPr>
              <w:t xml:space="preserve">评估方式，包括市场价  </w:t>
            </w:r>
            <w:r>
              <w:rPr>
                <w:spacing w:val="-8"/>
                <w:sz w:val="20"/>
                <w:szCs w:val="20"/>
              </w:rPr>
              <w:t>值法、多期超额利润法、</w:t>
            </w:r>
            <w:r>
              <w:rPr>
                <w:spacing w:val="2"/>
                <w:sz w:val="20"/>
                <w:szCs w:val="20"/>
              </w:rPr>
              <w:t xml:space="preserve"> </w:t>
            </w:r>
            <w:r>
              <w:rPr>
                <w:spacing w:val="3"/>
                <w:sz w:val="20"/>
                <w:szCs w:val="20"/>
              </w:rPr>
              <w:t xml:space="preserve">前后对照法、权利金节  </w:t>
            </w:r>
            <w:r>
              <w:rPr>
                <w:spacing w:val="-2"/>
                <w:sz w:val="20"/>
                <w:szCs w:val="20"/>
              </w:rPr>
              <w:t>省法、成本法。</w:t>
            </w:r>
          </w:p>
        </w:tc>
        <w:tc>
          <w:tcPr>
            <w:tcW w:w="3146" w:type="dxa"/>
            <w:shd w:val="clear" w:color="auto" w:fill="EDF3F0"/>
            <w:vAlign w:val="top"/>
          </w:tcPr>
          <w:p w14:paraId="1D1EE97B">
            <w:pPr>
              <w:spacing w:line="410" w:lineRule="auto"/>
              <w:rPr>
                <w:rFonts w:ascii="Arial"/>
                <w:sz w:val="21"/>
              </w:rPr>
            </w:pPr>
          </w:p>
          <w:p w14:paraId="715293EB">
            <w:pPr>
              <w:pStyle w:val="6"/>
              <w:spacing w:before="86" w:line="234" w:lineRule="auto"/>
              <w:ind w:left="224" w:right="217" w:hanging="1"/>
              <w:rPr>
                <w:sz w:val="20"/>
                <w:szCs w:val="20"/>
              </w:rPr>
            </w:pPr>
            <w:r>
              <w:rPr>
                <w:spacing w:val="6"/>
                <w:sz w:val="20"/>
                <w:szCs w:val="20"/>
              </w:rPr>
              <w:t>将数据资产与无形资产进行对</w:t>
            </w:r>
            <w:r>
              <w:rPr>
                <w:spacing w:val="5"/>
                <w:sz w:val="20"/>
                <w:szCs w:val="20"/>
              </w:rPr>
              <w:t xml:space="preserve"> </w:t>
            </w:r>
            <w:r>
              <w:rPr>
                <w:spacing w:val="6"/>
                <w:sz w:val="20"/>
                <w:szCs w:val="20"/>
              </w:rPr>
              <w:t>比，探索无形资产评估方法在</w:t>
            </w:r>
            <w:r>
              <w:rPr>
                <w:sz w:val="20"/>
                <w:szCs w:val="20"/>
              </w:rPr>
              <w:t xml:space="preserve"> </w:t>
            </w:r>
            <w:r>
              <w:rPr>
                <w:spacing w:val="-2"/>
                <w:sz w:val="20"/>
                <w:szCs w:val="20"/>
              </w:rPr>
              <w:t>数据资产中运用的可行性。</w:t>
            </w:r>
          </w:p>
          <w:p w14:paraId="57568618">
            <w:pPr>
              <w:pStyle w:val="6"/>
              <w:spacing w:before="13" w:line="235" w:lineRule="auto"/>
              <w:ind w:left="225" w:right="215" w:firstLine="8"/>
              <w:rPr>
                <w:sz w:val="20"/>
                <w:szCs w:val="20"/>
              </w:rPr>
            </w:pPr>
            <w:r>
              <w:rPr>
                <w:spacing w:val="23"/>
                <w:sz w:val="20"/>
                <w:szCs w:val="20"/>
              </w:rPr>
              <w:t>以方法论的形式提出评估方</w:t>
            </w:r>
            <w:r>
              <w:rPr>
                <w:sz w:val="20"/>
                <w:szCs w:val="20"/>
              </w:rPr>
              <w:t xml:space="preserve"> </w:t>
            </w:r>
            <w:r>
              <w:rPr>
                <w:spacing w:val="6"/>
                <w:sz w:val="20"/>
                <w:szCs w:val="20"/>
              </w:rPr>
              <w:t>法，未考虑估值方法的可落地</w:t>
            </w:r>
            <w:r>
              <w:rPr>
                <w:spacing w:val="1"/>
                <w:sz w:val="20"/>
                <w:szCs w:val="20"/>
              </w:rPr>
              <w:t xml:space="preserve"> </w:t>
            </w:r>
            <w:r>
              <w:rPr>
                <w:spacing w:val="-5"/>
                <w:sz w:val="20"/>
                <w:szCs w:val="20"/>
              </w:rPr>
              <w:t>性。</w:t>
            </w:r>
          </w:p>
        </w:tc>
      </w:tr>
    </w:tbl>
    <w:p w14:paraId="6D0E5261">
      <w:pPr>
        <w:pStyle w:val="2"/>
        <w:spacing w:line="348" w:lineRule="auto"/>
      </w:pPr>
    </w:p>
    <w:p w14:paraId="22A830DE">
      <w:pPr>
        <w:pStyle w:val="2"/>
        <w:spacing w:line="349" w:lineRule="auto"/>
      </w:pPr>
    </w:p>
    <w:p w14:paraId="65125204">
      <w:pPr>
        <w:spacing w:before="94" w:line="285" w:lineRule="auto"/>
        <w:ind w:left="247" w:right="3"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应注意到，多数企业在数据资产定价方面的尝试，具有一定的局限性，集中表现在两个方面。</w:t>
      </w:r>
      <w:r>
        <w:rPr>
          <w:rFonts w:ascii="微软雅黑" w:hAnsi="微软雅黑" w:eastAsia="微软雅黑" w:cs="微软雅黑"/>
          <w:color w:val="231F20"/>
          <w:spacing w:val="7"/>
          <w:sz w:val="22"/>
          <w:szCs w:val="22"/>
        </w:rPr>
        <w:t xml:space="preserve"> </w:t>
      </w:r>
      <w:r>
        <w:rPr>
          <w:rFonts w:ascii="微软雅黑" w:hAnsi="微软雅黑" w:eastAsia="微软雅黑" w:cs="微软雅黑"/>
          <w:color w:val="231F20"/>
          <w:spacing w:val="3"/>
          <w:sz w:val="22"/>
          <w:szCs w:val="22"/>
        </w:rPr>
        <w:t>一是数据资产定价并未完全得到财务部门认可，尚未计入企业资产负债表；</w:t>
      </w:r>
      <w:r>
        <w:rPr>
          <w:rFonts w:ascii="微软雅黑" w:hAnsi="微软雅黑" w:eastAsia="微软雅黑" w:cs="微软雅黑"/>
          <w:color w:val="231F20"/>
          <w:spacing w:val="-33"/>
          <w:sz w:val="22"/>
          <w:szCs w:val="22"/>
        </w:rPr>
        <w:t xml:space="preserve"> </w:t>
      </w:r>
      <w:r>
        <w:rPr>
          <w:rFonts w:ascii="微软雅黑" w:hAnsi="微软雅黑" w:eastAsia="微软雅黑" w:cs="微软雅黑"/>
          <w:color w:val="231F20"/>
          <w:spacing w:val="3"/>
          <w:sz w:val="22"/>
          <w:szCs w:val="22"/>
        </w:rPr>
        <w:t>二是由于当前国内数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据交易市场并不成熟，数据定价仍以合同形式对单笔交易进行约</w:t>
      </w:r>
      <w:r>
        <w:rPr>
          <w:rFonts w:ascii="微软雅黑" w:hAnsi="微软雅黑" w:eastAsia="微软雅黑" w:cs="微软雅黑"/>
          <w:color w:val="231F20"/>
          <w:spacing w:val="3"/>
          <w:sz w:val="22"/>
          <w:szCs w:val="22"/>
        </w:rPr>
        <w:t>定，因此，数据定价标准的权威</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性与通用性受限。此外，从数据资产管理目的出发，我们在关注数据资产</w:t>
      </w:r>
      <w:r>
        <w:rPr>
          <w:rFonts w:ascii="微软雅黑" w:hAnsi="微软雅黑" w:eastAsia="微软雅黑" w:cs="微软雅黑"/>
          <w:color w:val="231F20"/>
          <w:spacing w:val="3"/>
          <w:sz w:val="22"/>
          <w:szCs w:val="22"/>
        </w:rPr>
        <w:t>的“有形”价值之外，</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不应忽视数据资产的“无形”价值。</w:t>
      </w:r>
    </w:p>
    <w:p w14:paraId="539F295E">
      <w:pPr>
        <w:pStyle w:val="2"/>
        <w:spacing w:before="298" w:line="194" w:lineRule="auto"/>
        <w:ind w:left="4842"/>
        <w:rPr>
          <w:sz w:val="20"/>
          <w:szCs w:val="20"/>
        </w:rPr>
      </w:pPr>
      <w:r>
        <w:pict>
          <v:shape id="_x0000_s1168" o:spid="_x0000_s1168" o:spt="202" type="#_x0000_t202" style="position:absolute;left:0pt;margin-left:274.65pt;margin-top:18.6pt;height:15.95pt;width:199.4pt;z-index:251791360;mso-width-relative:page;mso-height-relative:page;" filled="f" stroked="f" coordsize="21600,21600">
            <v:path/>
            <v:fill on="f" focussize="0,0"/>
            <v:stroke on="f"/>
            <v:imagedata o:title=""/>
            <o:lock v:ext="edit" aspectratio="f"/>
            <v:textbox inset="0mm,0mm,0mm,0mm">
              <w:txbxContent>
                <w:p w14:paraId="53294B74">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2"/>
          <w:sz w:val="20"/>
          <w:szCs w:val="20"/>
        </w:rPr>
        <w:t>22</w:t>
      </w:r>
    </w:p>
    <w:p w14:paraId="1BDF136A">
      <w:pPr>
        <w:spacing w:line="194" w:lineRule="auto"/>
        <w:rPr>
          <w:sz w:val="20"/>
          <w:szCs w:val="20"/>
        </w:rPr>
        <w:sectPr>
          <w:pgSz w:w="11906" w:h="16158"/>
          <w:pgMar w:top="400" w:right="1250" w:bottom="400" w:left="1004" w:header="0" w:footer="0" w:gutter="0"/>
          <w:cols w:space="720" w:num="1"/>
        </w:sectPr>
      </w:pPr>
    </w:p>
    <w:p w14:paraId="4DF66C30">
      <w:pPr>
        <w:pStyle w:val="2"/>
        <w:spacing w:line="349" w:lineRule="auto"/>
      </w:pPr>
    </w:p>
    <w:p w14:paraId="50A3D8F1">
      <w:pPr>
        <w:pStyle w:val="2"/>
        <w:spacing w:line="350" w:lineRule="auto"/>
      </w:pPr>
    </w:p>
    <w:p w14:paraId="44F6A976">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-2</w:t>
      </w:r>
    </w:p>
    <w:p w14:paraId="6D9F8255">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244B6260">
      <w:pPr>
        <w:pStyle w:val="2"/>
        <w:spacing w:line="275" w:lineRule="auto"/>
      </w:pPr>
    </w:p>
    <w:p w14:paraId="5FC4B6F9">
      <w:pPr>
        <w:pStyle w:val="2"/>
        <w:spacing w:line="275" w:lineRule="auto"/>
      </w:pPr>
    </w:p>
    <w:p w14:paraId="4324F590">
      <w:pPr>
        <w:pStyle w:val="2"/>
        <w:spacing w:line="275" w:lineRule="auto"/>
      </w:pPr>
    </w:p>
    <w:p w14:paraId="0BE0C07A">
      <w:pPr>
        <w:pStyle w:val="2"/>
        <w:spacing w:line="275" w:lineRule="auto"/>
      </w:pPr>
    </w:p>
    <w:p w14:paraId="1784D6C3">
      <w:pPr>
        <w:pStyle w:val="2"/>
        <w:spacing w:line="275" w:lineRule="auto"/>
      </w:pPr>
      <w:r>
        <w:pict>
          <v:group id="_x0000_s1169" o:spid="_x0000_s1169" o:spt="203" style="position:absolute;left:0pt;margin-left:38.05pt;margin-top:2.5pt;height:1.05pt;width:415.4pt;z-index:251795456;mso-width-relative:page;mso-height-relative:page;" coordsize="8307,20">
            <o:lock v:ext="edit"/>
            <v:shape id="_x0000_s1170" o:spid="_x0000_s1170" style="position:absolute;left:30;top:0;height:20;width:8277;" filled="f" stroked="t" coordsize="8277,20" path="m8266,10l10,10e">
              <v:fill on="f" focussize="0,0"/>
              <v:stroke weight="1pt" color="#648676" miterlimit="4" dashstyle="dash" endcap="round"/>
              <v:imagedata o:title=""/>
              <o:lock v:ext="edit"/>
            </v:shape>
            <v:shape id="_x0000_s1171" o:spid="_x0000_s1171" style="position:absolute;left:0;top:0;height:20;width:20;" filled="f" stroked="t" coordsize="20,20" path="m10,10l10,10e">
              <v:fill on="f" focussize="0,0"/>
              <v:stroke weight="1pt" color="#648676" miterlimit="4" endcap="round"/>
              <v:imagedata o:title=""/>
              <o:lock v:ext="edit"/>
            </v:shape>
          </v:group>
        </w:pict>
      </w:r>
      <w:r>
        <w:pict>
          <v:group id="_x0000_s1172" o:spid="_x0000_s1172" o:spt="203" style="position:absolute;left:0pt;margin-left:23.9pt;margin-top:2.95pt;height:589.6pt;width:12.35pt;z-index:251794432;mso-width-relative:page;mso-height-relative:page;" coordsize="247,11791">
            <o:lock v:ext="edit"/>
            <v:shape id="_x0000_s1173" o:spid="_x0000_s1173" style="position:absolute;left:0;top:0;height:11761;width:247;" filled="f" stroked="t" coordsize="247,11761" path="m236,10c157,30,20,101,10,340m10,429l10,11751e">
              <v:fill on="f" focussize="0,0"/>
              <v:stroke weight="1pt" color="#648676" miterlimit="4" dashstyle="dash" endcap="round"/>
              <v:imagedata o:title=""/>
              <o:lock v:ext="edit"/>
            </v:shape>
            <v:shape id="_x0000_s1174" o:spid="_x0000_s1174" style="position:absolute;left:0;top:359;height:11433;width:20;" filled="f" stroked="t" coordsize="20,11433" path="m10,10l10,10m10,11422l10,11422e">
              <v:fill on="f" focussize="0,0"/>
              <v:stroke weight="1pt" color="#648676" miterlimit="4" endcap="round"/>
              <v:imagedata o:title=""/>
              <o:lock v:ext="edit"/>
            </v:shape>
          </v:group>
        </w:pict>
      </w:r>
      <w:r>
        <w:pict>
          <v:group id="_x0000_s1175" o:spid="_x0000_s1175" o:spt="203" style="position:absolute;left:0pt;margin-left:455.4pt;margin-top:2.5pt;height:590.05pt;width:15.2pt;z-index:251793408;mso-width-relative:page;mso-height-relative:page;" coordsize="303,11800">
            <o:lock v:ext="edit"/>
            <v:shape id="_x0000_s1176" o:spid="_x0000_s1176" style="position:absolute;left:28;top:1;height:11739;width:275;" filled="f" stroked="t" coordsize="275,11739" path="m264,11728l264,406m260,319c247,220,198,27,10,10e">
              <v:fill on="f" focussize="0,0"/>
              <v:stroke weight="1pt" color="#648676" miterlimit="4" dashstyle="dash" endcap="round"/>
              <v:imagedata o:title=""/>
              <o:lock v:ext="edit"/>
            </v:shape>
            <v:shape id="_x0000_s1177" o:spid="_x0000_s1177" style="position:absolute;left:0;top:0;height:11800;width:303;" filled="f" stroked="t" coordsize="303,11800" path="m293,11790l293,11790m293,377l293,377m10,10l10,10e">
              <v:fill on="f" focussize="0,0"/>
              <v:stroke weight="1pt" color="#648676" miterlimit="4" endcap="round"/>
              <v:imagedata o:title=""/>
              <o:lock v:ext="edit"/>
            </v:shape>
          </v:group>
        </w:pict>
      </w:r>
    </w:p>
    <w:p w14:paraId="799D771A">
      <w:pPr>
        <w:spacing w:before="193" w:line="606" w:lineRule="exact"/>
        <w:ind w:left="980"/>
        <w:rPr>
          <w:rFonts w:ascii="微软雅黑" w:hAnsi="微软雅黑" w:eastAsia="微软雅黑" w:cs="微软雅黑"/>
          <w:sz w:val="32"/>
          <w:szCs w:val="32"/>
        </w:rPr>
      </w:pPr>
      <w:r>
        <mc:AlternateContent>
          <mc:Choice Requires="wps">
            <w:drawing>
              <wp:anchor distT="0" distB="0" distL="0" distR="0" simplePos="0" relativeHeight="251792384" behindDoc="1" locked="0" layoutInCell="1" allowOverlap="1">
                <wp:simplePos x="0" y="0"/>
                <wp:positionH relativeFrom="column">
                  <wp:posOffset>153670</wp:posOffset>
                </wp:positionH>
                <wp:positionV relativeFrom="paragraph">
                  <wp:posOffset>-252095</wp:posOffset>
                </wp:positionV>
                <wp:extent cx="5972810" cy="7740015"/>
                <wp:effectExtent l="0" t="0" r="0" b="0"/>
                <wp:wrapNone/>
                <wp:docPr id="150" name="Rect 150"/>
                <wp:cNvGraphicFramePr/>
                <a:graphic xmlns:a="http://schemas.openxmlformats.org/drawingml/2006/main">
                  <a:graphicData uri="http://schemas.microsoft.com/office/word/2010/wordprocessingShape">
                    <wps:wsp>
                      <wps:cNvSpPr/>
                      <wps:spPr>
                        <a:xfrm>
                          <a:off x="154072" y="-252530"/>
                          <a:ext cx="5972809" cy="7740015"/>
                        </a:xfrm>
                        <a:prstGeom prst="rect">
                          <a:avLst/>
                        </a:prstGeom>
                        <a:solidFill>
                          <a:srgbClr val="E9F6FE"/>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150" o:spid="_x0000_s1026" o:spt="1" style="position:absolute;left:0pt;margin-left:12.1pt;margin-top:-19.85pt;height:609.45pt;width:470.3pt;z-index:-251524096;mso-width-relative:page;mso-height-relative:page;" fillcolor="#E9F6FE" filled="t" stroked="f" coordsize="21600,21600" o:gfxdata="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g+HTGdoAAAALAQAADwAAAAAAAAABACAAAAAiAAAAZHJzL2Rvd25y&#10;ZXYueG1sUEsBAhQAFAAAAAgAh07iQLHKsuo1AgAAcgQAAA4AAAAAAAAAAQAgAAAAKQEAAGRycy9l&#10;Mm9Eb2MueG1sUEsFBgAAAAAGAAYAWQEAANAFAAAAAA==&#10;">
                <v:fill on="t" focussize="0,0"/>
                <v:stroke on="f" weight="0pt"/>
                <v:imagedata o:title=""/>
                <o:lock v:ext="edit" aspectratio="f"/>
                <v:textbox inset="0mm,0mm,0mm,0mm"/>
              </v:rect>
            </w:pict>
          </mc:Fallback>
        </mc:AlternateContent>
      </w:r>
      <w:r>
        <w:fldChar w:fldCharType="begin"/>
      </w:r>
      <w:r>
        <w:instrText xml:space="preserve">EQ \* jc3 \* hps14 \o\al(\s\up 12(</w:instrText>
      </w:r>
      <w:r>
        <w:rPr>
          <w:rFonts w:ascii="Segoe UI" w:hAnsi="Segoe UI" w:eastAsia="Segoe UI" w:cs="Segoe UI"/>
          <w:b/>
          <w:bCs/>
          <w:color w:val="648676"/>
          <w:spacing w:val="1"/>
          <w:w w:val="175"/>
          <w:position w:val="2"/>
          <w:sz w:val="14"/>
          <w:szCs w:val="14"/>
        </w:rPr>
        <w:instrText xml:space="preserve"> </w:instrText>
      </w:r>
      <w:r>
        <w:rPr>
          <w:rFonts w:ascii="Segoe UI" w:hAnsi="Segoe UI" w:eastAsia="Segoe UI" w:cs="Segoe UI"/>
          <w:b/>
          <w:bCs/>
          <w:color w:val="648676"/>
          <w:w w:val="137"/>
          <w:position w:val="2"/>
          <w:sz w:val="14"/>
          <w:szCs w:val="14"/>
        </w:rPr>
        <w:instrText xml:space="preserve">SP</w:instrText>
      </w:r>
      <w:r>
        <w:instrText xml:space="preserve">),</w:instrText>
      </w:r>
      <w:r>
        <w:rPr>
          <w:rFonts w:ascii="Segoe UI" w:hAnsi="Segoe UI" w:eastAsia="Segoe UI" w:cs="Segoe UI"/>
          <w:b/>
          <w:bCs/>
          <w:color w:val="648676"/>
          <w:w w:val="123"/>
          <w:position w:val="7"/>
          <w:sz w:val="20"/>
          <w:szCs w:val="20"/>
        </w:rPr>
        <w:instrText xml:space="preserve">COL</w:instrText>
      </w:r>
      <w:r>
        <w:instrText xml:space="preserve">)</w:instrText>
      </w:r>
      <w:r>
        <w:fldChar w:fldCharType="end"/>
      </w:r>
      <w:r>
        <w:fldChar w:fldCharType="begin"/>
      </w:r>
      <w:r>
        <w:instrText xml:space="preserve">EQ \* jc3 \* hps14 \o\al(\s\up 12(</w:instrText>
      </w:r>
      <w:r>
        <w:rPr>
          <w:rFonts w:ascii="Segoe UI" w:hAnsi="Segoe UI" w:eastAsia="Segoe UI" w:cs="Segoe UI"/>
          <w:b/>
          <w:bCs/>
          <w:color w:val="648676"/>
          <w:w w:val="141"/>
          <w:position w:val="2"/>
          <w:sz w:val="14"/>
          <w:szCs w:val="14"/>
        </w:rPr>
        <w:instrText xml:space="preserve">E</w:instrText>
      </w:r>
      <w:r>
        <w:instrText xml:space="preserve">),</w:instrText>
      </w:r>
      <w:r>
        <w:rPr>
          <w:rFonts w:ascii="Segoe UI" w:hAnsi="Segoe UI" w:eastAsia="Segoe UI" w:cs="Segoe UI"/>
          <w:b/>
          <w:bCs/>
          <w:color w:val="648676"/>
          <w:w w:val="90"/>
          <w:position w:val="7"/>
          <w:sz w:val="20"/>
          <w:szCs w:val="20"/>
        </w:rPr>
        <w:instrText xml:space="preserve">U</w:instrText>
      </w:r>
      <w:r>
        <w:instrText xml:space="preserve">)</w:instrText>
      </w:r>
      <w:r>
        <w:fldChar w:fldCharType="end"/>
      </w:r>
      <w:r>
        <w:rPr>
          <w:rFonts w:ascii="Times New Roman" w:hAnsi="Times New Roman" w:eastAsia="Times New Roman" w:cs="Times New Roman"/>
          <w:color w:val="648676"/>
          <w:position w:val="-12"/>
          <w:sz w:val="67"/>
          <w:szCs w:val="67"/>
        </w:rPr>
        <w:drawing>
          <wp:inline distT="0" distB="0" distL="0" distR="0">
            <wp:extent cx="125095" cy="323850"/>
            <wp:effectExtent l="0" t="0" r="0" b="0"/>
            <wp:docPr id="152" name="IM 152"/>
            <wp:cNvGraphicFramePr/>
            <a:graphic xmlns:a="http://schemas.openxmlformats.org/drawingml/2006/main">
              <a:graphicData uri="http://schemas.openxmlformats.org/drawingml/2006/picture">
                <pic:pic xmlns:pic="http://schemas.openxmlformats.org/drawingml/2006/picture">
                  <pic:nvPicPr>
                    <pic:cNvPr id="152" name="IM 152"/>
                    <pic:cNvPicPr/>
                  </pic:nvPicPr>
                  <pic:blipFill>
                    <a:blip r:embed="rId103"/>
                    <a:stretch>
                      <a:fillRect/>
                    </a:stretch>
                  </pic:blipFill>
                  <pic:spPr>
                    <a:xfrm>
                      <a:off x="0" y="0"/>
                      <a:ext cx="125311" cy="324459"/>
                    </a:xfrm>
                    <a:prstGeom prst="rect">
                      <a:avLst/>
                    </a:prstGeom>
                  </pic:spPr>
                </pic:pic>
              </a:graphicData>
            </a:graphic>
          </wp:inline>
        </w:drawing>
      </w:r>
      <w:r>
        <w:rPr>
          <w:rFonts w:ascii="Times New Roman" w:hAnsi="Times New Roman" w:eastAsia="Times New Roman" w:cs="Times New Roman"/>
          <w:color w:val="648676"/>
          <w:position w:val="-12"/>
          <w:sz w:val="67"/>
          <w:szCs w:val="67"/>
        </w:rPr>
        <w:drawing>
          <wp:inline distT="0" distB="0" distL="0" distR="0">
            <wp:extent cx="131445" cy="321945"/>
            <wp:effectExtent l="0" t="0" r="0" b="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104"/>
                    <a:stretch>
                      <a:fillRect/>
                    </a:stretch>
                  </pic:blipFill>
                  <pic:spPr>
                    <a:xfrm>
                      <a:off x="0" y="0"/>
                      <a:ext cx="131654" cy="322431"/>
                    </a:xfrm>
                    <a:prstGeom prst="rect">
                      <a:avLst/>
                    </a:prstGeom>
                  </pic:spPr>
                </pic:pic>
              </a:graphicData>
            </a:graphic>
          </wp:inline>
        </w:drawing>
      </w:r>
      <w:r>
        <w:rPr>
          <w:rFonts w:ascii="Times New Roman" w:hAnsi="Times New Roman" w:eastAsia="Times New Roman" w:cs="Times New Roman"/>
          <w:color w:val="648676"/>
          <w:spacing w:val="14"/>
          <w:position w:val="-7"/>
          <w:sz w:val="67"/>
          <w:szCs w:val="67"/>
        </w:rPr>
        <w:t>2</w:t>
      </w:r>
      <w:r>
        <w:rPr>
          <w:rFonts w:ascii="Times New Roman" w:hAnsi="Times New Roman" w:eastAsia="Times New Roman" w:cs="Times New Roman"/>
          <w:color w:val="648676"/>
          <w:spacing w:val="51"/>
          <w:position w:val="-7"/>
          <w:sz w:val="67"/>
          <w:szCs w:val="67"/>
        </w:rPr>
        <w:t xml:space="preserve"> </w:t>
      </w:r>
      <w:r>
        <w:rPr>
          <w:rFonts w:ascii="微软雅黑" w:hAnsi="微软雅黑" w:eastAsia="微软雅黑" w:cs="微软雅黑"/>
          <w:color w:val="648676"/>
          <w:spacing w:val="14"/>
          <w:position w:val="2"/>
          <w:sz w:val="32"/>
          <w:szCs w:val="32"/>
        </w:rPr>
        <w:t>数据资产价值评估体系</w:t>
      </w:r>
    </w:p>
    <w:p w14:paraId="0CBF2AC1">
      <w:pPr>
        <w:spacing w:before="221" w:line="288" w:lineRule="auto"/>
        <w:ind w:left="971" w:right="724" w:firstLine="482"/>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从内在价值、成本价值、经济价值、市场价值四个价值维度出发，  建立数据资</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2"/>
          <w:sz w:val="22"/>
          <w:szCs w:val="22"/>
        </w:rPr>
        <w:t>产价值评估体系。</w:t>
      </w:r>
    </w:p>
    <w:p w14:paraId="3B77D8A2">
      <w:pPr>
        <w:spacing w:before="27" w:line="179" w:lineRule="auto"/>
        <w:ind w:left="1454"/>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1.</w:t>
      </w:r>
      <w:r>
        <w:rPr>
          <w:rFonts w:ascii="微软雅黑" w:hAnsi="微软雅黑" w:eastAsia="微软雅黑" w:cs="微软雅黑"/>
          <w:color w:val="231F20"/>
          <w:spacing w:val="18"/>
          <w:w w:val="101"/>
          <w:sz w:val="22"/>
          <w:szCs w:val="22"/>
        </w:rPr>
        <w:t xml:space="preserve"> </w:t>
      </w:r>
      <w:r>
        <w:rPr>
          <w:rFonts w:ascii="微软雅黑" w:hAnsi="微软雅黑" w:eastAsia="微软雅黑" w:cs="微软雅黑"/>
          <w:color w:val="231F20"/>
          <w:spacing w:val="-1"/>
          <w:sz w:val="22"/>
          <w:szCs w:val="22"/>
        </w:rPr>
        <w:t>内在价值</w:t>
      </w:r>
    </w:p>
    <w:p w14:paraId="71A45C0E">
      <w:pPr>
        <w:spacing w:before="166" w:line="289" w:lineRule="auto"/>
        <w:ind w:left="972" w:right="724" w:firstLine="500"/>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内在价值是指数据本身所蕴含的潜在价值，通过数据规模、数据质量等指标进</w:t>
      </w:r>
      <w:r>
        <w:rPr>
          <w:rFonts w:ascii="微软雅黑" w:hAnsi="微软雅黑" w:eastAsia="微软雅黑" w:cs="微软雅黑"/>
          <w:color w:val="231F20"/>
          <w:spacing w:val="3"/>
          <w:sz w:val="22"/>
          <w:szCs w:val="22"/>
        </w:rPr>
        <w:t xml:space="preserve"> </w:t>
      </w:r>
      <w:r>
        <w:rPr>
          <w:rFonts w:ascii="微软雅黑" w:hAnsi="微软雅黑" w:eastAsia="微软雅黑" w:cs="微软雅黑"/>
          <w:color w:val="231F20"/>
          <w:spacing w:val="1"/>
          <w:sz w:val="22"/>
          <w:szCs w:val="22"/>
        </w:rPr>
        <w:t>行衡量。评估数据资产内在价值是评估数据资产能力</w:t>
      </w:r>
      <w:r>
        <w:rPr>
          <w:rFonts w:ascii="微软雅黑" w:hAnsi="微软雅黑" w:eastAsia="微软雅黑" w:cs="微软雅黑"/>
          <w:color w:val="231F20"/>
          <w:sz w:val="22"/>
          <w:szCs w:val="22"/>
        </w:rPr>
        <w:t xml:space="preserve">的基础，对于数据资产其他维 </w:t>
      </w:r>
      <w:r>
        <w:rPr>
          <w:rFonts w:ascii="微软雅黑" w:hAnsi="微软雅黑" w:eastAsia="微软雅黑" w:cs="微软雅黑"/>
          <w:color w:val="231F20"/>
          <w:spacing w:val="-2"/>
          <w:sz w:val="22"/>
          <w:szCs w:val="22"/>
        </w:rPr>
        <w:t>度价值评估具有指导作用。</w:t>
      </w:r>
    </w:p>
    <w:p w14:paraId="5E6F3926">
      <w:pPr>
        <w:spacing w:before="17" w:line="287" w:lineRule="auto"/>
        <w:ind w:left="973" w:right="724" w:firstLine="480"/>
        <w:rPr>
          <w:rFonts w:ascii="微软雅黑" w:hAnsi="微软雅黑" w:eastAsia="微软雅黑" w:cs="微软雅黑"/>
          <w:sz w:val="22"/>
          <w:szCs w:val="22"/>
        </w:rPr>
      </w:pPr>
      <w:r>
        <w:rPr>
          <w:rFonts w:ascii="微软雅黑" w:hAnsi="微软雅黑" w:eastAsia="微软雅黑" w:cs="微软雅黑"/>
          <w:color w:val="231F20"/>
          <w:spacing w:val="-6"/>
          <w:sz w:val="22"/>
          <w:szCs w:val="22"/>
        </w:rPr>
        <w:t>核心计算公式：内在价值 =(</w:t>
      </w:r>
      <w:r>
        <w:rPr>
          <w:rFonts w:ascii="微软雅黑" w:hAnsi="微软雅黑" w:eastAsia="微软雅黑" w:cs="微软雅黑"/>
          <w:color w:val="231F20"/>
          <w:spacing w:val="-21"/>
          <w:sz w:val="22"/>
          <w:szCs w:val="22"/>
        </w:rPr>
        <w:t xml:space="preserve"> </w:t>
      </w:r>
      <w:r>
        <w:rPr>
          <w:rFonts w:ascii="微软雅黑" w:hAnsi="微软雅黑" w:eastAsia="微软雅黑" w:cs="微软雅黑"/>
          <w:color w:val="231F20"/>
          <w:spacing w:val="-6"/>
          <w:sz w:val="22"/>
          <w:szCs w:val="22"/>
        </w:rPr>
        <w:t>数据质量评分 +</w:t>
      </w:r>
      <w:r>
        <w:rPr>
          <w:rFonts w:ascii="微软雅黑" w:hAnsi="微软雅黑" w:eastAsia="微软雅黑" w:cs="微软雅黑"/>
          <w:color w:val="231F20"/>
          <w:spacing w:val="-19"/>
          <w:sz w:val="22"/>
          <w:szCs w:val="22"/>
        </w:rPr>
        <w:t xml:space="preserve"> </w:t>
      </w:r>
      <w:r>
        <w:rPr>
          <w:rFonts w:ascii="微软雅黑" w:hAnsi="微软雅黑" w:eastAsia="微软雅黑" w:cs="微软雅黑"/>
          <w:color w:val="231F20"/>
          <w:spacing w:val="-6"/>
          <w:sz w:val="22"/>
          <w:szCs w:val="22"/>
        </w:rPr>
        <w:t>服务质量评分 +</w:t>
      </w:r>
      <w:r>
        <w:rPr>
          <w:rFonts w:ascii="微软雅黑" w:hAnsi="微软雅黑" w:eastAsia="微软雅黑" w:cs="微软雅黑"/>
          <w:color w:val="231F20"/>
          <w:spacing w:val="-20"/>
          <w:sz w:val="22"/>
          <w:szCs w:val="22"/>
        </w:rPr>
        <w:t xml:space="preserve"> </w:t>
      </w:r>
      <w:r>
        <w:rPr>
          <w:rFonts w:ascii="微软雅黑" w:hAnsi="微软雅黑" w:eastAsia="微软雅黑" w:cs="微软雅黑"/>
          <w:color w:val="231F20"/>
          <w:spacing w:val="-7"/>
          <w:sz w:val="22"/>
          <w:szCs w:val="22"/>
        </w:rPr>
        <w:t>使用频度评分</w:t>
      </w:r>
      <w:r>
        <w:rPr>
          <w:rFonts w:ascii="微软雅黑" w:hAnsi="微软雅黑" w:eastAsia="微软雅黑" w:cs="微软雅黑"/>
          <w:color w:val="231F20"/>
          <w:spacing w:val="-17"/>
          <w:sz w:val="22"/>
          <w:szCs w:val="22"/>
        </w:rPr>
        <w:t xml:space="preserve"> </w:t>
      </w:r>
      <w:r>
        <w:rPr>
          <w:rFonts w:ascii="微软雅黑" w:hAnsi="微软雅黑" w:eastAsia="微软雅黑" w:cs="微软雅黑"/>
          <w:color w:val="231F20"/>
          <w:spacing w:val="-7"/>
          <w:sz w:val="22"/>
          <w:szCs w:val="22"/>
        </w:rPr>
        <w:t>)/3*</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数据规模。</w:t>
      </w:r>
    </w:p>
    <w:p w14:paraId="3946ABA3">
      <w:pPr>
        <w:spacing w:before="16" w:line="289" w:lineRule="auto"/>
        <w:ind w:left="973" w:right="628" w:firstLine="481"/>
        <w:jc w:val="both"/>
        <w:rPr>
          <w:rFonts w:ascii="微软雅黑" w:hAnsi="微软雅黑" w:eastAsia="微软雅黑" w:cs="微软雅黑"/>
          <w:sz w:val="22"/>
          <w:szCs w:val="22"/>
        </w:rPr>
      </w:pPr>
      <w:r>
        <w:rPr>
          <w:rFonts w:ascii="微软雅黑" w:hAnsi="微软雅黑" w:eastAsia="微软雅黑" w:cs="微软雅黑"/>
          <w:color w:val="231F20"/>
          <w:sz w:val="22"/>
          <w:szCs w:val="22"/>
        </w:rPr>
        <w:t>数据质量评分是从数据的完整性、准确性、规范</w:t>
      </w:r>
      <w:r>
        <w:rPr>
          <w:rFonts w:ascii="微软雅黑" w:hAnsi="微软雅黑" w:eastAsia="微软雅黑" w:cs="微软雅黑"/>
          <w:color w:val="231F20"/>
          <w:spacing w:val="-1"/>
          <w:sz w:val="22"/>
          <w:szCs w:val="22"/>
        </w:rPr>
        <w:t>性等质量维度统计数据的通过</w:t>
      </w:r>
      <w:r>
        <w:rPr>
          <w:rFonts w:ascii="微软雅黑" w:hAnsi="微软雅黑" w:eastAsia="微软雅黑" w:cs="微软雅黑"/>
          <w:color w:val="231F20"/>
          <w:sz w:val="22"/>
          <w:szCs w:val="22"/>
        </w:rPr>
        <w:t xml:space="preserve">  率情况，服务质量评分是从业务应用角度统计数据覆盖度和使用友好性情况，使用</w:t>
      </w:r>
      <w:r>
        <w:rPr>
          <w:rFonts w:ascii="微软雅黑" w:hAnsi="微软雅黑" w:eastAsia="微软雅黑" w:cs="微软雅黑"/>
          <w:color w:val="231F20"/>
          <w:spacing w:val="3"/>
          <w:sz w:val="22"/>
          <w:szCs w:val="22"/>
        </w:rPr>
        <w:t xml:space="preserve">   </w:t>
      </w:r>
      <w:r>
        <w:rPr>
          <w:rFonts w:ascii="微软雅黑" w:hAnsi="微软雅黑" w:eastAsia="微软雅黑" w:cs="微软雅黑"/>
          <w:color w:val="231F20"/>
          <w:spacing w:val="-3"/>
          <w:sz w:val="22"/>
          <w:szCs w:val="22"/>
        </w:rPr>
        <w:t>频度评分是统计数据资产的使用频度情况，数据规模是统计企业累计数据资产总量。</w:t>
      </w:r>
    </w:p>
    <w:p w14:paraId="4C44D155">
      <w:pPr>
        <w:spacing w:before="31" w:line="178" w:lineRule="auto"/>
        <w:ind w:left="1456"/>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2. 成本价值</w:t>
      </w:r>
    </w:p>
    <w:p w14:paraId="6E90961E">
      <w:pPr>
        <w:spacing w:before="166" w:line="289" w:lineRule="auto"/>
        <w:ind w:left="971" w:right="724" w:firstLine="483"/>
        <w:rPr>
          <w:rFonts w:ascii="微软雅黑" w:hAnsi="微软雅黑" w:eastAsia="微软雅黑" w:cs="微软雅黑"/>
          <w:sz w:val="22"/>
          <w:szCs w:val="22"/>
        </w:rPr>
      </w:pPr>
      <w:r>
        <w:rPr>
          <w:rFonts w:ascii="微软雅黑" w:hAnsi="微软雅黑" w:eastAsia="微软雅黑" w:cs="微软雅黑"/>
          <w:color w:val="231F20"/>
          <w:sz w:val="22"/>
          <w:szCs w:val="22"/>
        </w:rPr>
        <w:t>数据资产的成本价值指数据获取、加工、维护和</w:t>
      </w:r>
      <w:r>
        <w:rPr>
          <w:rFonts w:ascii="微软雅黑" w:hAnsi="微软雅黑" w:eastAsia="微软雅黑" w:cs="微软雅黑"/>
          <w:color w:val="231F20"/>
          <w:spacing w:val="-1"/>
          <w:sz w:val="22"/>
          <w:szCs w:val="22"/>
        </w:rPr>
        <w:t>管理所需的财务开销。数据资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产的成本价值包括获取成本、加工成本、运维成</w:t>
      </w:r>
      <w:r>
        <w:rPr>
          <w:rFonts w:ascii="微软雅黑" w:hAnsi="微软雅黑" w:eastAsia="微软雅黑" w:cs="微软雅黑"/>
          <w:color w:val="231F20"/>
          <w:sz w:val="22"/>
          <w:szCs w:val="22"/>
        </w:rPr>
        <w:t xml:space="preserve">本、管理成本、风险成本等。评估 </w:t>
      </w:r>
      <w:r>
        <w:rPr>
          <w:rFonts w:ascii="微软雅黑" w:hAnsi="微软雅黑" w:eastAsia="微软雅黑" w:cs="微软雅黑"/>
          <w:color w:val="231F20"/>
          <w:spacing w:val="-1"/>
          <w:sz w:val="22"/>
          <w:szCs w:val="22"/>
        </w:rPr>
        <w:t>数据资产成本价值可用于优化数据成本管理方案，有效控制数据成本。</w:t>
      </w:r>
    </w:p>
    <w:p w14:paraId="332733A4">
      <w:pPr>
        <w:spacing w:before="16" w:line="288" w:lineRule="auto"/>
        <w:ind w:left="983" w:right="724" w:firstLine="470"/>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核心计算公式：成本价值 = 获取成本 + 加工成本 + 运维成本 + 管理成本 + 风</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pacing w:val="-4"/>
          <w:sz w:val="22"/>
          <w:szCs w:val="22"/>
        </w:rPr>
        <w:t>险成本</w:t>
      </w:r>
    </w:p>
    <w:p w14:paraId="09CCDC56">
      <w:pPr>
        <w:spacing w:before="13" w:line="290" w:lineRule="auto"/>
        <w:ind w:left="971" w:right="724" w:firstLine="481"/>
        <w:jc w:val="both"/>
        <w:rPr>
          <w:rFonts w:ascii="微软雅黑" w:hAnsi="微软雅黑" w:eastAsia="微软雅黑" w:cs="微软雅黑"/>
          <w:sz w:val="22"/>
          <w:szCs w:val="22"/>
        </w:rPr>
      </w:pPr>
      <w:r>
        <w:rPr>
          <w:rFonts w:ascii="微软雅黑" w:hAnsi="微软雅黑" w:eastAsia="微软雅黑" w:cs="微软雅黑"/>
          <w:color w:val="231F20"/>
          <w:sz w:val="22"/>
          <w:szCs w:val="22"/>
        </w:rPr>
        <w:t>获取成本是指数据采集、传输、购买的投入成本；</w:t>
      </w:r>
      <w:r>
        <w:rPr>
          <w:rFonts w:ascii="微软雅黑" w:hAnsi="微软雅黑" w:eastAsia="微软雅黑" w:cs="微软雅黑"/>
          <w:color w:val="231F20"/>
          <w:spacing w:val="-1"/>
          <w:sz w:val="22"/>
          <w:szCs w:val="22"/>
        </w:rPr>
        <w:t>加工成本是指数据清洗、校</w:t>
      </w:r>
      <w:r>
        <w:rPr>
          <w:rFonts w:ascii="微软雅黑" w:hAnsi="微软雅黑" w:eastAsia="微软雅黑" w:cs="微软雅黑"/>
          <w:color w:val="231F20"/>
          <w:sz w:val="22"/>
          <w:szCs w:val="22"/>
        </w:rPr>
        <w:t xml:space="preserve"> 验、整合等环节的投入成本；运维成本是指数据存储、备份、迁移、数据</w:t>
      </w:r>
      <w:r>
        <w:rPr>
          <w:rFonts w:ascii="微软雅黑" w:hAnsi="微软雅黑" w:eastAsia="微软雅黑" w:cs="微软雅黑"/>
          <w:color w:val="231F20"/>
          <w:spacing w:val="-1"/>
          <w:sz w:val="22"/>
          <w:szCs w:val="22"/>
        </w:rPr>
        <w:t>维护与 IT</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建设的投入成本；管理成本是指围绕数据管理的投入成本；风险成本</w:t>
      </w:r>
      <w:r>
        <w:rPr>
          <w:rFonts w:ascii="微软雅黑" w:hAnsi="微软雅黑" w:eastAsia="微软雅黑" w:cs="微软雅黑"/>
          <w:color w:val="231F20"/>
          <w:sz w:val="22"/>
          <w:szCs w:val="22"/>
        </w:rPr>
        <w:t xml:space="preserve">是指因数据原 </w:t>
      </w:r>
      <w:r>
        <w:rPr>
          <w:rFonts w:ascii="微软雅黑" w:hAnsi="微软雅黑" w:eastAsia="微软雅黑" w:cs="微软雅黑"/>
          <w:color w:val="231F20"/>
          <w:spacing w:val="-1"/>
          <w:sz w:val="22"/>
          <w:szCs w:val="22"/>
        </w:rPr>
        <w:t>因导致数据泄露或外部监管处罚所带来的风险损失。</w:t>
      </w:r>
    </w:p>
    <w:p w14:paraId="27D33B50">
      <w:pPr>
        <w:spacing w:before="15" w:line="288" w:lineRule="auto"/>
        <w:ind w:left="971" w:right="724" w:firstLine="483"/>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数据资产的成本价值评估以数据项目为单元进行核算。需要说明的是，  数据资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 xml:space="preserve">产成本价值评估各项指标可能与传统项目成本或 </w:t>
      </w:r>
      <w:r>
        <w:rPr>
          <w:rFonts w:ascii="微软雅黑" w:hAnsi="微软雅黑" w:eastAsia="微软雅黑" w:cs="微软雅黑"/>
          <w:color w:val="231F20"/>
          <w:sz w:val="22"/>
          <w:szCs w:val="22"/>
        </w:rPr>
        <w:t>IT</w:t>
      </w:r>
      <w:r>
        <w:rPr>
          <w:rFonts w:ascii="微软雅黑" w:hAnsi="微软雅黑" w:eastAsia="微软雅黑" w:cs="微软雅黑"/>
          <w:color w:val="231F20"/>
          <w:spacing w:val="4"/>
          <w:sz w:val="22"/>
          <w:szCs w:val="22"/>
        </w:rPr>
        <w:t xml:space="preserve"> 成本有所重叠，</w:t>
      </w:r>
      <w:r>
        <w:rPr>
          <w:rFonts w:ascii="微软雅黑" w:hAnsi="微软雅黑" w:eastAsia="微软雅黑" w:cs="微软雅黑"/>
          <w:color w:val="231F20"/>
          <w:spacing w:val="3"/>
          <w:sz w:val="22"/>
          <w:szCs w:val="22"/>
        </w:rPr>
        <w:t>因此，可参考</w:t>
      </w:r>
    </w:p>
    <w:p w14:paraId="13FF1198">
      <w:pPr>
        <w:pStyle w:val="2"/>
        <w:spacing w:line="342" w:lineRule="auto"/>
      </w:pPr>
    </w:p>
    <w:p w14:paraId="150D574A">
      <w:pPr>
        <w:pStyle w:val="2"/>
        <w:spacing w:line="342" w:lineRule="auto"/>
      </w:pPr>
    </w:p>
    <w:p w14:paraId="54F7597B">
      <w:pPr>
        <w:spacing w:before="78" w:line="212" w:lineRule="auto"/>
        <w:ind w:left="5513"/>
        <w:rPr>
          <w:rFonts w:hint="eastAsia" w:ascii="宋体" w:hAnsi="宋体" w:eastAsia="宋体" w:cs="宋体"/>
          <w:sz w:val="24"/>
          <w:szCs w:val="24"/>
          <w:lang w:eastAsia="zh-CN"/>
        </w:rPr>
      </w:pPr>
      <w:r>
        <w:pict>
          <v:shape id="_x0000_s1178" o:spid="_x0000_s1178" o:spt="202" type="#_x0000_t202" style="position:absolute;left:0pt;margin-left:241.1pt;margin-top:-1.7pt;height:11.35pt;width:12.85pt;z-index:251796480;mso-width-relative:page;mso-height-relative:page;" filled="f" stroked="f" coordsize="21600,21600">
            <v:path/>
            <v:fill on="f" focussize="0,0"/>
            <v:stroke on="f"/>
            <v:imagedata o:title=""/>
            <o:lock v:ext="edit" aspectratio="f"/>
            <v:textbox inset="0mm,0mm,0mm,0mm">
              <w:txbxContent>
                <w:p w14:paraId="66D7FC7E">
                  <w:pPr>
                    <w:pStyle w:val="2"/>
                    <w:spacing w:before="20" w:line="194" w:lineRule="auto"/>
                    <w:ind w:left="20"/>
                    <w:rPr>
                      <w:sz w:val="20"/>
                      <w:szCs w:val="20"/>
                    </w:rPr>
                  </w:pPr>
                  <w:r>
                    <w:rPr>
                      <w:color w:val="231F20"/>
                      <w:spacing w:val="-2"/>
                      <w:sz w:val="20"/>
                      <w:szCs w:val="20"/>
                    </w:rPr>
                    <w:t>23</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2D887C34">
      <w:pPr>
        <w:spacing w:line="212" w:lineRule="auto"/>
        <w:rPr>
          <w:rFonts w:ascii="宋体" w:hAnsi="宋体" w:eastAsia="宋体" w:cs="宋体"/>
          <w:sz w:val="24"/>
          <w:szCs w:val="24"/>
        </w:rPr>
        <w:sectPr>
          <w:pgSz w:w="11906" w:h="16158"/>
          <w:pgMar w:top="400" w:right="1252" w:bottom="400" w:left="1004" w:header="0" w:footer="0" w:gutter="0"/>
          <w:cols w:space="720" w:num="1"/>
        </w:sectPr>
      </w:pPr>
    </w:p>
    <w:p w14:paraId="6A7C4BE2">
      <w:pPr>
        <w:pStyle w:val="2"/>
        <w:spacing w:line="349" w:lineRule="auto"/>
      </w:pPr>
    </w:p>
    <w:p w14:paraId="6FA9200B">
      <w:pPr>
        <w:pStyle w:val="2"/>
        <w:spacing w:line="350" w:lineRule="auto"/>
      </w:pPr>
    </w:p>
    <w:p w14:paraId="00B6D593">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-2</w:t>
      </w:r>
    </w:p>
    <w:p w14:paraId="1CC28940">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34957472">
      <w:pPr>
        <w:pStyle w:val="2"/>
        <w:spacing w:line="244" w:lineRule="auto"/>
      </w:pPr>
    </w:p>
    <w:p w14:paraId="3BB6A710">
      <w:pPr>
        <w:pStyle w:val="2"/>
        <w:spacing w:line="245" w:lineRule="auto"/>
      </w:pPr>
    </w:p>
    <w:p w14:paraId="2667DECA">
      <w:pPr>
        <w:pStyle w:val="2"/>
        <w:spacing w:line="245" w:lineRule="auto"/>
      </w:pPr>
    </w:p>
    <w:p w14:paraId="0E43486A">
      <w:pPr>
        <w:pStyle w:val="2"/>
        <w:spacing w:line="245" w:lineRule="auto"/>
      </w:pPr>
    </w:p>
    <w:p w14:paraId="6FA24CA7">
      <w:pPr>
        <w:spacing w:line="7474" w:lineRule="exact"/>
        <w:ind w:firstLine="245"/>
      </w:pPr>
      <w:r>
        <w:pict>
          <v:group id="_x0000_s1179" o:spid="_x0000_s1179" o:spt="203" style="position:absolute;left:0pt;margin-left:455.55pt;margin-top:11.8pt;height:348.95pt;width:15.2pt;z-index:251798528;mso-width-relative:page;mso-height-relative:page;" coordsize="303,6979">
            <o:lock v:ext="edit"/>
            <v:shape id="_x0000_s1180" o:spid="_x0000_s1180" style="position:absolute;left:28;top:59;height:6917;width:275;" filled="f" stroked="t" coordsize="275,6917" path="m264,10l264,6511m260,6598c247,6697,198,6889,10,6907e">
              <v:fill on="f" focussize="0,0"/>
              <v:stroke weight="1pt" color="#648676" miterlimit="4" dashstyle="dash" endcap="round"/>
              <v:imagedata o:title=""/>
              <o:lock v:ext="edit"/>
            </v:shape>
            <v:shape id="_x0000_s1181" o:spid="_x0000_s1181" style="position:absolute;left:0;top:0;height:6979;width:303;" filled="f" stroked="t" coordsize="303,6979" path="m293,10l293,10m293,6601l293,6601m10,6968l10,6968e">
              <v:fill on="f" focussize="0,0"/>
              <v:stroke weight="1pt" color="#648676" miterlimit="4" endcap="round"/>
              <v:imagedata o:title=""/>
              <o:lock v:ext="edit"/>
            </v:shape>
          </v:group>
        </w:pict>
      </w:r>
      <w:r>
        <w:rPr>
          <w:position w:val="-149"/>
        </w:rPr>
        <w:pict>
          <v:group id="_x0000_s1182" o:spid="_x0000_s1182" o:spt="203" style="height:373.75pt;width:470.3pt;" coordsize="9405,7475">
            <o:lock v:ext="edit"/>
            <v:rect id="_x0000_s1183" o:spid="_x0000_s1183" o:spt="1" style="position:absolute;left:0;top:0;height:7475;width:9405;" fillcolor="#E9F6FE" filled="t" stroked="f" coordsize="21600,21600">
              <v:path/>
              <v:fill on="t" focussize="0,0"/>
              <v:stroke on="f"/>
              <v:imagedata o:title=""/>
              <o:lock v:ext="edit"/>
            </v:rect>
            <v:shape id="_x0000_s1184" o:spid="_x0000_s1184" o:spt="202" type="#_x0000_t202" style="position:absolute;left:709;top:217;height:6735;width:7992;" filled="f" stroked="f" coordsize="21600,21600">
              <v:path/>
              <v:fill on="f" focussize="0,0"/>
              <v:stroke on="f"/>
              <v:imagedata o:title=""/>
              <o:lock v:ext="edit" aspectratio="f"/>
              <v:textbox inset="0mm,0mm,0mm,0mm">
                <w:txbxContent>
                  <w:p w14:paraId="7BCCDA40">
                    <w:pPr>
                      <w:spacing w:before="19" w:line="288" w:lineRule="auto"/>
                      <w:ind w:left="21" w:right="20"/>
                      <w:rPr>
                        <w:rFonts w:ascii="微软雅黑" w:hAnsi="微软雅黑" w:eastAsia="微软雅黑" w:cs="微软雅黑"/>
                        <w:sz w:val="22"/>
                        <w:szCs w:val="22"/>
                      </w:rPr>
                    </w:pPr>
                    <w:bookmarkStart w:id="45" w:name="bookmark38"/>
                    <w:bookmarkEnd w:id="45"/>
                    <w:r>
                      <w:rPr>
                        <w:rFonts w:ascii="微软雅黑" w:hAnsi="微软雅黑" w:eastAsia="微软雅黑" w:cs="微软雅黑"/>
                        <w:color w:val="231F20"/>
                        <w:spacing w:val="1"/>
                        <w:sz w:val="22"/>
                        <w:szCs w:val="22"/>
                      </w:rPr>
                      <w:t>数据资产管理的标准化流程，进一步界定成本价值评估各类指标的数</w:t>
                    </w:r>
                    <w:r>
                      <w:rPr>
                        <w:rFonts w:ascii="微软雅黑" w:hAnsi="微软雅黑" w:eastAsia="微软雅黑" w:cs="微软雅黑"/>
                        <w:color w:val="231F20"/>
                        <w:sz w:val="22"/>
                        <w:szCs w:val="22"/>
                      </w:rPr>
                      <w:t xml:space="preserve">据资产贡献比 </w:t>
                    </w:r>
                    <w:r>
                      <w:rPr>
                        <w:rFonts w:ascii="微软雅黑" w:hAnsi="微软雅黑" w:eastAsia="微软雅黑" w:cs="微软雅黑"/>
                        <w:color w:val="231F20"/>
                        <w:spacing w:val="-2"/>
                        <w:sz w:val="22"/>
                        <w:szCs w:val="22"/>
                      </w:rPr>
                      <w:t>例，提升成本价值评估的准确性。</w:t>
                    </w:r>
                  </w:p>
                  <w:p w14:paraId="70A40588">
                    <w:pPr>
                      <w:spacing w:before="27" w:line="179" w:lineRule="auto"/>
                      <w:ind w:left="506"/>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3. 经济价值</w:t>
                    </w:r>
                  </w:p>
                  <w:p w14:paraId="6981F664">
                    <w:pPr>
                      <w:spacing w:before="166" w:line="287" w:lineRule="auto"/>
                      <w:ind w:left="22" w:right="21" w:firstLine="481"/>
                      <w:rPr>
                        <w:rFonts w:ascii="微软雅黑" w:hAnsi="微软雅黑" w:eastAsia="微软雅黑" w:cs="微软雅黑"/>
                        <w:sz w:val="22"/>
                        <w:szCs w:val="22"/>
                      </w:rPr>
                    </w:pPr>
                    <w:r>
                      <w:rPr>
                        <w:rFonts w:ascii="微软雅黑" w:hAnsi="微软雅黑" w:eastAsia="微软雅黑" w:cs="微软雅黑"/>
                        <w:color w:val="231F20"/>
                        <w:sz w:val="22"/>
                        <w:szCs w:val="22"/>
                      </w:rPr>
                      <w:t>数据资产经济价值指对数据资产的运用所产生的</w:t>
                    </w:r>
                    <w:r>
                      <w:rPr>
                        <w:rFonts w:ascii="微软雅黑" w:hAnsi="微软雅黑" w:eastAsia="微软雅黑" w:cs="微软雅黑"/>
                        <w:color w:val="231F20"/>
                        <w:spacing w:val="-1"/>
                        <w:sz w:val="22"/>
                        <w:szCs w:val="22"/>
                      </w:rPr>
                      <w:t>直接或间接的经济收益。此方</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法通过货币化方式计量数据资产为企业做出的贡献。</w:t>
                    </w:r>
                  </w:p>
                  <w:p w14:paraId="15AB4A25">
                    <w:pPr>
                      <w:spacing w:before="16" w:line="206" w:lineRule="auto"/>
                      <w:ind w:left="501"/>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 xml:space="preserve">核心计算公式：经济价值 = 业务总效益 </w:t>
                    </w:r>
                    <w:r>
                      <w:rPr>
                        <w:rFonts w:ascii="微软雅黑" w:hAnsi="微软雅黑" w:eastAsia="微软雅黑" w:cs="微软雅黑"/>
                        <w:color w:val="231F20"/>
                        <w:spacing w:val="-3"/>
                        <w:sz w:val="22"/>
                        <w:szCs w:val="22"/>
                      </w:rPr>
                      <w:t>* 数据资产贡献比例</w:t>
                    </w:r>
                  </w:p>
                  <w:p w14:paraId="65B04BAC">
                    <w:pPr>
                      <w:spacing w:before="135" w:line="207" w:lineRule="auto"/>
                      <w:ind w:left="503"/>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业务总收益是指提升营业收入和降低经营成本。</w:t>
                    </w:r>
                  </w:p>
                  <w:p w14:paraId="5BB9723A">
                    <w:pPr>
                      <w:spacing w:before="134" w:line="280" w:lineRule="auto"/>
                      <w:ind w:left="20" w:right="21" w:firstLine="501"/>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由于“数据资产贡献比例”的计算存在一定难度，可考虑利用业务流和价值流</w:t>
                    </w:r>
                    <w:r>
                      <w:rPr>
                        <w:rFonts w:ascii="微软雅黑" w:hAnsi="微软雅黑" w:eastAsia="微软雅黑" w:cs="微软雅黑"/>
                        <w:color w:val="231F20"/>
                        <w:spacing w:val="3"/>
                        <w:sz w:val="22"/>
                        <w:szCs w:val="22"/>
                      </w:rPr>
                      <w:t xml:space="preserve"> </w:t>
                    </w:r>
                    <w:r>
                      <w:rPr>
                        <w:rFonts w:ascii="微软雅黑" w:hAnsi="微软雅黑" w:eastAsia="微软雅黑" w:cs="微软雅黑"/>
                        <w:color w:val="231F20"/>
                        <w:spacing w:val="1"/>
                        <w:sz w:val="22"/>
                        <w:szCs w:val="22"/>
                      </w:rPr>
                      <w:t>对业务总效益进行拆解，并对应数据流，进一步界定该业务价值环节</w:t>
                    </w:r>
                    <w:r>
                      <w:rPr>
                        <w:rFonts w:ascii="微软雅黑" w:hAnsi="微软雅黑" w:eastAsia="微软雅黑" w:cs="微软雅黑"/>
                        <w:color w:val="231F20"/>
                        <w:sz w:val="22"/>
                        <w:szCs w:val="22"/>
                      </w:rPr>
                      <w:t xml:space="preserve">的数据资产贡 </w:t>
                    </w:r>
                    <w:r>
                      <w:rPr>
                        <w:rFonts w:ascii="微软雅黑" w:hAnsi="微软雅黑" w:eastAsia="微软雅黑" w:cs="微软雅黑"/>
                        <w:color w:val="231F20"/>
                        <w:spacing w:val="-4"/>
                        <w:sz w:val="22"/>
                        <w:szCs w:val="22"/>
                      </w:rPr>
                      <w:t>献比例。</w:t>
                    </w:r>
                  </w:p>
                  <w:p w14:paraId="6488E6E8">
                    <w:pPr>
                      <w:spacing w:before="73" w:line="179" w:lineRule="auto"/>
                      <w:ind w:left="501"/>
                      <w:rPr>
                        <w:rFonts w:ascii="微软雅黑" w:hAnsi="微软雅黑" w:eastAsia="微软雅黑" w:cs="微软雅黑"/>
                        <w:sz w:val="22"/>
                        <w:szCs w:val="22"/>
                      </w:rPr>
                    </w:pPr>
                    <w:r>
                      <w:rPr>
                        <w:rFonts w:ascii="微软雅黑" w:hAnsi="微软雅黑" w:eastAsia="微软雅黑" w:cs="微软雅黑"/>
                        <w:color w:val="231F20"/>
                        <w:spacing w:val="6"/>
                        <w:sz w:val="22"/>
                        <w:szCs w:val="22"/>
                      </w:rPr>
                      <w:t>4. 市场价值</w:t>
                    </w:r>
                  </w:p>
                  <w:p w14:paraId="4612A014">
                    <w:pPr>
                      <w:spacing w:before="167" w:line="289" w:lineRule="auto"/>
                      <w:ind w:left="20" w:right="21" w:firstLine="485"/>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市场价值是指在公开市场上售卖数据产品所产生的经济收益，由市场供给决定</w:t>
                    </w:r>
                    <w:r>
                      <w:rPr>
                        <w:rFonts w:ascii="微软雅黑" w:hAnsi="微软雅黑" w:eastAsia="微软雅黑" w:cs="微软雅黑"/>
                        <w:color w:val="231F20"/>
                        <w:spacing w:val="18"/>
                        <w:sz w:val="22"/>
                        <w:szCs w:val="22"/>
                      </w:rPr>
                      <w:t xml:space="preserve"> </w:t>
                    </w:r>
                    <w:r>
                      <w:rPr>
                        <w:rFonts w:ascii="微软雅黑" w:hAnsi="微软雅黑" w:eastAsia="微软雅黑" w:cs="微软雅黑"/>
                        <w:color w:val="231F20"/>
                        <w:spacing w:val="1"/>
                        <w:sz w:val="22"/>
                        <w:szCs w:val="22"/>
                      </w:rPr>
                      <w:t>数据资产价值。随着数据产品需求的增加以及数据交易</w:t>
                    </w:r>
                    <w:r>
                      <w:rPr>
                        <w:rFonts w:ascii="微软雅黑" w:hAnsi="微软雅黑" w:eastAsia="微软雅黑" w:cs="微软雅黑"/>
                        <w:color w:val="231F20"/>
                        <w:sz w:val="22"/>
                        <w:szCs w:val="22"/>
                      </w:rPr>
                      <w:t xml:space="preserve">市场规则的建立，该方法可 </w:t>
                    </w:r>
                    <w:r>
                      <w:rPr>
                        <w:rFonts w:ascii="微软雅黑" w:hAnsi="微软雅黑" w:eastAsia="微软雅黑" w:cs="微软雅黑"/>
                        <w:color w:val="231F20"/>
                        <w:spacing w:val="-2"/>
                        <w:sz w:val="22"/>
                        <w:szCs w:val="22"/>
                      </w:rPr>
                      <w:t>行性与准确性逐步提升。</w:t>
                    </w:r>
                  </w:p>
                  <w:p w14:paraId="25EDDC3E">
                    <w:pPr>
                      <w:spacing w:before="15" w:line="206" w:lineRule="auto"/>
                      <w:ind w:left="501"/>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核心计算公式：市场价值 = 数据产品在对外流通中产生的总收益</w:t>
                    </w:r>
                  </w:p>
                </w:txbxContent>
              </v:textbox>
            </v:shape>
            <v:group id="_x0000_s1185" o:spid="_x0000_s1185" o:spt="203" style="position:absolute;left:235;top:235;height:6970;width:247;" coordsize="247,6970">
              <o:lock v:ext="edit"/>
              <v:shape id="_x0000_s1186" o:spid="_x0000_s1186" style="position:absolute;left:0;top:29;height:6940;width:247;" filled="f" stroked="t" coordsize="247,6940" path="m236,6930c157,6909,20,6838,10,6599m10,6511l10,10e">
                <v:fill on="f" focussize="0,0"/>
                <v:stroke weight="1pt" color="#648676" miterlimit="4" dashstyle="dash" endcap="round"/>
                <v:imagedata o:title=""/>
                <o:lock v:ext="edit"/>
              </v:shape>
              <v:shape id="_x0000_s1187" o:spid="_x0000_s1187" style="position:absolute;left:0;top:0;height:6612;width:20;" filled="f" stroked="t" coordsize="20,6612" path="m10,6601l10,6601m10,10l10,10e">
                <v:fill on="f" focussize="0,0"/>
                <v:stroke weight="1pt" color="#648676" miterlimit="4" endcap="round"/>
                <v:imagedata o:title=""/>
                <o:lock v:ext="edit"/>
              </v:shape>
            </v:group>
            <v:group id="_x0000_s1188" o:spid="_x0000_s1188" o:spt="203" style="position:absolute;left:519;top:7194;height:20;width:8307;" coordsize="8307,20">
              <o:lock v:ext="edit"/>
              <v:shape id="_x0000_s1189" o:spid="_x0000_s1189" style="position:absolute;left:30;top:0;height:20;width:8277;" filled="f" stroked="t" coordsize="8277,20" path="m8266,10l10,10e">
                <v:fill on="f" focussize="0,0"/>
                <v:stroke weight="1pt" color="#648676" miterlimit="4" dashstyle="dash" endcap="round"/>
                <v:imagedata o:title=""/>
                <o:lock v:ext="edit"/>
              </v:shape>
              <v:shape id="_x0000_s1190" o:spid="_x0000_s1190" style="position:absolute;left:0;top:0;height:20;width:20;" filled="f" stroked="t" coordsize="20,20" path="m10,10l10,10e">
                <v:fill on="f" focussize="0,0"/>
                <v:stroke weight="1pt" color="#648676" miterlimit="4" endcap="round"/>
                <v:imagedata o:title=""/>
                <o:lock v:ext="edit"/>
              </v:shape>
            </v:group>
            <w10:wrap type="none"/>
            <w10:anchorlock/>
          </v:group>
        </w:pict>
      </w:r>
    </w:p>
    <w:p w14:paraId="5175A506">
      <w:pPr>
        <w:pStyle w:val="2"/>
        <w:spacing w:line="340" w:lineRule="auto"/>
      </w:pPr>
    </w:p>
    <w:p w14:paraId="1A0C9CFB">
      <w:pPr>
        <w:pStyle w:val="2"/>
        <w:spacing w:line="340" w:lineRule="auto"/>
      </w:pPr>
    </w:p>
    <w:p w14:paraId="47451CE5">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8"/>
          <w:sz w:val="28"/>
          <w:szCs w:val="28"/>
        </w:rPr>
        <w:t>( 十 )</w:t>
      </w:r>
      <w:r>
        <w:rPr>
          <w:rFonts w:ascii="微软雅黑" w:hAnsi="微软雅黑" w:eastAsia="微软雅黑" w:cs="微软雅黑"/>
          <w:color w:val="648676"/>
          <w:spacing w:val="30"/>
          <w:sz w:val="28"/>
          <w:szCs w:val="28"/>
        </w:rPr>
        <w:t xml:space="preserve"> </w:t>
      </w:r>
      <w:r>
        <w:rPr>
          <w:rFonts w:ascii="微软雅黑" w:hAnsi="微软雅黑" w:eastAsia="微软雅黑" w:cs="微软雅黑"/>
          <w:color w:val="648676"/>
          <w:spacing w:val="8"/>
          <w:sz w:val="28"/>
          <w:szCs w:val="28"/>
        </w:rPr>
        <w:t>数据资产运营</w:t>
      </w:r>
    </w:p>
    <w:p w14:paraId="55ECF410">
      <w:pPr>
        <w:pStyle w:val="2"/>
        <w:spacing w:line="410" w:lineRule="auto"/>
      </w:pPr>
    </w:p>
    <w:p w14:paraId="27292D85">
      <w:pPr>
        <w:spacing w:before="95" w:line="289" w:lineRule="auto"/>
        <w:ind w:left="247" w:right="18"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数据资产运营是指通过对数据服务、数据流通情况进行</w:t>
      </w:r>
      <w:r>
        <w:rPr>
          <w:rFonts w:ascii="微软雅黑" w:hAnsi="微软雅黑" w:eastAsia="微软雅黑" w:cs="微软雅黑"/>
          <w:color w:val="231F20"/>
          <w:spacing w:val="2"/>
          <w:sz w:val="22"/>
          <w:szCs w:val="22"/>
        </w:rPr>
        <w:t>持续跟踪和分析，以数据价值管理为</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参考，从数据使用者的视角出发，全面评价数据应用效果，建立科学的正向反馈和闭环管理机制，</w:t>
      </w:r>
      <w:r>
        <w:rPr>
          <w:rFonts w:ascii="微软雅黑" w:hAnsi="微软雅黑" w:eastAsia="微软雅黑" w:cs="微软雅黑"/>
          <w:color w:val="231F20"/>
          <w:spacing w:val="12"/>
          <w:sz w:val="22"/>
          <w:szCs w:val="22"/>
        </w:rPr>
        <w:t xml:space="preserve"> </w:t>
      </w:r>
      <w:r>
        <w:rPr>
          <w:rFonts w:ascii="微软雅黑" w:hAnsi="微软雅黑" w:eastAsia="微软雅黑" w:cs="微软雅黑"/>
          <w:color w:val="231F20"/>
          <w:spacing w:val="-1"/>
          <w:sz w:val="22"/>
          <w:szCs w:val="22"/>
        </w:rPr>
        <w:t>促进数据资产的迭代和完善，不断适应和满足数据资产的应用和创新需求。</w:t>
      </w:r>
    </w:p>
    <w:p w14:paraId="41EC0829">
      <w:pPr>
        <w:spacing w:before="17" w:line="290" w:lineRule="auto"/>
        <w:ind w:left="247" w:firstLine="482"/>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使用统一平台提供数据服务，复用数据服务成果，提升数据服务效率。统一的数据服务平台</w:t>
      </w:r>
      <w:r>
        <w:rPr>
          <w:rFonts w:ascii="微软雅黑" w:hAnsi="微软雅黑" w:eastAsia="微软雅黑" w:cs="微软雅黑"/>
          <w:color w:val="231F20"/>
          <w:spacing w:val="2"/>
          <w:sz w:val="22"/>
          <w:szCs w:val="22"/>
        </w:rPr>
        <w:t xml:space="preserve"> </w:t>
      </w:r>
      <w:r>
        <w:rPr>
          <w:rFonts w:ascii="微软雅黑" w:hAnsi="微软雅黑" w:eastAsia="微软雅黑" w:cs="微软雅黑"/>
          <w:color w:val="231F20"/>
          <w:spacing w:val="4"/>
          <w:sz w:val="22"/>
          <w:szCs w:val="22"/>
        </w:rPr>
        <w:t>屏蔽了底层数据的技术细节，在底层数据平台升级或迁移过程中，降低对业务的影响，从</w:t>
      </w:r>
      <w:r>
        <w:rPr>
          <w:rFonts w:ascii="微软雅黑" w:hAnsi="微软雅黑" w:eastAsia="微软雅黑" w:cs="微软雅黑"/>
          <w:color w:val="231F20"/>
          <w:spacing w:val="3"/>
          <w:sz w:val="22"/>
          <w:szCs w:val="22"/>
        </w:rPr>
        <w:t>而提高</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数据链路构建和运行的效率。此外，缩短了数据使用者触达数据的时间，减少了数据在不</w:t>
      </w:r>
      <w:r>
        <w:rPr>
          <w:rFonts w:ascii="微软雅黑" w:hAnsi="微软雅黑" w:eastAsia="微软雅黑" w:cs="微软雅黑"/>
          <w:color w:val="231F20"/>
          <w:spacing w:val="3"/>
          <w:sz w:val="22"/>
          <w:szCs w:val="22"/>
        </w:rPr>
        <w:t>同角色</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传递的信息损耗。</w:t>
      </w:r>
    </w:p>
    <w:p w14:paraId="6D5FBD84">
      <w:pPr>
        <w:pStyle w:val="2"/>
        <w:spacing w:before="250" w:line="194" w:lineRule="auto"/>
        <w:ind w:left="4842"/>
        <w:rPr>
          <w:sz w:val="20"/>
          <w:szCs w:val="20"/>
        </w:rPr>
      </w:pPr>
      <w:r>
        <w:pict>
          <v:shape id="_x0000_s1191" o:spid="_x0000_s1191" o:spt="202" type="#_x0000_t202" style="position:absolute;left:0pt;margin-left:274.65pt;margin-top:16.15pt;height:15.95pt;width:199.4pt;z-index:251797504;mso-width-relative:page;mso-height-relative:page;" filled="f" stroked="f" coordsize="21600,21600">
            <v:path/>
            <v:fill on="f" focussize="0,0"/>
            <v:stroke on="f"/>
            <v:imagedata o:title=""/>
            <o:lock v:ext="edit" aspectratio="f"/>
            <v:textbox inset="0mm,0mm,0mm,0mm">
              <w:txbxContent>
                <w:p w14:paraId="4E305796">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2"/>
          <w:sz w:val="20"/>
          <w:szCs w:val="20"/>
        </w:rPr>
        <w:t>24</w:t>
      </w:r>
    </w:p>
    <w:p w14:paraId="48D52A86">
      <w:pPr>
        <w:spacing w:line="194" w:lineRule="auto"/>
        <w:rPr>
          <w:sz w:val="20"/>
          <w:szCs w:val="20"/>
        </w:rPr>
        <w:sectPr>
          <w:pgSz w:w="11906" w:h="16158"/>
          <w:pgMar w:top="400" w:right="1247" w:bottom="400" w:left="1004" w:header="0" w:footer="0" w:gutter="0"/>
          <w:cols w:space="720" w:num="1"/>
        </w:sectPr>
      </w:pPr>
    </w:p>
    <w:p w14:paraId="733D94D4">
      <w:pPr>
        <w:pStyle w:val="2"/>
        <w:spacing w:line="349" w:lineRule="auto"/>
      </w:pPr>
    </w:p>
    <w:p w14:paraId="23E86600">
      <w:pPr>
        <w:pStyle w:val="2"/>
        <w:spacing w:line="350" w:lineRule="auto"/>
      </w:pPr>
    </w:p>
    <w:p w14:paraId="23E66EFD">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-2</w:t>
      </w:r>
    </w:p>
    <w:p w14:paraId="10E07D41">
      <w:pPr>
        <w:spacing w:before="55" w:line="178" w:lineRule="auto"/>
        <w:ind w:left="416"/>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数据资产管理活动职能</w:t>
      </w:r>
    </w:p>
    <w:p w14:paraId="6986F92B">
      <w:pPr>
        <w:pStyle w:val="2"/>
        <w:spacing w:line="296" w:lineRule="auto"/>
      </w:pPr>
    </w:p>
    <w:p w14:paraId="41D350FD">
      <w:pPr>
        <w:pStyle w:val="2"/>
        <w:spacing w:line="296" w:lineRule="auto"/>
      </w:pPr>
    </w:p>
    <w:p w14:paraId="46E4D4F7">
      <w:pPr>
        <w:pStyle w:val="2"/>
        <w:spacing w:line="296" w:lineRule="auto"/>
      </w:pPr>
    </w:p>
    <w:p w14:paraId="6A7B04DB">
      <w:pPr>
        <w:spacing w:before="95" w:line="291" w:lineRule="auto"/>
        <w:ind w:left="247" w:firstLine="485"/>
        <w:jc w:val="both"/>
        <w:rPr>
          <w:rFonts w:ascii="微软雅黑" w:hAnsi="微软雅黑" w:eastAsia="微软雅黑" w:cs="微软雅黑"/>
          <w:sz w:val="22"/>
          <w:szCs w:val="22"/>
        </w:rPr>
      </w:pPr>
      <w:bookmarkStart w:id="38" w:name="bookmark39"/>
      <w:bookmarkEnd w:id="38"/>
      <w:r>
        <w:rPr>
          <w:rFonts w:ascii="微软雅黑" w:hAnsi="微软雅黑" w:eastAsia="微软雅黑" w:cs="微软雅黑"/>
          <w:color w:val="231F20"/>
          <w:spacing w:val="3"/>
          <w:sz w:val="22"/>
          <w:szCs w:val="22"/>
        </w:rPr>
        <w:t>丰富数据服务形式，满足内外部数据使用方需求，提升数据资产运营效果。中国农业银行通</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过搭建覆盖财会、资负、风险、零售、公司、机构等业务的指标库、标签库、智能模型库，为总</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分行及时提供包含绩效考核指标、营销客户画像、客户</w:t>
      </w:r>
      <w:r>
        <w:rPr>
          <w:rFonts w:ascii="微软雅黑" w:hAnsi="微软雅黑" w:eastAsia="微软雅黑" w:cs="微软雅黑"/>
          <w:color w:val="231F20"/>
          <w:spacing w:val="-2"/>
          <w:sz w:val="22"/>
          <w:szCs w:val="22"/>
        </w:rPr>
        <w:t xml:space="preserve"> </w:t>
      </w:r>
      <w:r>
        <w:rPr>
          <w:rFonts w:ascii="微软雅黑" w:hAnsi="微软雅黑" w:eastAsia="微软雅黑" w:cs="微软雅黑"/>
          <w:color w:val="231F20"/>
          <w:spacing w:val="-4"/>
          <w:sz w:val="22"/>
          <w:szCs w:val="22"/>
        </w:rPr>
        <w:t>AUM</w:t>
      </w:r>
      <w:r>
        <w:rPr>
          <w:rFonts w:ascii="微软雅黑" w:hAnsi="微软雅黑" w:eastAsia="微软雅黑" w:cs="微软雅黑"/>
          <w:color w:val="231F20"/>
          <w:spacing w:val="-16"/>
          <w:sz w:val="22"/>
          <w:szCs w:val="22"/>
        </w:rPr>
        <w:t xml:space="preserve"> </w:t>
      </w:r>
      <w:r>
        <w:rPr>
          <w:rFonts w:ascii="微软雅黑" w:hAnsi="微软雅黑" w:eastAsia="微软雅黑" w:cs="微软雅黑"/>
          <w:color w:val="231F20"/>
          <w:spacing w:val="-4"/>
          <w:sz w:val="22"/>
          <w:szCs w:val="22"/>
        </w:rPr>
        <w:t>等在内的数据服务，并提供数据探索、</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模型训练发布、报表设计发布、可视化结果发布等能力。</w:t>
      </w:r>
      <w:r>
        <w:rPr>
          <w:rFonts w:ascii="微软雅黑" w:hAnsi="微软雅黑" w:eastAsia="微软雅黑" w:cs="微软雅黑"/>
          <w:color w:val="231F20"/>
          <w:spacing w:val="-21"/>
          <w:sz w:val="22"/>
          <w:szCs w:val="22"/>
        </w:rPr>
        <w:t xml:space="preserve"> </w:t>
      </w:r>
      <w:r>
        <w:rPr>
          <w:rFonts w:ascii="微软雅黑" w:hAnsi="微软雅黑" w:eastAsia="微软雅黑" w:cs="微软雅黑"/>
          <w:color w:val="231F20"/>
          <w:spacing w:val="3"/>
          <w:sz w:val="22"/>
          <w:szCs w:val="22"/>
        </w:rPr>
        <w:t>中国移动结合</w:t>
      </w:r>
      <w:r>
        <w:rPr>
          <w:rFonts w:ascii="微软雅黑" w:hAnsi="微软雅黑" w:eastAsia="微软雅黑" w:cs="微软雅黑"/>
          <w:color w:val="231F20"/>
          <w:spacing w:val="2"/>
          <w:sz w:val="22"/>
          <w:szCs w:val="22"/>
        </w:rPr>
        <w:t>行业场景，提供基于位置</w:t>
      </w:r>
      <w:r>
        <w:rPr>
          <w:rFonts w:ascii="微软雅黑" w:hAnsi="微软雅黑" w:eastAsia="微软雅黑" w:cs="微软雅黑"/>
          <w:color w:val="231F20"/>
          <w:sz w:val="22"/>
          <w:szCs w:val="22"/>
        </w:rPr>
        <w:t xml:space="preserve">  数据的服务形式。目前，信息已汇聚全网位置数据，覆盖 9.5 亿移动用户，实现 50</w:t>
      </w:r>
      <w:r>
        <w:rPr>
          <w:rFonts w:ascii="微软雅黑" w:hAnsi="微软雅黑" w:eastAsia="微软雅黑" w:cs="微软雅黑"/>
          <w:color w:val="231F20"/>
          <w:spacing w:val="-1"/>
          <w:sz w:val="22"/>
          <w:szCs w:val="22"/>
        </w:rPr>
        <w:t xml:space="preserve"> 米定位精准及</w:t>
      </w:r>
      <w:r>
        <w:rPr>
          <w:rFonts w:ascii="微软雅黑" w:hAnsi="微软雅黑" w:eastAsia="微软雅黑" w:cs="微软雅黑"/>
          <w:color w:val="231F20"/>
          <w:sz w:val="22"/>
          <w:szCs w:val="22"/>
        </w:rPr>
        <w:t xml:space="preserve">  分钟级低延时响应，涵盖了精准定位、出行分析、驻留分析、位置画像等 32</w:t>
      </w:r>
      <w:r>
        <w:rPr>
          <w:rFonts w:ascii="微软雅黑" w:hAnsi="微软雅黑" w:eastAsia="微软雅黑" w:cs="微软雅黑"/>
          <w:color w:val="231F20"/>
          <w:spacing w:val="-1"/>
          <w:sz w:val="22"/>
          <w:szCs w:val="22"/>
        </w:rPr>
        <w:t xml:space="preserve"> 类数据能力，已在数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8"/>
          <w:sz w:val="22"/>
          <w:szCs w:val="22"/>
        </w:rPr>
        <w:t xml:space="preserve">据安全合规前提下，面向金融、旅游、零售、卫生、政务等行业，通过 </w:t>
      </w:r>
      <w:r>
        <w:rPr>
          <w:rFonts w:ascii="微软雅黑" w:hAnsi="微软雅黑" w:eastAsia="微软雅黑" w:cs="微软雅黑"/>
          <w:color w:val="231F20"/>
          <w:sz w:val="22"/>
          <w:szCs w:val="22"/>
        </w:rPr>
        <w:t>PaaS</w:t>
      </w:r>
      <w:r>
        <w:rPr>
          <w:rFonts w:ascii="微软雅黑" w:hAnsi="微软雅黑" w:eastAsia="微软雅黑" w:cs="微软雅黑"/>
          <w:color w:val="231F20"/>
          <w:spacing w:val="8"/>
          <w:sz w:val="22"/>
          <w:szCs w:val="22"/>
        </w:rPr>
        <w:t>、</w:t>
      </w:r>
      <w:r>
        <w:rPr>
          <w:rFonts w:ascii="微软雅黑" w:hAnsi="微软雅黑" w:eastAsia="微软雅黑" w:cs="微软雅黑"/>
          <w:color w:val="231F20"/>
          <w:sz w:val="22"/>
          <w:szCs w:val="22"/>
        </w:rPr>
        <w:t>DaaS</w:t>
      </w:r>
      <w:r>
        <w:rPr>
          <w:rFonts w:ascii="微软雅黑" w:hAnsi="微软雅黑" w:eastAsia="微软雅黑" w:cs="微软雅黑"/>
          <w:color w:val="231F20"/>
          <w:spacing w:val="8"/>
          <w:sz w:val="22"/>
          <w:szCs w:val="22"/>
        </w:rPr>
        <w:t xml:space="preserve"> 等方式提</w:t>
      </w:r>
      <w:r>
        <w:rPr>
          <w:rFonts w:ascii="微软雅黑" w:hAnsi="微软雅黑" w:eastAsia="微软雅黑" w:cs="微软雅黑"/>
          <w:color w:val="231F20"/>
          <w:spacing w:val="4"/>
          <w:sz w:val="22"/>
          <w:szCs w:val="22"/>
        </w:rPr>
        <w:t xml:space="preserve">  </w:t>
      </w:r>
      <w:r>
        <w:rPr>
          <w:rFonts w:ascii="微软雅黑" w:hAnsi="微软雅黑" w:eastAsia="微软雅黑" w:cs="微软雅黑"/>
          <w:color w:val="231F20"/>
          <w:spacing w:val="-1"/>
          <w:sz w:val="22"/>
          <w:szCs w:val="22"/>
        </w:rPr>
        <w:t>供数据服务，包括流动监测分析、网点选址、应急管理、疫情防控等类型。</w:t>
      </w:r>
    </w:p>
    <w:p w14:paraId="71974C2B">
      <w:pPr>
        <w:spacing w:before="10" w:line="291" w:lineRule="auto"/>
        <w:ind w:left="246" w:right="16" w:firstLine="483"/>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扩宽数据用户，扩大数据场景，构建数据生态是开展数据资产运营有效方式。例如，招商银</w:t>
      </w:r>
      <w:r>
        <w:rPr>
          <w:rFonts w:ascii="微软雅黑" w:hAnsi="微软雅黑" w:eastAsia="微软雅黑" w:cs="微软雅黑"/>
          <w:color w:val="231F20"/>
          <w:spacing w:val="1"/>
          <w:sz w:val="22"/>
          <w:szCs w:val="22"/>
        </w:rPr>
        <w:t xml:space="preserve">  行转变传统的卡片模式，以 </w:t>
      </w:r>
      <w:r>
        <w:rPr>
          <w:rFonts w:ascii="微软雅黑" w:hAnsi="微软雅黑" w:eastAsia="微软雅黑" w:cs="微软雅黑"/>
          <w:color w:val="231F20"/>
          <w:sz w:val="22"/>
          <w:szCs w:val="22"/>
        </w:rPr>
        <w:t>App</w:t>
      </w:r>
      <w:r>
        <w:rPr>
          <w:rFonts w:ascii="微软雅黑" w:hAnsi="微软雅黑" w:eastAsia="微软雅黑" w:cs="微软雅黑"/>
          <w:color w:val="231F20"/>
          <w:spacing w:val="1"/>
          <w:sz w:val="22"/>
          <w:szCs w:val="22"/>
        </w:rPr>
        <w:t xml:space="preserve"> 视角上线“用</w:t>
      </w:r>
      <w:r>
        <w:rPr>
          <w:rFonts w:ascii="微软雅黑" w:hAnsi="微软雅黑" w:eastAsia="微软雅黑" w:cs="微软雅黑"/>
          <w:color w:val="231F20"/>
          <w:sz w:val="22"/>
          <w:szCs w:val="22"/>
        </w:rPr>
        <w:t>户成长体系”，</w:t>
      </w:r>
      <w:r>
        <w:rPr>
          <w:rFonts w:ascii="微软雅黑" w:hAnsi="微软雅黑" w:eastAsia="微软雅黑" w:cs="微软雅黑"/>
          <w:color w:val="231F20"/>
          <w:spacing w:val="-45"/>
          <w:sz w:val="22"/>
          <w:szCs w:val="22"/>
        </w:rPr>
        <w:t xml:space="preserve"> </w:t>
      </w:r>
      <w:r>
        <w:rPr>
          <w:rFonts w:ascii="微软雅黑" w:hAnsi="微软雅黑" w:eastAsia="微软雅黑" w:cs="微软雅黑"/>
          <w:color w:val="231F20"/>
          <w:sz w:val="22"/>
          <w:szCs w:val="22"/>
        </w:rPr>
        <w:t xml:space="preserve">引入各类满足客户需求的金融与泛  </w:t>
      </w:r>
      <w:r>
        <w:rPr>
          <w:rFonts w:ascii="微软雅黑" w:hAnsi="微软雅黑" w:eastAsia="微软雅黑" w:cs="微软雅黑"/>
          <w:color w:val="231F20"/>
          <w:spacing w:val="-8"/>
          <w:sz w:val="22"/>
          <w:szCs w:val="22"/>
        </w:rPr>
        <w:t>金融权益，打通理财、信贷和信用卡等系统，</w:t>
      </w:r>
      <w:r>
        <w:rPr>
          <w:rFonts w:ascii="微软雅黑" w:hAnsi="微软雅黑" w:eastAsia="微软雅黑" w:cs="微软雅黑"/>
          <w:color w:val="231F20"/>
          <w:spacing w:val="25"/>
          <w:sz w:val="22"/>
          <w:szCs w:val="22"/>
        </w:rPr>
        <w:t xml:space="preserve"> </w:t>
      </w:r>
      <w:r>
        <w:rPr>
          <w:rFonts w:ascii="微软雅黑" w:hAnsi="微软雅黑" w:eastAsia="微软雅黑" w:cs="微软雅黑"/>
          <w:color w:val="231F20"/>
          <w:spacing w:val="-8"/>
          <w:sz w:val="22"/>
          <w:szCs w:val="22"/>
        </w:rPr>
        <w:t>构建“网点 +App+ 场景生态”用户体验，并建立“北</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极星”指标月活跃用户 (</w:t>
      </w:r>
      <w:r>
        <w:rPr>
          <w:rFonts w:ascii="微软雅黑" w:hAnsi="微软雅黑" w:eastAsia="微软雅黑" w:cs="微软雅黑"/>
          <w:color w:val="231F20"/>
          <w:sz w:val="22"/>
          <w:szCs w:val="22"/>
        </w:rPr>
        <w:t>MAU</w:t>
      </w:r>
      <w:r>
        <w:rPr>
          <w:rFonts w:ascii="微软雅黑" w:hAnsi="微软雅黑" w:eastAsia="微软雅黑" w:cs="微软雅黑"/>
          <w:color w:val="231F20"/>
          <w:spacing w:val="4"/>
          <w:sz w:val="22"/>
          <w:szCs w:val="22"/>
        </w:rPr>
        <w:t>) 进行持续监测。目</w:t>
      </w:r>
      <w:r>
        <w:rPr>
          <w:rFonts w:ascii="微软雅黑" w:hAnsi="微软雅黑" w:eastAsia="微软雅黑" w:cs="微软雅黑"/>
          <w:color w:val="231F20"/>
          <w:spacing w:val="3"/>
          <w:sz w:val="22"/>
          <w:szCs w:val="22"/>
        </w:rPr>
        <w:t>前，</w:t>
      </w:r>
      <w:r>
        <w:rPr>
          <w:rFonts w:ascii="微软雅黑" w:hAnsi="微软雅黑" w:eastAsia="微软雅黑" w:cs="微软雅黑"/>
          <w:color w:val="231F20"/>
          <w:sz w:val="22"/>
          <w:szCs w:val="22"/>
        </w:rPr>
        <w:t>App</w:t>
      </w:r>
      <w:r>
        <w:rPr>
          <w:rFonts w:ascii="微软雅黑" w:hAnsi="微软雅黑" w:eastAsia="微软雅黑" w:cs="微软雅黑"/>
          <w:color w:val="231F20"/>
          <w:spacing w:val="3"/>
          <w:sz w:val="22"/>
          <w:szCs w:val="22"/>
        </w:rPr>
        <w:t xml:space="preserve"> 的 </w:t>
      </w:r>
      <w:r>
        <w:rPr>
          <w:rFonts w:ascii="微软雅黑" w:hAnsi="微软雅黑" w:eastAsia="微软雅黑" w:cs="微软雅黑"/>
          <w:color w:val="231F20"/>
          <w:sz w:val="22"/>
          <w:szCs w:val="22"/>
        </w:rPr>
        <w:t>MAU</w:t>
      </w:r>
      <w:r>
        <w:rPr>
          <w:rFonts w:ascii="微软雅黑" w:hAnsi="微软雅黑" w:eastAsia="微软雅黑" w:cs="微软雅黑"/>
          <w:color w:val="231F20"/>
          <w:spacing w:val="3"/>
          <w:sz w:val="22"/>
          <w:szCs w:val="22"/>
        </w:rPr>
        <w:t xml:space="preserve"> 达 1.07 亿户，23 个场景的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8"/>
          <w:sz w:val="22"/>
          <w:szCs w:val="22"/>
        </w:rPr>
        <w:t>MAU</w:t>
      </w:r>
      <w:r>
        <w:rPr>
          <w:rFonts w:ascii="微软雅黑" w:hAnsi="微软雅黑" w:eastAsia="微软雅黑" w:cs="微软雅黑"/>
          <w:color w:val="231F20"/>
          <w:spacing w:val="-24"/>
          <w:sz w:val="22"/>
          <w:szCs w:val="22"/>
        </w:rPr>
        <w:t xml:space="preserve"> </w:t>
      </w:r>
      <w:r>
        <w:rPr>
          <w:rFonts w:ascii="微软雅黑" w:hAnsi="微软雅黑" w:eastAsia="微软雅黑" w:cs="微软雅黑"/>
          <w:color w:val="231F20"/>
          <w:spacing w:val="-8"/>
          <w:sz w:val="22"/>
          <w:szCs w:val="22"/>
        </w:rPr>
        <w:t>超过千万，两大场景的交易额近</w:t>
      </w:r>
      <w:r>
        <w:rPr>
          <w:rFonts w:ascii="微软雅黑" w:hAnsi="微软雅黑" w:eastAsia="微软雅黑" w:cs="微软雅黑"/>
          <w:color w:val="231F20"/>
          <w:spacing w:val="-21"/>
          <w:sz w:val="22"/>
          <w:szCs w:val="22"/>
        </w:rPr>
        <w:t xml:space="preserve"> </w:t>
      </w:r>
      <w:r>
        <w:rPr>
          <w:rFonts w:ascii="微软雅黑" w:hAnsi="微软雅黑" w:eastAsia="微软雅黑" w:cs="微软雅黑"/>
          <w:color w:val="231F20"/>
          <w:spacing w:val="-8"/>
          <w:sz w:val="22"/>
          <w:szCs w:val="22"/>
        </w:rPr>
        <w:t>100</w:t>
      </w:r>
      <w:r>
        <w:rPr>
          <w:rFonts w:ascii="微软雅黑" w:hAnsi="微软雅黑" w:eastAsia="微软雅黑" w:cs="微软雅黑"/>
          <w:color w:val="231F20"/>
          <w:spacing w:val="-23"/>
          <w:sz w:val="22"/>
          <w:szCs w:val="22"/>
        </w:rPr>
        <w:t xml:space="preserve"> </w:t>
      </w:r>
      <w:r>
        <w:rPr>
          <w:rFonts w:ascii="微软雅黑" w:hAnsi="微软雅黑" w:eastAsia="微软雅黑" w:cs="微软雅黑"/>
          <w:color w:val="231F20"/>
          <w:spacing w:val="-8"/>
          <w:sz w:val="22"/>
          <w:szCs w:val="22"/>
        </w:rPr>
        <w:t>亿</w:t>
      </w:r>
      <w:r>
        <w:rPr>
          <w:rFonts w:ascii="微软雅黑" w:hAnsi="微软雅黑" w:eastAsia="微软雅黑" w:cs="微软雅黑"/>
          <w:color w:val="231F20"/>
          <w:spacing w:val="-9"/>
          <w:sz w:val="22"/>
          <w:szCs w:val="22"/>
        </w:rPr>
        <w:t>元</w:t>
      </w:r>
      <w:r>
        <w:rPr>
          <w:rFonts w:ascii="微软雅黑" w:hAnsi="微软雅黑" w:eastAsia="微软雅黑" w:cs="微软雅黑"/>
          <w:color w:val="231F20"/>
          <w:spacing w:val="20"/>
          <w:sz w:val="22"/>
          <w:szCs w:val="22"/>
        </w:rPr>
        <w:t xml:space="preserve"> </w:t>
      </w:r>
      <w:r>
        <w:rPr>
          <w:rFonts w:ascii="微软雅黑" w:hAnsi="微软雅黑" w:eastAsia="微软雅黑" w:cs="微软雅黑"/>
          <w:color w:val="231F20"/>
          <w:spacing w:val="-9"/>
          <w:sz w:val="22"/>
          <w:szCs w:val="22"/>
        </w:rPr>
        <w:t>。浦发银行于</w:t>
      </w:r>
      <w:r>
        <w:rPr>
          <w:rFonts w:ascii="微软雅黑" w:hAnsi="微软雅黑" w:eastAsia="微软雅黑" w:cs="微软雅黑"/>
          <w:color w:val="231F20"/>
          <w:spacing w:val="-21"/>
          <w:sz w:val="22"/>
          <w:szCs w:val="22"/>
        </w:rPr>
        <w:t xml:space="preserve"> </w:t>
      </w:r>
      <w:r>
        <w:rPr>
          <w:rFonts w:ascii="微软雅黑" w:hAnsi="微软雅黑" w:eastAsia="微软雅黑" w:cs="微软雅黑"/>
          <w:color w:val="231F20"/>
          <w:spacing w:val="-9"/>
          <w:sz w:val="22"/>
          <w:szCs w:val="22"/>
        </w:rPr>
        <w:t>2018</w:t>
      </w:r>
      <w:r>
        <w:rPr>
          <w:rFonts w:ascii="微软雅黑" w:hAnsi="微软雅黑" w:eastAsia="微软雅黑" w:cs="微软雅黑"/>
          <w:color w:val="231F20"/>
          <w:spacing w:val="-22"/>
          <w:sz w:val="22"/>
          <w:szCs w:val="22"/>
        </w:rPr>
        <w:t xml:space="preserve"> </w:t>
      </w:r>
      <w:r>
        <w:rPr>
          <w:rFonts w:ascii="微软雅黑" w:hAnsi="微软雅黑" w:eastAsia="微软雅黑" w:cs="微软雅黑"/>
          <w:color w:val="231F20"/>
          <w:spacing w:val="-9"/>
          <w:sz w:val="22"/>
          <w:szCs w:val="22"/>
        </w:rPr>
        <w:t>年发行成立“科技合作共同体”，</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并于 2020 年 9 月，联合十余家金融机构共同成立“开放金融联盟”，通过数据与金融</w:t>
      </w:r>
      <w:r>
        <w:rPr>
          <w:rFonts w:ascii="微软雅黑" w:hAnsi="微软雅黑" w:eastAsia="微软雅黑" w:cs="微软雅黑"/>
          <w:color w:val="231F20"/>
          <w:spacing w:val="2"/>
          <w:sz w:val="22"/>
          <w:szCs w:val="22"/>
        </w:rPr>
        <w:t>场景的深</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度融合，不断丰富浦发银行的数据生态整体布局，重塑运营管理高效的数字化银行，建立以</w:t>
      </w:r>
      <w:r>
        <w:rPr>
          <w:rFonts w:ascii="微软雅黑" w:hAnsi="微软雅黑" w:eastAsia="微软雅黑" w:cs="微软雅黑"/>
          <w:color w:val="231F20"/>
          <w:spacing w:val="3"/>
          <w:sz w:val="22"/>
          <w:szCs w:val="22"/>
        </w:rPr>
        <w:t>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为纽带的金融生态圈。</w:t>
      </w:r>
    </w:p>
    <w:p w14:paraId="24B0B3F3">
      <w:pPr>
        <w:spacing w:before="27" w:line="291" w:lineRule="auto"/>
        <w:ind w:left="247" w:right="84"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政府采取公共授权数据运营的方式，由市场主体作为数据运营管理方或数据交易中介，</w:t>
      </w:r>
      <w:r>
        <w:rPr>
          <w:rFonts w:ascii="微软雅黑" w:hAnsi="微软雅黑" w:eastAsia="微软雅黑" w:cs="微软雅黑"/>
          <w:color w:val="231F20"/>
          <w:spacing w:val="2"/>
          <w:sz w:val="22"/>
          <w:szCs w:val="22"/>
        </w:rPr>
        <w:t>缓解</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政府部门公共数据运营压力，提升公共数据运营效率。</w:t>
      </w:r>
      <w:r>
        <w:rPr>
          <w:rFonts w:ascii="微软雅黑" w:hAnsi="微软雅黑" w:eastAsia="微软雅黑" w:cs="微软雅黑"/>
          <w:color w:val="231F20"/>
          <w:spacing w:val="29"/>
          <w:w w:val="101"/>
          <w:sz w:val="22"/>
          <w:szCs w:val="22"/>
        </w:rPr>
        <w:t xml:space="preserve"> </w:t>
      </w:r>
      <w:r>
        <w:rPr>
          <w:rFonts w:ascii="微软雅黑" w:hAnsi="微软雅黑" w:eastAsia="微软雅黑" w:cs="微软雅黑"/>
          <w:color w:val="231F20"/>
          <w:spacing w:val="2"/>
          <w:sz w:val="22"/>
          <w:szCs w:val="22"/>
        </w:rPr>
        <w:t>“十四五”</w:t>
      </w:r>
      <w:r>
        <w:rPr>
          <w:rFonts w:ascii="微软雅黑" w:hAnsi="微软雅黑" w:eastAsia="微软雅黑" w:cs="微软雅黑"/>
          <w:color w:val="231F20"/>
          <w:spacing w:val="1"/>
          <w:sz w:val="22"/>
          <w:szCs w:val="22"/>
        </w:rPr>
        <w:t>规划对政府数据资源的流通提</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出了新的要求，指出要“开展政府数据授权运营试点，鼓励第三方深化对</w:t>
      </w:r>
      <w:r>
        <w:rPr>
          <w:rFonts w:ascii="微软雅黑" w:hAnsi="微软雅黑" w:eastAsia="微软雅黑" w:cs="微软雅黑"/>
          <w:color w:val="231F20"/>
          <w:spacing w:val="-2"/>
          <w:sz w:val="22"/>
          <w:szCs w:val="22"/>
        </w:rPr>
        <w:t>公共数据的挖掘利用”，</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即通过一定方式授权给特定主体进行市场化运营，进</w:t>
      </w:r>
      <w:r>
        <w:rPr>
          <w:rFonts w:ascii="微软雅黑" w:hAnsi="微软雅黑" w:eastAsia="微软雅黑" w:cs="微软雅黑"/>
          <w:color w:val="231F20"/>
          <w:spacing w:val="3"/>
          <w:sz w:val="22"/>
          <w:szCs w:val="22"/>
        </w:rPr>
        <w:t>一步带动市场活力。《上海市数据条例》创</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设公共数据授权运营机制，参照公共资源特许经营的模式，由市政府办公厅采</w:t>
      </w:r>
      <w:r>
        <w:rPr>
          <w:rFonts w:ascii="微软雅黑" w:hAnsi="微软雅黑" w:eastAsia="微软雅黑" w:cs="微软雅黑"/>
          <w:color w:val="231F20"/>
          <w:spacing w:val="3"/>
          <w:sz w:val="22"/>
          <w:szCs w:val="22"/>
        </w:rPr>
        <w:t>用竞争方式确定被</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授权运营主体，授权其在一定期限和范围内以市场化方式运营公共数据，提供数据产品、</w:t>
      </w:r>
      <w:r>
        <w:rPr>
          <w:rFonts w:ascii="微软雅黑" w:hAnsi="微软雅黑" w:eastAsia="微软雅黑" w:cs="微软雅黑"/>
          <w:color w:val="231F20"/>
          <w:spacing w:val="3"/>
          <w:sz w:val="22"/>
          <w:szCs w:val="22"/>
        </w:rPr>
        <w:t>数据服</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务并获得收益。</w:t>
      </w:r>
    </w:p>
    <w:p w14:paraId="61E4B060">
      <w:pPr>
        <w:pStyle w:val="2"/>
        <w:spacing w:line="252" w:lineRule="auto"/>
      </w:pPr>
    </w:p>
    <w:p w14:paraId="086395E3">
      <w:pPr>
        <w:pStyle w:val="2"/>
        <w:spacing w:line="252" w:lineRule="auto"/>
      </w:pPr>
    </w:p>
    <w:p w14:paraId="32A4814D">
      <w:pPr>
        <w:pStyle w:val="2"/>
        <w:spacing w:line="252" w:lineRule="auto"/>
      </w:pPr>
    </w:p>
    <w:p w14:paraId="618A8929">
      <w:pPr>
        <w:pStyle w:val="2"/>
        <w:spacing w:line="252" w:lineRule="auto"/>
      </w:pPr>
    </w:p>
    <w:p w14:paraId="5A94F3C2">
      <w:pPr>
        <w:pStyle w:val="2"/>
        <w:spacing w:line="252" w:lineRule="auto"/>
      </w:pPr>
    </w:p>
    <w:p w14:paraId="6EA24E0E">
      <w:pPr>
        <w:pStyle w:val="2"/>
        <w:spacing w:line="252" w:lineRule="auto"/>
      </w:pPr>
    </w:p>
    <w:p w14:paraId="45657899">
      <w:pPr>
        <w:pStyle w:val="2"/>
        <w:spacing w:line="253" w:lineRule="auto"/>
      </w:pPr>
    </w:p>
    <w:p w14:paraId="065BBF02">
      <w:pPr>
        <w:pStyle w:val="2"/>
        <w:spacing w:line="253" w:lineRule="auto"/>
      </w:pPr>
    </w:p>
    <w:p w14:paraId="01DCFA77">
      <w:pPr>
        <w:pStyle w:val="2"/>
        <w:spacing w:before="58" w:line="194" w:lineRule="auto"/>
        <w:ind w:left="4842"/>
        <w:rPr>
          <w:sz w:val="20"/>
          <w:szCs w:val="20"/>
        </w:rPr>
      </w:pPr>
      <w:r>
        <w:pict>
          <v:shape id="_x0000_s1192" o:spid="_x0000_s1192" o:spt="202" type="#_x0000_t202" style="position:absolute;left:0pt;margin-left:274.65pt;margin-top:6.6pt;height:15.95pt;width:199.4pt;z-index:251799552;mso-width-relative:page;mso-height-relative:page;" filled="f" stroked="f" coordsize="21600,21600">
            <v:path/>
            <v:fill on="f" focussize="0,0"/>
            <v:stroke on="f"/>
            <v:imagedata o:title=""/>
            <o:lock v:ext="edit" aspectratio="f"/>
            <v:textbox inset="0mm,0mm,0mm,0mm">
              <w:txbxContent>
                <w:p w14:paraId="5BF44050">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2"/>
          <w:sz w:val="20"/>
          <w:szCs w:val="20"/>
        </w:rPr>
        <w:t>25</w:t>
      </w:r>
    </w:p>
    <w:p w14:paraId="2E1F0338">
      <w:pPr>
        <w:spacing w:line="194" w:lineRule="auto"/>
        <w:rPr>
          <w:sz w:val="20"/>
          <w:szCs w:val="20"/>
        </w:rPr>
        <w:sectPr>
          <w:pgSz w:w="11906" w:h="16158"/>
          <w:pgMar w:top="400" w:right="1162" w:bottom="400" w:left="1004" w:header="0" w:footer="0" w:gutter="0"/>
          <w:cols w:space="720" w:num="1"/>
        </w:sectPr>
      </w:pPr>
    </w:p>
    <w:p w14:paraId="0EABE4E9">
      <w:pPr>
        <w:pStyle w:val="2"/>
        <w:spacing w:line="349" w:lineRule="auto"/>
      </w:pPr>
      <w:r>
        <w:drawing>
          <wp:anchor distT="0" distB="0" distL="0" distR="0" simplePos="0" relativeHeight="251801600" behindDoc="0" locked="0" layoutInCell="0" allowOverlap="1">
            <wp:simplePos x="0" y="0"/>
            <wp:positionH relativeFrom="page">
              <wp:posOffset>2379980</wp:posOffset>
            </wp:positionH>
            <wp:positionV relativeFrom="page">
              <wp:posOffset>6695440</wp:posOffset>
            </wp:positionV>
            <wp:extent cx="704850" cy="82550"/>
            <wp:effectExtent l="0" t="0" r="0" b="0"/>
            <wp:wrapNone/>
            <wp:docPr id="156" name="IM 156"/>
            <wp:cNvGraphicFramePr/>
            <a:graphic xmlns:a="http://schemas.openxmlformats.org/drawingml/2006/main">
              <a:graphicData uri="http://schemas.openxmlformats.org/drawingml/2006/picture">
                <pic:pic xmlns:pic="http://schemas.openxmlformats.org/drawingml/2006/picture">
                  <pic:nvPicPr>
                    <pic:cNvPr id="156" name="IM 156"/>
                    <pic:cNvPicPr/>
                  </pic:nvPicPr>
                  <pic:blipFill>
                    <a:blip r:embed="rId105"/>
                    <a:stretch>
                      <a:fillRect/>
                    </a:stretch>
                  </pic:blipFill>
                  <pic:spPr>
                    <a:xfrm>
                      <a:off x="0" y="0"/>
                      <a:ext cx="705065" cy="82499"/>
                    </a:xfrm>
                    <a:prstGeom prst="rect">
                      <a:avLst/>
                    </a:prstGeom>
                  </pic:spPr>
                </pic:pic>
              </a:graphicData>
            </a:graphic>
          </wp:anchor>
        </w:drawing>
      </w:r>
    </w:p>
    <w:p w14:paraId="34522F40">
      <w:pPr>
        <w:pStyle w:val="2"/>
        <w:spacing w:line="350" w:lineRule="auto"/>
      </w:pPr>
    </w:p>
    <w:p w14:paraId="5A237C80">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-3</w:t>
      </w:r>
    </w:p>
    <w:p w14:paraId="25067EE6">
      <w:pPr>
        <w:spacing w:before="55" w:line="178" w:lineRule="auto"/>
        <w:ind w:left="411"/>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数据资产管理保障措施</w:t>
      </w:r>
    </w:p>
    <w:p w14:paraId="748A52EF">
      <w:pPr>
        <w:pStyle w:val="2"/>
        <w:spacing w:line="255" w:lineRule="auto"/>
      </w:pPr>
    </w:p>
    <w:p w14:paraId="1D2B964D">
      <w:pPr>
        <w:pStyle w:val="2"/>
        <w:spacing w:line="255" w:lineRule="auto"/>
      </w:pPr>
    </w:p>
    <w:p w14:paraId="63028AF9">
      <w:pPr>
        <w:pStyle w:val="2"/>
        <w:spacing w:line="255" w:lineRule="auto"/>
      </w:pPr>
    </w:p>
    <w:p w14:paraId="5DD1D357">
      <w:pPr>
        <w:spacing w:before="223" w:line="179" w:lineRule="auto"/>
        <w:ind w:left="260"/>
        <w:rPr>
          <w:rFonts w:ascii="微软雅黑" w:hAnsi="微软雅黑" w:eastAsia="微软雅黑" w:cs="微软雅黑"/>
          <w:sz w:val="52"/>
          <w:szCs w:val="52"/>
        </w:rPr>
      </w:pPr>
      <w:r>
        <w:rPr>
          <w:rFonts w:ascii="微软雅黑" w:hAnsi="微软雅黑" w:eastAsia="微软雅黑" w:cs="微软雅黑"/>
          <w:color w:val="648676"/>
          <w:spacing w:val="-2"/>
          <w:sz w:val="52"/>
          <w:szCs w:val="52"/>
        </w:rPr>
        <w:t>三、数据资产管理保障措施</w:t>
      </w:r>
    </w:p>
    <w:p w14:paraId="05F4E556">
      <w:pPr>
        <w:pStyle w:val="2"/>
        <w:spacing w:line="264" w:lineRule="auto"/>
      </w:pPr>
    </w:p>
    <w:p w14:paraId="1776121B">
      <w:pPr>
        <w:pStyle w:val="2"/>
        <w:spacing w:line="265" w:lineRule="auto"/>
      </w:pPr>
    </w:p>
    <w:p w14:paraId="72735DD8">
      <w:pPr>
        <w:pStyle w:val="2"/>
        <w:spacing w:line="265" w:lineRule="auto"/>
      </w:pPr>
    </w:p>
    <w:p w14:paraId="1B909C5A">
      <w:pPr>
        <w:pStyle w:val="2"/>
        <w:spacing w:line="265" w:lineRule="auto"/>
      </w:pPr>
    </w:p>
    <w:p w14:paraId="6A4A0C87">
      <w:pPr>
        <w:spacing w:before="94" w:line="289" w:lineRule="auto"/>
        <w:ind w:left="247" w:firstLine="482"/>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数据资产管理是一项长期性的、体系化的工作，为保证各项数据资产管理活</w:t>
      </w:r>
      <w:r>
        <w:rPr>
          <w:rFonts w:ascii="微软雅黑" w:hAnsi="微软雅黑" w:eastAsia="微软雅黑" w:cs="微软雅黑"/>
          <w:color w:val="231F20"/>
          <w:spacing w:val="2"/>
          <w:sz w:val="22"/>
          <w:szCs w:val="22"/>
        </w:rPr>
        <w:t>动有效开展，统</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筹推动数据资产管理工作顺利进行，战略规划、组织架构、制度体系、平台工具、长效机制等保</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障措施变得极为重要。</w:t>
      </w:r>
    </w:p>
    <w:p w14:paraId="142D5B69">
      <w:pPr>
        <w:pStyle w:val="2"/>
        <w:spacing w:line="351" w:lineRule="auto"/>
      </w:pPr>
    </w:p>
    <w:p w14:paraId="11C8B7F6">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5"/>
          <w:sz w:val="28"/>
          <w:szCs w:val="28"/>
        </w:rPr>
        <w:t>( 一</w:t>
      </w:r>
      <w:r>
        <w:rPr>
          <w:rFonts w:ascii="微软雅黑" w:hAnsi="微软雅黑" w:eastAsia="微软雅黑" w:cs="微软雅黑"/>
          <w:color w:val="648676"/>
          <w:spacing w:val="12"/>
          <w:sz w:val="28"/>
          <w:szCs w:val="28"/>
        </w:rPr>
        <w:t xml:space="preserve"> </w:t>
      </w:r>
      <w:r>
        <w:rPr>
          <w:rFonts w:ascii="微软雅黑" w:hAnsi="微软雅黑" w:eastAsia="微软雅黑" w:cs="微软雅黑"/>
          <w:color w:val="648676"/>
          <w:spacing w:val="5"/>
          <w:sz w:val="28"/>
          <w:szCs w:val="28"/>
        </w:rPr>
        <w:t>)</w:t>
      </w:r>
      <w:r>
        <w:rPr>
          <w:rFonts w:ascii="微软雅黑" w:hAnsi="微软雅黑" w:eastAsia="微软雅黑" w:cs="微软雅黑"/>
          <w:color w:val="648676"/>
          <w:spacing w:val="38"/>
          <w:sz w:val="28"/>
          <w:szCs w:val="28"/>
        </w:rPr>
        <w:t xml:space="preserve"> </w:t>
      </w:r>
      <w:r>
        <w:rPr>
          <w:rFonts w:ascii="微软雅黑" w:hAnsi="微软雅黑" w:eastAsia="微软雅黑" w:cs="微软雅黑"/>
          <w:color w:val="648676"/>
          <w:spacing w:val="5"/>
          <w:sz w:val="28"/>
          <w:szCs w:val="28"/>
        </w:rPr>
        <w:t>战略管理</w:t>
      </w:r>
    </w:p>
    <w:p w14:paraId="5CE899B2">
      <w:pPr>
        <w:pStyle w:val="2"/>
        <w:spacing w:line="407" w:lineRule="auto"/>
      </w:pPr>
    </w:p>
    <w:p w14:paraId="0D3E45A8">
      <w:pPr>
        <w:spacing w:before="94" w:line="291" w:lineRule="auto"/>
        <w:ind w:left="247" w:right="2" w:firstLine="489"/>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战略是组织长期发展规划及资源配置的一系列行动，对于组织持续稳定发展具有</w:t>
      </w:r>
      <w:r>
        <w:rPr>
          <w:rFonts w:ascii="微软雅黑" w:hAnsi="微软雅黑" w:eastAsia="微软雅黑" w:cs="微软雅黑"/>
          <w:color w:val="231F20"/>
          <w:spacing w:val="2"/>
          <w:sz w:val="22"/>
          <w:szCs w:val="22"/>
        </w:rPr>
        <w:t>重要的指导</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意义。在数字时代下，数据战略已成为组织开展精益数据资产管理的基础，是数据资产管</w:t>
      </w:r>
      <w:r>
        <w:rPr>
          <w:rFonts w:ascii="微软雅黑" w:hAnsi="微软雅黑" w:eastAsia="微软雅黑" w:cs="微软雅黑"/>
          <w:color w:val="231F20"/>
          <w:spacing w:val="3"/>
          <w:sz w:val="22"/>
          <w:szCs w:val="22"/>
        </w:rPr>
        <w:t>理工作</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长期高效开展的“指南针”。战略管理是指通过对数据战略进行规划、执</w:t>
      </w:r>
      <w:r>
        <w:rPr>
          <w:rFonts w:ascii="微软雅黑" w:hAnsi="微软雅黑" w:eastAsia="微软雅黑" w:cs="微软雅黑"/>
          <w:color w:val="231F20"/>
          <w:spacing w:val="3"/>
          <w:sz w:val="22"/>
          <w:szCs w:val="22"/>
        </w:rPr>
        <w:t>行、评估，确立数据资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产管理的中长期目标和管理活动优先级，明确需要的资源投入总量和资源分配机</w:t>
      </w:r>
      <w:r>
        <w:rPr>
          <w:rFonts w:ascii="微软雅黑" w:hAnsi="微软雅黑" w:eastAsia="微软雅黑" w:cs="微软雅黑"/>
          <w:color w:val="231F20"/>
          <w:spacing w:val="3"/>
          <w:sz w:val="22"/>
          <w:szCs w:val="22"/>
        </w:rPr>
        <w:t>制，并使数据战</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略始终契合组织的业务战略。</w:t>
      </w:r>
    </w:p>
    <w:p w14:paraId="491271FF">
      <w:pPr>
        <w:spacing w:before="39"/>
      </w:pPr>
    </w:p>
    <w:p w14:paraId="14A09F06">
      <w:pPr>
        <w:spacing w:before="39"/>
      </w:pPr>
    </w:p>
    <w:p w14:paraId="0D0DEA09">
      <w:pPr>
        <w:sectPr>
          <w:pgSz w:w="11906" w:h="16158"/>
          <w:pgMar w:top="400" w:right="1244" w:bottom="400" w:left="1004" w:header="0" w:footer="0" w:gutter="0"/>
          <w:cols w:equalWidth="0" w:num="1">
            <w:col w:w="9657"/>
          </w:cols>
        </w:sectPr>
      </w:pPr>
    </w:p>
    <w:tbl>
      <w:tblPr>
        <w:tblStyle w:val="5"/>
        <w:tblW w:w="899" w:type="dxa"/>
        <w:tblInd w:w="1278" w:type="dxa"/>
        <w:tblBorders>
          <w:top w:val="single" w:color="787878" w:sz="6" w:space="0"/>
          <w:left w:val="single" w:color="787878" w:sz="6" w:space="0"/>
          <w:bottom w:val="single" w:color="787878" w:sz="6" w:space="0"/>
          <w:right w:val="single" w:color="787878" w:sz="6" w:space="0"/>
          <w:insideH w:val="none" w:color="auto" w:sz="0" w:space="0"/>
          <w:insideV w:val="none" w:color="auto" w:sz="0" w:space="0"/>
        </w:tblBorders>
        <w:shd w:val="clear" w:color="auto" w:fill="EDF3F0"/>
        <w:tblLayout w:type="fixed"/>
        <w:tblCellMar>
          <w:top w:w="0" w:type="dxa"/>
          <w:left w:w="0" w:type="dxa"/>
          <w:bottom w:w="0" w:type="dxa"/>
          <w:right w:w="0" w:type="dxa"/>
        </w:tblCellMar>
      </w:tblPr>
      <w:tblGrid>
        <w:gridCol w:w="899"/>
      </w:tblGrid>
      <w:tr w14:paraId="287097A8">
        <w:tblPrEx>
          <w:tblBorders>
            <w:top w:val="single" w:color="787878" w:sz="6" w:space="0"/>
            <w:left w:val="single" w:color="787878" w:sz="6" w:space="0"/>
            <w:bottom w:val="single" w:color="787878" w:sz="6" w:space="0"/>
            <w:right w:val="single" w:color="787878" w:sz="6" w:space="0"/>
            <w:insideH w:val="none" w:color="auto" w:sz="0" w:space="0"/>
            <w:insideV w:val="none" w:color="auto" w:sz="0" w:space="0"/>
          </w:tblBorders>
          <w:tblCellMar>
            <w:top w:w="0" w:type="dxa"/>
            <w:left w:w="0" w:type="dxa"/>
            <w:bottom w:w="0" w:type="dxa"/>
            <w:right w:w="0" w:type="dxa"/>
          </w:tblCellMar>
        </w:tblPrEx>
        <w:trPr>
          <w:trHeight w:val="884" w:hRule="atLeast"/>
        </w:trPr>
        <w:tc>
          <w:tcPr>
            <w:tcW w:w="899" w:type="dxa"/>
            <w:shd w:val="clear" w:color="auto" w:fill="EDF3F0"/>
            <w:vAlign w:val="top"/>
          </w:tcPr>
          <w:p w14:paraId="519055B7">
            <w:pPr>
              <w:spacing w:before="186" w:line="513" w:lineRule="exact"/>
              <w:ind w:firstLine="186"/>
            </w:pPr>
            <w:r>
              <w:rPr>
                <w:position w:val="-10"/>
              </w:rPr>
              <w:pict>
                <v:shape id="_x0000_s1193" o:spid="_x0000_s1193" style="height:25.7pt;width:25.7pt;" fillcolor="#404040" filled="t" stroked="f" coordsize="514,514" path="m366,0l366,110,513,110,513,403,366,403,366,513,146,513,146,403,0,403,0,175,60,110,146,110,146,0,366,0xm348,275l165,275,165,495,348,495,348,275xm495,128l68,128,18,182,18,385,146,385,146,256,366,256,366,385,495,385,495,128xm444,165c452,165,458,171,458,178c458,186,452,192,444,192c437,192,430,186,430,178c430,171,437,165,444,165m348,18l165,18,165,110,348,110,348,18xe">
                  <v:path/>
                  <v:fill on="t" focussize="0,0"/>
                  <v:stroke on="f"/>
                  <v:imagedata o:title=""/>
                  <o:lock v:ext="edit"/>
                  <w10:wrap type="none"/>
                  <w10:anchorlock/>
                </v:shape>
              </w:pict>
            </w:r>
          </w:p>
        </w:tc>
      </w:tr>
    </w:tbl>
    <w:p w14:paraId="4FA0B43A">
      <w:pPr>
        <w:spacing w:before="202" w:line="185" w:lineRule="auto"/>
        <w:ind w:left="1353"/>
        <w:rPr>
          <w:rFonts w:ascii="微软雅黑" w:hAnsi="微软雅黑" w:eastAsia="微软雅黑" w:cs="微软雅黑"/>
          <w:sz w:val="19"/>
          <w:szCs w:val="19"/>
        </w:rPr>
      </w:pPr>
      <w:r>
        <w:rPr>
          <w:rFonts w:ascii="微软雅黑" w:hAnsi="微软雅黑" w:eastAsia="微软雅黑" w:cs="微软雅黑"/>
          <w:b/>
          <w:bCs/>
          <w:sz w:val="19"/>
          <w:szCs w:val="19"/>
        </w:rPr>
        <w:t>战略规划</w:t>
      </w:r>
    </w:p>
    <w:p w14:paraId="4D563391">
      <w:pPr>
        <w:pStyle w:val="2"/>
        <w:spacing w:before="85" w:line="1477" w:lineRule="exact"/>
        <w:ind w:firstLine="835"/>
      </w:pPr>
      <w:r>
        <w:rPr>
          <w:position w:val="-29"/>
        </w:rPr>
        <w:pict>
          <v:shape id="_x0000_s1194" o:spid="_x0000_s1194" o:spt="202" type="#_x0000_t202" style="height:73.9pt;width:95.45pt;" fillcolor="#EDF3F0" filled="t" stroked="f" coordsize="21600,21600">
            <v:path/>
            <v:fill on="t" focussize="0,0"/>
            <v:stroke on="f"/>
            <v:imagedata o:title=""/>
            <o:lock v:ext="edit" aspectratio="f"/>
            <v:textbox inset="0mm,0mm,0mm,0mm">
              <w:txbxContent>
                <w:p w14:paraId="219D814F">
                  <w:pPr>
                    <w:spacing w:before="100" w:line="193" w:lineRule="auto"/>
                    <w:ind w:left="83"/>
                    <w:rPr>
                      <w:rFonts w:ascii="微软雅黑" w:hAnsi="微软雅黑" w:eastAsia="微软雅黑" w:cs="微软雅黑"/>
                      <w:sz w:val="12"/>
                      <w:szCs w:val="12"/>
                    </w:rPr>
                  </w:pPr>
                  <w:r>
                    <w:rPr>
                      <w:rFonts w:ascii="Arial" w:hAnsi="Arial" w:eastAsia="Arial" w:cs="Arial"/>
                      <w:spacing w:val="5"/>
                      <w:sz w:val="12"/>
                      <w:szCs w:val="12"/>
                    </w:rPr>
                    <w:t>•</w:t>
                  </w:r>
                  <w:r>
                    <w:rPr>
                      <w:rFonts w:ascii="Arial" w:hAnsi="Arial" w:eastAsia="Arial" w:cs="Arial"/>
                      <w:spacing w:val="1"/>
                      <w:sz w:val="12"/>
                      <w:szCs w:val="12"/>
                    </w:rPr>
                    <w:t xml:space="preserve">      </w:t>
                  </w:r>
                  <w:r>
                    <w:rPr>
                      <w:rFonts w:ascii="微软雅黑" w:hAnsi="微软雅黑" w:eastAsia="微软雅黑" w:cs="微软雅黑"/>
                      <w:spacing w:val="5"/>
                      <w:sz w:val="12"/>
                      <w:szCs w:val="12"/>
                    </w:rPr>
                    <w:t>明确利益相关方</w:t>
                  </w:r>
                </w:p>
                <w:p w14:paraId="0342C08A">
                  <w:pPr>
                    <w:spacing w:before="68" w:line="228" w:lineRule="auto"/>
                    <w:ind w:left="318" w:right="180" w:hanging="235"/>
                    <w:rPr>
                      <w:rFonts w:ascii="微软雅黑" w:hAnsi="微软雅黑" w:eastAsia="微软雅黑" w:cs="微软雅黑"/>
                      <w:sz w:val="12"/>
                      <w:szCs w:val="12"/>
                    </w:rPr>
                  </w:pPr>
                  <w:r>
                    <w:rPr>
                      <w:rFonts w:ascii="Arial" w:hAnsi="Arial" w:eastAsia="Arial" w:cs="Arial"/>
                      <w:spacing w:val="2"/>
                      <w:sz w:val="12"/>
                      <w:szCs w:val="12"/>
                    </w:rPr>
                    <w:t>•</w:t>
                  </w:r>
                  <w:r>
                    <w:rPr>
                      <w:rFonts w:ascii="Arial" w:hAnsi="Arial" w:eastAsia="Arial" w:cs="Arial"/>
                      <w:spacing w:val="7"/>
                      <w:sz w:val="12"/>
                      <w:szCs w:val="12"/>
                    </w:rPr>
                    <w:t xml:space="preserve">     </w:t>
                  </w:r>
                  <w:r>
                    <w:rPr>
                      <w:rFonts w:ascii="微软雅黑" w:hAnsi="微软雅黑" w:eastAsia="微软雅黑" w:cs="微软雅黑"/>
                      <w:b/>
                      <w:bCs/>
                      <w:spacing w:val="2"/>
                      <w:sz w:val="12"/>
                      <w:szCs w:val="12"/>
                    </w:rPr>
                    <w:t>评估</w:t>
                  </w:r>
                  <w:r>
                    <w:rPr>
                      <w:rFonts w:ascii="微软雅黑" w:hAnsi="微软雅黑" w:eastAsia="微软雅黑" w:cs="微软雅黑"/>
                      <w:spacing w:val="2"/>
                      <w:sz w:val="12"/>
                      <w:szCs w:val="12"/>
                    </w:rPr>
                    <w:t>能力现状</w:t>
                  </w:r>
                  <w:r>
                    <w:rPr>
                      <w:rFonts w:ascii="微软雅黑" w:hAnsi="微软雅黑" w:eastAsia="微软雅黑" w:cs="微软雅黑"/>
                      <w:spacing w:val="19"/>
                      <w:w w:val="102"/>
                      <w:sz w:val="12"/>
                      <w:szCs w:val="12"/>
                    </w:rPr>
                    <w:t xml:space="preserve"> </w:t>
                  </w:r>
                  <w:r>
                    <w:rPr>
                      <w:rFonts w:ascii="微软雅黑" w:hAnsi="微软雅黑" w:eastAsia="微软雅黑" w:cs="微软雅黑"/>
                      <w:spacing w:val="2"/>
                      <w:sz w:val="12"/>
                      <w:szCs w:val="12"/>
                    </w:rPr>
                    <w:t>，明确中长</w:t>
                  </w:r>
                  <w:r>
                    <w:rPr>
                      <w:rFonts w:ascii="微软雅黑" w:hAnsi="微软雅黑" w:eastAsia="微软雅黑" w:cs="微软雅黑"/>
                      <w:sz w:val="12"/>
                      <w:szCs w:val="12"/>
                    </w:rPr>
                    <w:t xml:space="preserve"> </w:t>
                  </w:r>
                  <w:r>
                    <w:rPr>
                      <w:rFonts w:ascii="微软雅黑" w:hAnsi="微软雅黑" w:eastAsia="微软雅黑" w:cs="微软雅黑"/>
                      <w:spacing w:val="5"/>
                      <w:sz w:val="12"/>
                      <w:szCs w:val="12"/>
                    </w:rPr>
                    <w:t>期和短期规划 ；</w:t>
                  </w:r>
                </w:p>
                <w:p w14:paraId="2F622370">
                  <w:pPr>
                    <w:spacing w:before="68" w:line="234" w:lineRule="auto"/>
                    <w:ind w:left="319" w:right="178" w:hanging="236"/>
                    <w:rPr>
                      <w:rFonts w:ascii="微软雅黑" w:hAnsi="微软雅黑" w:eastAsia="微软雅黑" w:cs="微软雅黑"/>
                      <w:sz w:val="12"/>
                      <w:szCs w:val="12"/>
                    </w:rPr>
                  </w:pPr>
                  <w:r>
                    <w:rPr>
                      <w:rFonts w:ascii="Arial" w:hAnsi="Arial" w:eastAsia="Arial" w:cs="Arial"/>
                      <w:spacing w:val="7"/>
                      <w:sz w:val="12"/>
                      <w:szCs w:val="12"/>
                    </w:rPr>
                    <w:t>•</w:t>
                  </w:r>
                  <w:r>
                    <w:rPr>
                      <w:rFonts w:ascii="Arial" w:hAnsi="Arial" w:eastAsia="Arial" w:cs="Arial"/>
                      <w:spacing w:val="6"/>
                      <w:sz w:val="12"/>
                      <w:szCs w:val="12"/>
                    </w:rPr>
                    <w:t xml:space="preserve">     </w:t>
                  </w:r>
                  <w:r>
                    <w:rPr>
                      <w:rFonts w:ascii="微软雅黑" w:hAnsi="微软雅黑" w:eastAsia="微软雅黑" w:cs="微软雅黑"/>
                      <w:spacing w:val="7"/>
                      <w:sz w:val="12"/>
                      <w:szCs w:val="12"/>
                    </w:rPr>
                    <w:t>识别重要业务领域、数据</w:t>
                  </w:r>
                  <w:r>
                    <w:rPr>
                      <w:rFonts w:ascii="微软雅黑" w:hAnsi="微软雅黑" w:eastAsia="微软雅黑" w:cs="微软雅黑"/>
                      <w:spacing w:val="1"/>
                      <w:sz w:val="12"/>
                      <w:szCs w:val="12"/>
                    </w:rPr>
                    <w:t xml:space="preserve"> </w:t>
                  </w:r>
                  <w:r>
                    <w:rPr>
                      <w:rFonts w:ascii="微软雅黑" w:hAnsi="微软雅黑" w:eastAsia="微软雅黑" w:cs="微软雅黑"/>
                      <w:spacing w:val="6"/>
                      <w:sz w:val="12"/>
                      <w:szCs w:val="12"/>
                    </w:rPr>
                    <w:t>范围和活动优先级等 ；</w:t>
                  </w:r>
                </w:p>
                <w:p w14:paraId="56B1472F">
                  <w:pPr>
                    <w:spacing w:before="58" w:line="193" w:lineRule="auto"/>
                    <w:ind w:left="83"/>
                    <w:rPr>
                      <w:rFonts w:ascii="微软雅黑" w:hAnsi="微软雅黑" w:eastAsia="微软雅黑" w:cs="微软雅黑"/>
                      <w:sz w:val="12"/>
                      <w:szCs w:val="12"/>
                    </w:rPr>
                  </w:pPr>
                  <w:r>
                    <w:rPr>
                      <w:rFonts w:ascii="Arial" w:hAnsi="Arial" w:eastAsia="Arial" w:cs="Arial"/>
                      <w:spacing w:val="6"/>
                      <w:sz w:val="12"/>
                      <w:szCs w:val="12"/>
                    </w:rPr>
                    <w:t>•</w:t>
                  </w:r>
                  <w:r>
                    <w:rPr>
                      <w:rFonts w:ascii="Arial" w:hAnsi="Arial" w:eastAsia="Arial" w:cs="Arial"/>
                      <w:spacing w:val="7"/>
                      <w:sz w:val="12"/>
                      <w:szCs w:val="12"/>
                    </w:rPr>
                    <w:t xml:space="preserve">     </w:t>
                  </w:r>
                  <w:r>
                    <w:rPr>
                      <w:rFonts w:ascii="微软雅黑" w:hAnsi="微软雅黑" w:eastAsia="微软雅黑" w:cs="微软雅黑"/>
                      <w:spacing w:val="6"/>
                      <w:sz w:val="12"/>
                      <w:szCs w:val="12"/>
                    </w:rPr>
                    <w:t>评估投入资源规模</w:t>
                  </w:r>
                </w:p>
              </w:txbxContent>
            </v:textbox>
            <w10:wrap type="none"/>
            <w10:anchorlock/>
          </v:shape>
        </w:pict>
      </w:r>
    </w:p>
    <w:p w14:paraId="123B2BC0">
      <w:pPr>
        <w:pStyle w:val="2"/>
        <w:spacing w:line="14" w:lineRule="auto"/>
        <w:rPr>
          <w:sz w:val="2"/>
        </w:rPr>
      </w:pPr>
      <w:r>
        <w:rPr>
          <w:sz w:val="2"/>
          <w:szCs w:val="2"/>
        </w:rPr>
        <w:br w:type="column"/>
      </w:r>
    </w:p>
    <w:tbl>
      <w:tblPr>
        <w:tblStyle w:val="5"/>
        <w:tblW w:w="899" w:type="dxa"/>
        <w:tblInd w:w="414" w:type="dxa"/>
        <w:tblBorders>
          <w:top w:val="single" w:color="787878" w:sz="6" w:space="0"/>
          <w:left w:val="single" w:color="787878" w:sz="6" w:space="0"/>
          <w:bottom w:val="single" w:color="787878" w:sz="6" w:space="0"/>
          <w:right w:val="single" w:color="787878" w:sz="6" w:space="0"/>
          <w:insideH w:val="none" w:color="auto" w:sz="0" w:space="0"/>
          <w:insideV w:val="none" w:color="auto" w:sz="0" w:space="0"/>
        </w:tblBorders>
        <w:shd w:val="clear" w:color="auto" w:fill="C4D3CC"/>
        <w:tblLayout w:type="fixed"/>
        <w:tblCellMar>
          <w:top w:w="0" w:type="dxa"/>
          <w:left w:w="0" w:type="dxa"/>
          <w:bottom w:w="0" w:type="dxa"/>
          <w:right w:w="0" w:type="dxa"/>
        </w:tblCellMar>
      </w:tblPr>
      <w:tblGrid>
        <w:gridCol w:w="899"/>
      </w:tblGrid>
      <w:tr w14:paraId="19A2F739">
        <w:tblPrEx>
          <w:tblBorders>
            <w:top w:val="single" w:color="787878" w:sz="6" w:space="0"/>
            <w:left w:val="single" w:color="787878" w:sz="6" w:space="0"/>
            <w:bottom w:val="single" w:color="787878" w:sz="6" w:space="0"/>
            <w:right w:val="single" w:color="787878" w:sz="6" w:space="0"/>
            <w:insideH w:val="none" w:color="auto" w:sz="0" w:space="0"/>
            <w:insideV w:val="none" w:color="auto" w:sz="0" w:space="0"/>
          </w:tblBorders>
          <w:shd w:val="clear" w:color="auto" w:fill="C4D3CC"/>
          <w:tblCellMar>
            <w:top w:w="0" w:type="dxa"/>
            <w:left w:w="0" w:type="dxa"/>
            <w:bottom w:w="0" w:type="dxa"/>
            <w:right w:w="0" w:type="dxa"/>
          </w:tblCellMar>
        </w:tblPrEx>
        <w:trPr>
          <w:trHeight w:val="882" w:hRule="atLeast"/>
        </w:trPr>
        <w:tc>
          <w:tcPr>
            <w:tcW w:w="899" w:type="dxa"/>
            <w:shd w:val="clear" w:color="auto" w:fill="C4D3CC"/>
            <w:vAlign w:val="top"/>
          </w:tcPr>
          <w:p w14:paraId="045C71A8">
            <w:pPr>
              <w:spacing w:before="227" w:line="429" w:lineRule="exact"/>
              <w:ind w:firstLine="186"/>
            </w:pPr>
            <w:r>
              <w:rPr>
                <w:position w:val="-8"/>
              </w:rPr>
              <w:pict>
                <v:shape id="_x0000_s1195" o:spid="_x0000_s1195" style="height:21.5pt;width:25.7pt;" fillcolor="#000000" filled="t" stroked="f" coordsize="514,430" path="m476,0l476,127,513,127,493,383,439,383,439,429,421,429,421,383,92,383,92,429,73,429,73,383,19,383,0,127,46,127,46,0,476,0xm84,146l19,146,36,365,476,365,493,146,428,146,401,292,112,292,84,146xm457,18l64,18,64,127,99,127,127,273,386,273,413,127,457,127,457,18xe">
                  <v:path/>
                  <v:fill on="t" focussize="0,0"/>
                  <v:stroke on="f"/>
                  <v:imagedata o:title=""/>
                  <o:lock v:ext="edit"/>
                  <w10:wrap type="none"/>
                  <w10:anchorlock/>
                </v:shape>
              </w:pict>
            </w:r>
          </w:p>
        </w:tc>
      </w:tr>
    </w:tbl>
    <w:p w14:paraId="53AD7A57">
      <w:pPr>
        <w:spacing w:before="198" w:line="185" w:lineRule="auto"/>
        <w:ind w:left="488"/>
        <w:rPr>
          <w:rFonts w:ascii="微软雅黑" w:hAnsi="微软雅黑" w:eastAsia="微软雅黑" w:cs="微软雅黑"/>
          <w:sz w:val="19"/>
          <w:szCs w:val="19"/>
        </w:rPr>
      </w:pPr>
      <w:r>
        <w:rPr>
          <w:rFonts w:ascii="微软雅黑" w:hAnsi="微软雅黑" w:eastAsia="微软雅黑" w:cs="微软雅黑"/>
          <w:b/>
          <w:bCs/>
          <w:sz w:val="19"/>
          <w:szCs w:val="19"/>
        </w:rPr>
        <w:t>战略执行</w:t>
      </w:r>
    </w:p>
    <w:p w14:paraId="5B96B502">
      <w:pPr>
        <w:pStyle w:val="2"/>
        <w:spacing w:before="89" w:line="1448" w:lineRule="exact"/>
      </w:pPr>
      <w:r>
        <w:rPr>
          <w:position w:val="-28"/>
        </w:rPr>
        <w:pict>
          <v:shape id="_x0000_s1196" o:spid="_x0000_s1196" o:spt="202" type="#_x0000_t202" style="height:72.45pt;width:88.75pt;" fillcolor="#C4D3CC" filled="t" stroked="f" coordsize="21600,21600">
            <v:path/>
            <v:fill on="t" focussize="0,0"/>
            <v:stroke on="f"/>
            <v:imagedata o:title=""/>
            <o:lock v:ext="edit" aspectratio="f"/>
            <v:textbox inset="0mm,0mm,0mm,0mm">
              <w:txbxContent>
                <w:p w14:paraId="796F1970">
                  <w:pPr>
                    <w:spacing w:before="99" w:line="194" w:lineRule="auto"/>
                    <w:ind w:left="83"/>
                    <w:rPr>
                      <w:rFonts w:ascii="微软雅黑" w:hAnsi="微软雅黑" w:eastAsia="微软雅黑" w:cs="微软雅黑"/>
                      <w:sz w:val="12"/>
                      <w:szCs w:val="12"/>
                    </w:rPr>
                  </w:pPr>
                  <w:r>
                    <w:rPr>
                      <w:rFonts w:ascii="Arial" w:hAnsi="Arial" w:eastAsia="Arial" w:cs="Arial"/>
                      <w:spacing w:val="6"/>
                      <w:sz w:val="12"/>
                      <w:szCs w:val="12"/>
                    </w:rPr>
                    <w:t>•</w:t>
                  </w:r>
                  <w:r>
                    <w:rPr>
                      <w:rFonts w:ascii="Arial" w:hAnsi="Arial" w:eastAsia="Arial" w:cs="Arial"/>
                      <w:sz w:val="12"/>
                      <w:szCs w:val="12"/>
                    </w:rPr>
                    <w:t xml:space="preserve">   </w:t>
                  </w:r>
                  <w:r>
                    <w:rPr>
                      <w:rFonts w:ascii="微软雅黑" w:hAnsi="微软雅黑" w:eastAsia="微软雅黑" w:cs="微软雅黑"/>
                      <w:spacing w:val="6"/>
                      <w:sz w:val="12"/>
                      <w:szCs w:val="12"/>
                    </w:rPr>
                    <w:t>评估目标差距</w:t>
                  </w:r>
                </w:p>
                <w:p w14:paraId="1FFE840E">
                  <w:pPr>
                    <w:spacing w:before="70" w:line="192" w:lineRule="auto"/>
                    <w:ind w:left="83"/>
                    <w:rPr>
                      <w:rFonts w:ascii="微软雅黑" w:hAnsi="微软雅黑" w:eastAsia="微软雅黑" w:cs="微软雅黑"/>
                      <w:sz w:val="12"/>
                      <w:szCs w:val="12"/>
                    </w:rPr>
                  </w:pPr>
                  <w:r>
                    <w:rPr>
                      <w:rFonts w:ascii="Arial" w:hAnsi="Arial" w:eastAsia="Arial" w:cs="Arial"/>
                      <w:spacing w:val="6"/>
                      <w:sz w:val="12"/>
                      <w:szCs w:val="12"/>
                    </w:rPr>
                    <w:t>•</w:t>
                  </w:r>
                  <w:r>
                    <w:rPr>
                      <w:rFonts w:ascii="Arial" w:hAnsi="Arial" w:eastAsia="Arial" w:cs="Arial"/>
                      <w:sz w:val="12"/>
                      <w:szCs w:val="12"/>
                    </w:rPr>
                    <w:t xml:space="preserve">   </w:t>
                  </w:r>
                  <w:r>
                    <w:rPr>
                      <w:rFonts w:ascii="微软雅黑" w:hAnsi="微软雅黑" w:eastAsia="微软雅黑" w:cs="微软雅黑"/>
                      <w:spacing w:val="6"/>
                      <w:sz w:val="12"/>
                      <w:szCs w:val="12"/>
                    </w:rPr>
                    <w:t>拆解战略规划</w:t>
                  </w:r>
                </w:p>
                <w:p w14:paraId="1CD52507">
                  <w:pPr>
                    <w:spacing w:before="59" w:line="193" w:lineRule="auto"/>
                    <w:ind w:left="83"/>
                    <w:rPr>
                      <w:rFonts w:ascii="微软雅黑" w:hAnsi="微软雅黑" w:eastAsia="微软雅黑" w:cs="微软雅黑"/>
                      <w:sz w:val="12"/>
                      <w:szCs w:val="12"/>
                    </w:rPr>
                  </w:pPr>
                  <w:r>
                    <w:rPr>
                      <w:rFonts w:ascii="Arial" w:hAnsi="Arial" w:eastAsia="Arial" w:cs="Arial"/>
                      <w:spacing w:val="6"/>
                      <w:sz w:val="12"/>
                      <w:szCs w:val="12"/>
                    </w:rPr>
                    <w:t>•</w:t>
                  </w:r>
                  <w:r>
                    <w:rPr>
                      <w:rFonts w:ascii="Arial" w:hAnsi="Arial" w:eastAsia="Arial" w:cs="Arial"/>
                      <w:spacing w:val="3"/>
                      <w:sz w:val="12"/>
                      <w:szCs w:val="12"/>
                    </w:rPr>
                    <w:t xml:space="preserve">   </w:t>
                  </w:r>
                  <w:r>
                    <w:rPr>
                      <w:rFonts w:ascii="微软雅黑" w:hAnsi="微软雅黑" w:eastAsia="微软雅黑" w:cs="微软雅黑"/>
                      <w:spacing w:val="6"/>
                      <w:sz w:val="12"/>
                      <w:szCs w:val="12"/>
                    </w:rPr>
                    <w:t>制定阶段性实施路线</w:t>
                  </w:r>
                </w:p>
                <w:p w14:paraId="6A96E9A4">
                  <w:pPr>
                    <w:spacing w:before="69" w:line="193" w:lineRule="auto"/>
                    <w:ind w:left="83"/>
                    <w:rPr>
                      <w:rFonts w:ascii="微软雅黑" w:hAnsi="微软雅黑" w:eastAsia="微软雅黑" w:cs="微软雅黑"/>
                      <w:sz w:val="12"/>
                      <w:szCs w:val="12"/>
                    </w:rPr>
                  </w:pPr>
                  <w:r>
                    <w:rPr>
                      <w:rFonts w:ascii="Arial" w:hAnsi="Arial" w:eastAsia="Arial" w:cs="Arial"/>
                      <w:spacing w:val="7"/>
                      <w:sz w:val="12"/>
                      <w:szCs w:val="12"/>
                    </w:rPr>
                    <w:t>•</w:t>
                  </w:r>
                  <w:r>
                    <w:rPr>
                      <w:rFonts w:ascii="Arial" w:hAnsi="Arial" w:eastAsia="Arial" w:cs="Arial"/>
                      <w:sz w:val="12"/>
                      <w:szCs w:val="12"/>
                    </w:rPr>
                    <w:t xml:space="preserve">   </w:t>
                  </w:r>
                  <w:r>
                    <w:rPr>
                      <w:rFonts w:ascii="微软雅黑" w:hAnsi="微软雅黑" w:eastAsia="微软雅黑" w:cs="微软雅黑"/>
                      <w:spacing w:val="7"/>
                      <w:sz w:val="12"/>
                      <w:szCs w:val="12"/>
                    </w:rPr>
                    <w:t>确定负责人与参与人</w:t>
                  </w:r>
                </w:p>
                <w:p w14:paraId="7444106B">
                  <w:pPr>
                    <w:spacing w:before="70" w:line="192" w:lineRule="auto"/>
                    <w:ind w:left="83"/>
                    <w:rPr>
                      <w:rFonts w:ascii="微软雅黑" w:hAnsi="微软雅黑" w:eastAsia="微软雅黑" w:cs="微软雅黑"/>
                      <w:sz w:val="12"/>
                      <w:szCs w:val="12"/>
                    </w:rPr>
                  </w:pPr>
                  <w:r>
                    <w:rPr>
                      <w:rFonts w:ascii="Arial" w:hAnsi="Arial" w:eastAsia="Arial" w:cs="Arial"/>
                      <w:spacing w:val="6"/>
                      <w:sz w:val="12"/>
                      <w:szCs w:val="12"/>
                    </w:rPr>
                    <w:t>•</w:t>
                  </w:r>
                  <w:r>
                    <w:rPr>
                      <w:rFonts w:ascii="Arial" w:hAnsi="Arial" w:eastAsia="Arial" w:cs="Arial"/>
                      <w:sz w:val="12"/>
                      <w:szCs w:val="12"/>
                    </w:rPr>
                    <w:t xml:space="preserve">   </w:t>
                  </w:r>
                  <w:r>
                    <w:rPr>
                      <w:rFonts w:ascii="微软雅黑" w:hAnsi="微软雅黑" w:eastAsia="微软雅黑" w:cs="微软雅黑"/>
                      <w:spacing w:val="6"/>
                      <w:sz w:val="12"/>
                      <w:szCs w:val="12"/>
                    </w:rPr>
                    <w:t>开展过程管理</w:t>
                  </w:r>
                </w:p>
              </w:txbxContent>
            </v:textbox>
            <w10:wrap type="none"/>
            <w10:anchorlock/>
          </v:shape>
        </w:pict>
      </w:r>
    </w:p>
    <w:p w14:paraId="76F3D1F6">
      <w:pPr>
        <w:pStyle w:val="2"/>
        <w:spacing w:line="14" w:lineRule="auto"/>
        <w:rPr>
          <w:sz w:val="2"/>
        </w:rPr>
      </w:pPr>
      <w:r>
        <w:rPr>
          <w:sz w:val="2"/>
          <w:szCs w:val="2"/>
        </w:rPr>
        <w:br w:type="column"/>
      </w:r>
    </w:p>
    <w:p w14:paraId="51FEEF07">
      <w:pPr>
        <w:pStyle w:val="2"/>
        <w:spacing w:line="381" w:lineRule="auto"/>
      </w:pPr>
    </w:p>
    <w:p w14:paraId="06221733">
      <w:pPr>
        <w:spacing w:line="130" w:lineRule="exact"/>
      </w:pPr>
      <w:r>
        <w:rPr>
          <w:position w:val="-2"/>
        </w:rPr>
        <w:drawing>
          <wp:inline distT="0" distB="0" distL="0" distR="0">
            <wp:extent cx="704850" cy="81915"/>
            <wp:effectExtent l="0" t="0" r="0" b="0"/>
            <wp:docPr id="158" name="IM 158"/>
            <wp:cNvGraphicFramePr/>
            <a:graphic xmlns:a="http://schemas.openxmlformats.org/drawingml/2006/main">
              <a:graphicData uri="http://schemas.openxmlformats.org/drawingml/2006/picture">
                <pic:pic xmlns:pic="http://schemas.openxmlformats.org/drawingml/2006/picture">
                  <pic:nvPicPr>
                    <pic:cNvPr id="158" name="IM 158"/>
                    <pic:cNvPicPr/>
                  </pic:nvPicPr>
                  <pic:blipFill>
                    <a:blip r:embed="rId106"/>
                    <a:stretch>
                      <a:fillRect/>
                    </a:stretch>
                  </pic:blipFill>
                  <pic:spPr>
                    <a:xfrm>
                      <a:off x="0" y="0"/>
                      <a:ext cx="705066" cy="82499"/>
                    </a:xfrm>
                    <a:prstGeom prst="rect">
                      <a:avLst/>
                    </a:prstGeom>
                  </pic:spPr>
                </pic:pic>
              </a:graphicData>
            </a:graphic>
          </wp:inline>
        </w:drawing>
      </w:r>
    </w:p>
    <w:p w14:paraId="0AA32655">
      <w:pPr>
        <w:pStyle w:val="2"/>
        <w:spacing w:line="14" w:lineRule="auto"/>
        <w:rPr>
          <w:sz w:val="2"/>
        </w:rPr>
      </w:pPr>
      <w:r>
        <w:rPr>
          <w:sz w:val="2"/>
          <w:szCs w:val="2"/>
        </w:rPr>
        <w:br w:type="column"/>
      </w:r>
    </w:p>
    <w:tbl>
      <w:tblPr>
        <w:tblStyle w:val="5"/>
        <w:tblW w:w="899" w:type="dxa"/>
        <w:tblInd w:w="519" w:type="dxa"/>
        <w:tblBorders>
          <w:top w:val="single" w:color="787878" w:sz="6" w:space="0"/>
          <w:left w:val="single" w:color="787878" w:sz="6" w:space="0"/>
          <w:bottom w:val="single" w:color="787878" w:sz="6" w:space="0"/>
          <w:right w:val="single" w:color="787878" w:sz="6" w:space="0"/>
          <w:insideH w:val="none" w:color="auto" w:sz="0" w:space="0"/>
          <w:insideV w:val="none" w:color="auto" w:sz="0" w:space="0"/>
        </w:tblBorders>
        <w:shd w:val="clear" w:color="auto" w:fill="A6BDB3"/>
        <w:tblLayout w:type="fixed"/>
        <w:tblCellMar>
          <w:top w:w="0" w:type="dxa"/>
          <w:left w:w="0" w:type="dxa"/>
          <w:bottom w:w="0" w:type="dxa"/>
          <w:right w:w="0" w:type="dxa"/>
        </w:tblCellMar>
      </w:tblPr>
      <w:tblGrid>
        <w:gridCol w:w="899"/>
      </w:tblGrid>
      <w:tr w14:paraId="45C7864A">
        <w:tblPrEx>
          <w:tblBorders>
            <w:top w:val="single" w:color="787878" w:sz="6" w:space="0"/>
            <w:left w:val="single" w:color="787878" w:sz="6" w:space="0"/>
            <w:bottom w:val="single" w:color="787878" w:sz="6" w:space="0"/>
            <w:right w:val="single" w:color="787878" w:sz="6" w:space="0"/>
            <w:insideH w:val="none" w:color="auto" w:sz="0" w:space="0"/>
            <w:insideV w:val="none" w:color="auto" w:sz="0" w:space="0"/>
          </w:tblBorders>
          <w:shd w:val="clear" w:color="auto" w:fill="A6BDB3"/>
          <w:tblCellMar>
            <w:top w:w="0" w:type="dxa"/>
            <w:left w:w="0" w:type="dxa"/>
            <w:bottom w:w="0" w:type="dxa"/>
            <w:right w:w="0" w:type="dxa"/>
          </w:tblCellMar>
        </w:tblPrEx>
        <w:trPr>
          <w:trHeight w:val="882" w:hRule="atLeast"/>
        </w:trPr>
        <w:tc>
          <w:tcPr>
            <w:tcW w:w="899" w:type="dxa"/>
            <w:shd w:val="clear" w:color="auto" w:fill="A6BDB3"/>
            <w:vAlign w:val="top"/>
          </w:tcPr>
          <w:p w14:paraId="0FCBE05B">
            <w:pPr>
              <w:spacing w:before="204" w:line="476" w:lineRule="exact"/>
              <w:ind w:firstLine="186"/>
            </w:pPr>
            <w:r>
              <w:rPr>
                <w:position w:val="-9"/>
              </w:rPr>
              <w:pict>
                <v:shape id="_x0000_s1197" o:spid="_x0000_s1197" style="height:23.85pt;width:25.7pt;" fillcolor="#404040" filled="t" stroked="f" coordsize="514,477" path="m394,0l394,109,513,109,513,476,0,476,0,109,119,109,119,0,394,0xm119,219l18,219,18,457,495,457,495,219,394,219,394,265,375,265,375,219,137,219,137,265,119,265,119,219xm495,128l18,128,18,201,495,201,495,128xm375,18l137,18,137,109,375,109,375,18xe">
                  <v:path/>
                  <v:fill on="t" focussize="0,0"/>
                  <v:stroke on="f"/>
                  <v:imagedata o:title=""/>
                  <o:lock v:ext="edit"/>
                  <w10:wrap type="none"/>
                  <w10:anchorlock/>
                </v:shape>
              </w:pict>
            </w:r>
          </w:p>
        </w:tc>
      </w:tr>
    </w:tbl>
    <w:p w14:paraId="76886B7E">
      <w:pPr>
        <w:spacing w:before="197" w:line="185" w:lineRule="auto"/>
        <w:ind w:left="625"/>
        <w:rPr>
          <w:rFonts w:ascii="微软雅黑" w:hAnsi="微软雅黑" w:eastAsia="微软雅黑" w:cs="微软雅黑"/>
          <w:sz w:val="19"/>
          <w:szCs w:val="19"/>
        </w:rPr>
      </w:pPr>
      <w:r>
        <w:rPr>
          <w:rFonts w:ascii="微软雅黑" w:hAnsi="微软雅黑" w:eastAsia="微软雅黑" w:cs="微软雅黑"/>
          <w:b/>
          <w:bCs/>
          <w:sz w:val="19"/>
          <w:szCs w:val="19"/>
        </w:rPr>
        <w:t>战略评估</w:t>
      </w:r>
    </w:p>
    <w:p w14:paraId="6D325000">
      <w:pPr>
        <w:pStyle w:val="2"/>
        <w:spacing w:before="90" w:line="1477" w:lineRule="exact"/>
      </w:pPr>
      <w:r>
        <w:rPr>
          <w:position w:val="-29"/>
        </w:rPr>
        <w:pict>
          <v:shape id="_x0000_s1198" o:spid="_x0000_s1198" o:spt="202" type="#_x0000_t202" style="height:73.9pt;width:101.15pt;" fillcolor="#A0B8AE" filled="t" stroked="f" coordsize="21600,21600">
            <v:path/>
            <v:fill on="t" focussize="0,0"/>
            <v:stroke on="f"/>
            <v:imagedata o:title=""/>
            <o:lock v:ext="edit" aspectratio="f"/>
            <v:textbox inset="0mm,0mm,0mm,0mm">
              <w:txbxContent>
                <w:p w14:paraId="3A84D639">
                  <w:pPr>
                    <w:spacing w:before="99" w:line="234" w:lineRule="auto"/>
                    <w:ind w:left="221" w:right="132" w:hanging="138"/>
                    <w:rPr>
                      <w:rFonts w:ascii="微软雅黑" w:hAnsi="微软雅黑" w:eastAsia="微软雅黑" w:cs="微软雅黑"/>
                      <w:sz w:val="12"/>
                      <w:szCs w:val="12"/>
                    </w:rPr>
                  </w:pPr>
                  <w:r>
                    <w:rPr>
                      <w:rFonts w:ascii="Arial" w:hAnsi="Arial" w:eastAsia="Arial" w:cs="Arial"/>
                      <w:spacing w:val="7"/>
                      <w:sz w:val="12"/>
                      <w:szCs w:val="12"/>
                    </w:rPr>
                    <w:t>•</w:t>
                  </w:r>
                  <w:r>
                    <w:rPr>
                      <w:rFonts w:ascii="Arial" w:hAnsi="Arial" w:eastAsia="Arial" w:cs="Arial"/>
                      <w:spacing w:val="1"/>
                      <w:sz w:val="12"/>
                      <w:szCs w:val="12"/>
                    </w:rPr>
                    <w:t xml:space="preserve">   </w:t>
                  </w:r>
                  <w:r>
                    <w:rPr>
                      <w:rFonts w:ascii="微软雅黑" w:hAnsi="微软雅黑" w:eastAsia="微软雅黑" w:cs="微软雅黑"/>
                      <w:spacing w:val="7"/>
                      <w:sz w:val="12"/>
                      <w:szCs w:val="12"/>
                    </w:rPr>
                    <w:t>建立数据战略评估机制与评估</w:t>
                  </w:r>
                  <w:r>
                    <w:rPr>
                      <w:rFonts w:ascii="微软雅黑" w:hAnsi="微软雅黑" w:eastAsia="微软雅黑" w:cs="微软雅黑"/>
                      <w:spacing w:val="1"/>
                      <w:sz w:val="12"/>
                      <w:szCs w:val="12"/>
                    </w:rPr>
                    <w:t xml:space="preserve"> </w:t>
                  </w:r>
                  <w:r>
                    <w:rPr>
                      <w:rFonts w:ascii="微软雅黑" w:hAnsi="微软雅黑" w:eastAsia="微软雅黑" w:cs="微软雅黑"/>
                      <w:spacing w:val="7"/>
                      <w:sz w:val="12"/>
                      <w:szCs w:val="12"/>
                    </w:rPr>
                    <w:t>模型</w:t>
                  </w:r>
                </w:p>
                <w:p w14:paraId="0336ACFB">
                  <w:pPr>
                    <w:spacing w:before="58" w:line="234" w:lineRule="auto"/>
                    <w:ind w:left="221" w:right="33" w:hanging="138"/>
                    <w:rPr>
                      <w:rFonts w:ascii="微软雅黑" w:hAnsi="微软雅黑" w:eastAsia="微软雅黑" w:cs="微软雅黑"/>
                      <w:sz w:val="12"/>
                      <w:szCs w:val="12"/>
                    </w:rPr>
                  </w:pPr>
                  <w:r>
                    <w:rPr>
                      <w:rFonts w:ascii="Arial" w:hAnsi="Arial" w:eastAsia="Arial" w:cs="Arial"/>
                      <w:spacing w:val="5"/>
                      <w:sz w:val="12"/>
                      <w:szCs w:val="12"/>
                    </w:rPr>
                    <w:t>•</w:t>
                  </w:r>
                  <w:r>
                    <w:rPr>
                      <w:rFonts w:ascii="Arial" w:hAnsi="Arial" w:eastAsia="Arial" w:cs="Arial"/>
                      <w:spacing w:val="2"/>
                      <w:sz w:val="12"/>
                      <w:szCs w:val="12"/>
                    </w:rPr>
                    <w:t xml:space="preserve">   </w:t>
                  </w:r>
                  <w:r>
                    <w:rPr>
                      <w:rFonts w:ascii="微软雅黑" w:hAnsi="微软雅黑" w:eastAsia="微软雅黑" w:cs="微软雅黑"/>
                      <w:spacing w:val="5"/>
                      <w:sz w:val="12"/>
                      <w:szCs w:val="12"/>
                    </w:rPr>
                    <w:t>确定目标完成率、成本合理性、</w:t>
                  </w:r>
                  <w:r>
                    <w:rPr>
                      <w:rFonts w:ascii="微软雅黑" w:hAnsi="微软雅黑" w:eastAsia="微软雅黑" w:cs="微软雅黑"/>
                      <w:sz w:val="12"/>
                      <w:szCs w:val="12"/>
                    </w:rPr>
                    <w:t xml:space="preserve"> </w:t>
                  </w:r>
                  <w:r>
                    <w:rPr>
                      <w:rFonts w:ascii="微软雅黑" w:hAnsi="微软雅黑" w:eastAsia="微软雅黑" w:cs="微软雅黑"/>
                      <w:spacing w:val="8"/>
                      <w:sz w:val="12"/>
                      <w:szCs w:val="12"/>
                    </w:rPr>
                    <w:t>测算收益</w:t>
                  </w:r>
                </w:p>
                <w:p w14:paraId="0603848B">
                  <w:pPr>
                    <w:spacing w:before="69" w:line="193" w:lineRule="auto"/>
                    <w:ind w:left="83"/>
                    <w:rPr>
                      <w:rFonts w:ascii="微软雅黑" w:hAnsi="微软雅黑" w:eastAsia="微软雅黑" w:cs="微软雅黑"/>
                      <w:sz w:val="12"/>
                      <w:szCs w:val="12"/>
                    </w:rPr>
                  </w:pPr>
                  <w:r>
                    <w:rPr>
                      <w:rFonts w:ascii="Arial" w:hAnsi="Arial" w:eastAsia="Arial" w:cs="Arial"/>
                      <w:spacing w:val="4"/>
                      <w:sz w:val="12"/>
                      <w:szCs w:val="12"/>
                    </w:rPr>
                    <w:t xml:space="preserve">•   </w:t>
                  </w:r>
                  <w:r>
                    <w:rPr>
                      <w:rFonts w:ascii="微软雅黑" w:hAnsi="微软雅黑" w:eastAsia="微软雅黑" w:cs="微软雅黑"/>
                      <w:spacing w:val="4"/>
                      <w:sz w:val="12"/>
                      <w:szCs w:val="12"/>
                    </w:rPr>
                    <w:t>阶段性总结</w:t>
                  </w:r>
                </w:p>
                <w:p w14:paraId="1FC931AB">
                  <w:pPr>
                    <w:spacing w:before="59" w:line="192" w:lineRule="auto"/>
                    <w:ind w:left="83"/>
                    <w:rPr>
                      <w:rFonts w:ascii="微软雅黑" w:hAnsi="微软雅黑" w:eastAsia="微软雅黑" w:cs="微软雅黑"/>
                      <w:sz w:val="12"/>
                      <w:szCs w:val="12"/>
                    </w:rPr>
                  </w:pPr>
                  <w:r>
                    <w:rPr>
                      <w:rFonts w:ascii="Arial" w:hAnsi="Arial" w:eastAsia="Arial" w:cs="Arial"/>
                      <w:spacing w:val="7"/>
                      <w:sz w:val="12"/>
                      <w:szCs w:val="12"/>
                    </w:rPr>
                    <w:t>•</w:t>
                  </w:r>
                  <w:r>
                    <w:rPr>
                      <w:rFonts w:ascii="Arial" w:hAnsi="Arial" w:eastAsia="Arial" w:cs="Arial"/>
                      <w:spacing w:val="1"/>
                      <w:sz w:val="12"/>
                      <w:szCs w:val="12"/>
                    </w:rPr>
                    <w:t xml:space="preserve">   </w:t>
                  </w:r>
                  <w:r>
                    <w:rPr>
                      <w:rFonts w:ascii="微软雅黑" w:hAnsi="微软雅黑" w:eastAsia="微软雅黑" w:cs="微软雅黑"/>
                      <w:spacing w:val="7"/>
                      <w:sz w:val="12"/>
                      <w:szCs w:val="12"/>
                    </w:rPr>
                    <w:t>调整优化战略内容、管理过程</w:t>
                  </w:r>
                </w:p>
              </w:txbxContent>
            </v:textbox>
            <w10:wrap type="none"/>
            <w10:anchorlock/>
          </v:shape>
        </w:pict>
      </w:r>
    </w:p>
    <w:p w14:paraId="7F9D6790">
      <w:pPr>
        <w:spacing w:line="1477" w:lineRule="exact"/>
        <w:sectPr>
          <w:type w:val="continuous"/>
          <w:pgSz w:w="11906" w:h="16158"/>
          <w:pgMar w:top="400" w:right="1244" w:bottom="400" w:left="1004" w:header="0" w:footer="0" w:gutter="0"/>
          <w:cols w:equalWidth="0" w:num="4">
            <w:col w:w="3906" w:space="100"/>
            <w:col w:w="1779" w:space="100"/>
            <w:col w:w="1111" w:space="46"/>
            <w:col w:w="2616"/>
          </w:cols>
        </w:sectPr>
      </w:pPr>
    </w:p>
    <w:p w14:paraId="2886BB5C">
      <w:pPr>
        <w:spacing w:before="250" w:line="204" w:lineRule="auto"/>
        <w:ind w:left="3549"/>
        <w:rPr>
          <w:rFonts w:ascii="微软雅黑" w:hAnsi="微软雅黑" w:eastAsia="微软雅黑" w:cs="微软雅黑"/>
          <w:sz w:val="20"/>
          <w:szCs w:val="20"/>
        </w:rPr>
      </w:pPr>
      <w:r>
        <w:rPr>
          <w:rFonts w:ascii="微软雅黑" w:hAnsi="微软雅黑" w:eastAsia="微软雅黑" w:cs="微软雅黑"/>
          <w:color w:val="231F20"/>
          <w:spacing w:val="1"/>
          <w:sz w:val="20"/>
          <w:szCs w:val="20"/>
        </w:rPr>
        <w:t>图</w:t>
      </w:r>
      <w:r>
        <w:rPr>
          <w:rFonts w:ascii="微软雅黑" w:hAnsi="微软雅黑" w:eastAsia="微软雅黑" w:cs="微软雅黑"/>
          <w:color w:val="231F20"/>
          <w:spacing w:val="44"/>
          <w:sz w:val="20"/>
          <w:szCs w:val="20"/>
        </w:rPr>
        <w:t xml:space="preserve"> </w:t>
      </w:r>
      <w:r>
        <w:rPr>
          <w:rFonts w:ascii="微软雅黑" w:hAnsi="微软雅黑" w:eastAsia="微软雅黑" w:cs="微软雅黑"/>
          <w:color w:val="231F20"/>
          <w:spacing w:val="1"/>
          <w:sz w:val="20"/>
          <w:szCs w:val="20"/>
        </w:rPr>
        <w:t>11 数据战略管理流程与要点</w:t>
      </w:r>
    </w:p>
    <w:p w14:paraId="009380C9">
      <w:pPr>
        <w:pStyle w:val="2"/>
        <w:spacing w:line="242" w:lineRule="auto"/>
      </w:pPr>
    </w:p>
    <w:p w14:paraId="1D48AD99">
      <w:pPr>
        <w:pStyle w:val="2"/>
        <w:spacing w:line="243" w:lineRule="auto"/>
      </w:pPr>
    </w:p>
    <w:p w14:paraId="77DD5D03">
      <w:pPr>
        <w:spacing w:before="96" w:line="287" w:lineRule="auto"/>
        <w:ind w:left="247" w:firstLine="488"/>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战略规划是战略管理的首要环节和基础性工作，是数据资产管理的指导蓝图。通</w:t>
      </w:r>
      <w:r>
        <w:rPr>
          <w:rFonts w:ascii="微软雅黑" w:hAnsi="微软雅黑" w:eastAsia="微软雅黑" w:cs="微软雅黑"/>
          <w:color w:val="231F20"/>
          <w:spacing w:val="2"/>
          <w:sz w:val="22"/>
          <w:szCs w:val="22"/>
        </w:rPr>
        <w:t>过评估当前</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7"/>
          <w:sz w:val="22"/>
          <w:szCs w:val="22"/>
        </w:rPr>
        <w:t xml:space="preserve">组织数据资产管理能力，结合组织发展规划和 </w:t>
      </w:r>
      <w:r>
        <w:rPr>
          <w:rFonts w:ascii="微软雅黑" w:hAnsi="微软雅黑" w:eastAsia="微软雅黑" w:cs="微软雅黑"/>
          <w:color w:val="231F20"/>
          <w:sz w:val="22"/>
          <w:szCs w:val="22"/>
        </w:rPr>
        <w:t>IT</w:t>
      </w:r>
      <w:r>
        <w:rPr>
          <w:rFonts w:ascii="微软雅黑" w:hAnsi="微软雅黑" w:eastAsia="微软雅黑" w:cs="微软雅黑"/>
          <w:color w:val="231F20"/>
          <w:spacing w:val="7"/>
          <w:sz w:val="22"/>
          <w:szCs w:val="22"/>
        </w:rPr>
        <w:t xml:space="preserve"> 发展规划，明确数据战略</w:t>
      </w:r>
      <w:r>
        <w:rPr>
          <w:rFonts w:ascii="微软雅黑" w:hAnsi="微软雅黑" w:eastAsia="微软雅黑" w:cs="微软雅黑"/>
          <w:color w:val="231F20"/>
          <w:spacing w:val="6"/>
          <w:sz w:val="22"/>
          <w:szCs w:val="22"/>
        </w:rPr>
        <w:t>规划的中长期和短期</w:t>
      </w:r>
    </w:p>
    <w:p w14:paraId="12071732">
      <w:pPr>
        <w:pStyle w:val="2"/>
        <w:spacing w:before="260" w:line="146" w:lineRule="exact"/>
        <w:ind w:left="4842"/>
        <w:rPr>
          <w:sz w:val="20"/>
          <w:szCs w:val="20"/>
        </w:rPr>
      </w:pPr>
      <w:r>
        <w:pict>
          <v:shape id="_x0000_s1199" o:spid="_x0000_s1199" o:spt="202" type="#_x0000_t202" style="position:absolute;left:0pt;margin-left:274.65pt;margin-top:16.7pt;height:15.95pt;width:199.4pt;z-index:251800576;mso-width-relative:page;mso-height-relative:page;" filled="f" stroked="f" coordsize="21600,21600">
            <v:path/>
            <v:fill on="f" focussize="0,0"/>
            <v:stroke on="f"/>
            <v:imagedata o:title=""/>
            <o:lock v:ext="edit" aspectratio="f"/>
            <v:textbox inset="0mm,0mm,0mm,0mm">
              <w:txbxContent>
                <w:p w14:paraId="7229F901">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2"/>
          <w:position w:val="-3"/>
          <w:sz w:val="20"/>
          <w:szCs w:val="20"/>
        </w:rPr>
        <w:t>26</w:t>
      </w:r>
    </w:p>
    <w:p w14:paraId="7295A1E4">
      <w:pPr>
        <w:spacing w:line="146" w:lineRule="exact"/>
        <w:rPr>
          <w:sz w:val="20"/>
          <w:szCs w:val="20"/>
        </w:rPr>
        <w:sectPr>
          <w:type w:val="continuous"/>
          <w:pgSz w:w="11906" w:h="16158"/>
          <w:pgMar w:top="400" w:right="1244" w:bottom="400" w:left="1004" w:header="0" w:footer="0" w:gutter="0"/>
          <w:cols w:equalWidth="0" w:num="1">
            <w:col w:w="9657"/>
          </w:cols>
        </w:sectPr>
      </w:pPr>
    </w:p>
    <w:p w14:paraId="5998B722">
      <w:pPr>
        <w:pStyle w:val="2"/>
        <w:spacing w:line="349" w:lineRule="auto"/>
      </w:pPr>
    </w:p>
    <w:p w14:paraId="66F993F4">
      <w:pPr>
        <w:pStyle w:val="2"/>
        <w:spacing w:line="350" w:lineRule="auto"/>
      </w:pPr>
    </w:p>
    <w:p w14:paraId="3009E221">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-3</w:t>
      </w:r>
    </w:p>
    <w:p w14:paraId="2AAC4645">
      <w:pPr>
        <w:spacing w:before="55" w:line="178" w:lineRule="auto"/>
        <w:ind w:left="411"/>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数据资产管理保障措施</w:t>
      </w:r>
    </w:p>
    <w:p w14:paraId="3FB16041">
      <w:pPr>
        <w:pStyle w:val="2"/>
        <w:spacing w:line="292" w:lineRule="auto"/>
      </w:pPr>
    </w:p>
    <w:p w14:paraId="64802369">
      <w:pPr>
        <w:pStyle w:val="2"/>
        <w:spacing w:line="292" w:lineRule="auto"/>
      </w:pPr>
    </w:p>
    <w:p w14:paraId="781ECB23">
      <w:pPr>
        <w:pStyle w:val="2"/>
        <w:spacing w:line="292" w:lineRule="auto"/>
      </w:pPr>
    </w:p>
    <w:p w14:paraId="6A9B75CD">
      <w:pPr>
        <w:spacing w:before="95" w:line="291" w:lineRule="auto"/>
        <w:ind w:left="247" w:right="95"/>
        <w:jc w:val="both"/>
        <w:rPr>
          <w:rFonts w:ascii="微软雅黑" w:hAnsi="微软雅黑" w:eastAsia="微软雅黑" w:cs="微软雅黑"/>
          <w:sz w:val="22"/>
          <w:szCs w:val="22"/>
        </w:rPr>
      </w:pPr>
      <w:bookmarkStart w:id="39" w:name="bookmark40"/>
      <w:bookmarkEnd w:id="39"/>
      <w:r>
        <w:rPr>
          <w:rFonts w:ascii="微软雅黑" w:hAnsi="微软雅黑" w:eastAsia="微软雅黑" w:cs="微软雅黑"/>
          <w:color w:val="231F20"/>
          <w:spacing w:val="9"/>
          <w:sz w:val="22"/>
          <w:szCs w:val="22"/>
        </w:rPr>
        <w:t xml:space="preserve">发展目标、管理原则、主要活动，识别重要业务领域、数据范围和活动优先级，确认投入的资 </w:t>
      </w:r>
      <w:r>
        <w:rPr>
          <w:rFonts w:ascii="微软雅黑" w:hAnsi="微软雅黑" w:eastAsia="微软雅黑" w:cs="微软雅黑"/>
          <w:color w:val="231F20"/>
          <w:spacing w:val="3"/>
          <w:sz w:val="22"/>
          <w:szCs w:val="22"/>
        </w:rPr>
        <w:t>源规模。</w:t>
      </w:r>
      <w:r>
        <w:rPr>
          <w:rFonts w:ascii="微软雅黑" w:hAnsi="微软雅黑" w:eastAsia="微软雅黑" w:cs="微软雅黑"/>
          <w:color w:val="231F20"/>
          <w:spacing w:val="-25"/>
          <w:sz w:val="22"/>
          <w:szCs w:val="22"/>
        </w:rPr>
        <w:t xml:space="preserve"> </w:t>
      </w:r>
      <w:r>
        <w:rPr>
          <w:rFonts w:ascii="微软雅黑" w:hAnsi="微软雅黑" w:eastAsia="微软雅黑" w:cs="微软雅黑"/>
          <w:color w:val="231F20"/>
          <w:spacing w:val="3"/>
          <w:sz w:val="22"/>
          <w:szCs w:val="22"/>
        </w:rPr>
        <w:t>战略执行是战略管理的中间环节，是战略规划落地的有效保障。战略执行通过对战略规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划进行拆解，制定阶段性提升计划与实施路线，明确各项活动参与团队，并根据实际执行情况</w:t>
      </w:r>
      <w:r>
        <w:rPr>
          <w:rFonts w:ascii="微软雅黑" w:hAnsi="微软雅黑" w:eastAsia="微软雅黑" w:cs="微软雅黑"/>
          <w:color w:val="231F20"/>
          <w:spacing w:val="7"/>
          <w:sz w:val="22"/>
          <w:szCs w:val="22"/>
        </w:rPr>
        <w:t xml:space="preserve"> </w:t>
      </w:r>
      <w:r>
        <w:rPr>
          <w:rFonts w:ascii="微软雅黑" w:hAnsi="微软雅黑" w:eastAsia="微软雅黑" w:cs="微软雅黑"/>
          <w:color w:val="231F20"/>
          <w:spacing w:val="-1"/>
          <w:sz w:val="22"/>
          <w:szCs w:val="22"/>
        </w:rPr>
        <w:t>及时调整短期战略规划。战略评估是优化组织数据战略管理</w:t>
      </w:r>
      <w:r>
        <w:rPr>
          <w:rFonts w:ascii="微软雅黑" w:hAnsi="微软雅黑" w:eastAsia="微软雅黑" w:cs="微软雅黑"/>
          <w:color w:val="231F20"/>
          <w:spacing w:val="-2"/>
          <w:sz w:val="22"/>
          <w:szCs w:val="22"/>
        </w:rPr>
        <w:t>、提升数据战略指导作用的必要手段。</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通过从目标完成率、价值收益率、成本合理性等维度评估战略内容、管理过程，</w:t>
      </w:r>
      <w:r>
        <w:rPr>
          <w:rFonts w:ascii="微软雅黑" w:hAnsi="微软雅黑" w:eastAsia="微软雅黑" w:cs="微软雅黑"/>
          <w:color w:val="231F20"/>
          <w:sz w:val="22"/>
          <w:szCs w:val="22"/>
        </w:rPr>
        <w:t xml:space="preserve">  提升战略规划和 </w:t>
      </w:r>
      <w:r>
        <w:rPr>
          <w:rFonts w:ascii="微软雅黑" w:hAnsi="微软雅黑" w:eastAsia="微软雅黑" w:cs="微软雅黑"/>
          <w:color w:val="231F20"/>
          <w:spacing w:val="1"/>
          <w:sz w:val="22"/>
          <w:szCs w:val="22"/>
        </w:rPr>
        <w:t>战略执行有效性。</w:t>
      </w:r>
    </w:p>
    <w:p w14:paraId="5ED7BD4E">
      <w:pPr>
        <w:pStyle w:val="2"/>
        <w:spacing w:line="350" w:lineRule="auto"/>
      </w:pPr>
    </w:p>
    <w:p w14:paraId="3A266367">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6"/>
          <w:sz w:val="28"/>
          <w:szCs w:val="28"/>
        </w:rPr>
        <w:t>( 二</w:t>
      </w:r>
      <w:r>
        <w:rPr>
          <w:rFonts w:ascii="微软雅黑" w:hAnsi="微软雅黑" w:eastAsia="微软雅黑" w:cs="微软雅黑"/>
          <w:color w:val="648676"/>
          <w:spacing w:val="12"/>
          <w:sz w:val="28"/>
          <w:szCs w:val="28"/>
        </w:rPr>
        <w:t xml:space="preserve"> </w:t>
      </w:r>
      <w:r>
        <w:rPr>
          <w:rFonts w:ascii="微软雅黑" w:hAnsi="微软雅黑" w:eastAsia="微软雅黑" w:cs="微软雅黑"/>
          <w:color w:val="648676"/>
          <w:spacing w:val="6"/>
          <w:sz w:val="28"/>
          <w:szCs w:val="28"/>
        </w:rPr>
        <w:t>)</w:t>
      </w:r>
      <w:r>
        <w:rPr>
          <w:rFonts w:ascii="微软雅黑" w:hAnsi="微软雅黑" w:eastAsia="微软雅黑" w:cs="微软雅黑"/>
          <w:color w:val="648676"/>
          <w:spacing w:val="30"/>
          <w:sz w:val="28"/>
          <w:szCs w:val="28"/>
        </w:rPr>
        <w:t xml:space="preserve"> </w:t>
      </w:r>
      <w:r>
        <w:rPr>
          <w:rFonts w:ascii="微软雅黑" w:hAnsi="微软雅黑" w:eastAsia="微软雅黑" w:cs="微软雅黑"/>
          <w:color w:val="648676"/>
          <w:spacing w:val="6"/>
          <w:sz w:val="28"/>
          <w:szCs w:val="28"/>
        </w:rPr>
        <w:t>组织架构</w:t>
      </w:r>
    </w:p>
    <w:p w14:paraId="0EDBB942">
      <w:pPr>
        <w:pStyle w:val="2"/>
        <w:spacing w:line="411" w:lineRule="auto"/>
      </w:pPr>
    </w:p>
    <w:p w14:paraId="7FEF1904">
      <w:pPr>
        <w:spacing w:before="94" w:line="287" w:lineRule="auto"/>
        <w:ind w:left="249" w:right="100" w:firstLine="479"/>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建立全方位、跨部门、跨层级的数据资产管理组织架构，是实施组织级统一化、专业化数据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资产管理的基础，是数据资产管理责任落实的保障。</w:t>
      </w:r>
    </w:p>
    <w:p w14:paraId="572E3511">
      <w:pPr>
        <w:spacing w:before="28" w:line="291" w:lineRule="auto"/>
        <w:ind w:left="247" w:firstLine="482"/>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一般来说，数据资产管理组织架构包括决策层、组织协调层、数据资产管理层、工作执</w:t>
      </w:r>
      <w:r>
        <w:rPr>
          <w:rFonts w:ascii="微软雅黑" w:hAnsi="微软雅黑" w:eastAsia="微软雅黑" w:cs="微软雅黑"/>
          <w:color w:val="231F20"/>
          <w:spacing w:val="2"/>
          <w:sz w:val="22"/>
          <w:szCs w:val="22"/>
        </w:rPr>
        <w:t>行层</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 xml:space="preserve">四个层级。决策层作为数据决策方，由组织 </w:t>
      </w:r>
      <w:r>
        <w:rPr>
          <w:rFonts w:ascii="微软雅黑" w:hAnsi="微软雅黑" w:eastAsia="微软雅黑" w:cs="微软雅黑"/>
          <w:color w:val="231F20"/>
          <w:sz w:val="22"/>
          <w:szCs w:val="22"/>
        </w:rPr>
        <w:t>CIO</w:t>
      </w:r>
      <w:r>
        <w:rPr>
          <w:rFonts w:ascii="微软雅黑" w:hAnsi="微软雅黑" w:eastAsia="微软雅黑" w:cs="微软雅黑"/>
          <w:color w:val="231F20"/>
          <w:spacing w:val="3"/>
          <w:sz w:val="22"/>
          <w:szCs w:val="22"/>
        </w:rPr>
        <w:t xml:space="preserve"> 或 </w:t>
      </w:r>
      <w:r>
        <w:rPr>
          <w:rFonts w:ascii="微软雅黑" w:hAnsi="微软雅黑" w:eastAsia="微软雅黑" w:cs="微软雅黑"/>
          <w:color w:val="231F20"/>
          <w:sz w:val="22"/>
          <w:szCs w:val="22"/>
        </w:rPr>
        <w:t>CDO</w:t>
      </w:r>
      <w:r>
        <w:rPr>
          <w:rFonts w:ascii="微软雅黑" w:hAnsi="微软雅黑" w:eastAsia="微软雅黑" w:cs="微软雅黑"/>
          <w:color w:val="231F20"/>
          <w:spacing w:val="3"/>
          <w:sz w:val="22"/>
          <w:szCs w:val="22"/>
        </w:rPr>
        <w:t xml:space="preserve"> 担任，负责制定数据</w:t>
      </w:r>
      <w:r>
        <w:rPr>
          <w:rFonts w:ascii="微软雅黑" w:hAnsi="微软雅黑" w:eastAsia="微软雅黑" w:cs="微软雅黑"/>
          <w:color w:val="231F20"/>
          <w:spacing w:val="2"/>
          <w:sz w:val="22"/>
          <w:szCs w:val="22"/>
        </w:rPr>
        <w:t>资产管理决策、战</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略和考核机制。组织协调层由虚拟的数据资产管理委员会承担，负责统筹管理和协调资源</w:t>
      </w:r>
      <w:r>
        <w:rPr>
          <w:rFonts w:ascii="微软雅黑" w:hAnsi="微软雅黑" w:eastAsia="微软雅黑" w:cs="微软雅黑"/>
          <w:color w:val="231F20"/>
          <w:spacing w:val="3"/>
          <w:sz w:val="22"/>
          <w:szCs w:val="22"/>
        </w:rPr>
        <w:t>，细化</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数据资产管理的考核指标。数据资产管理层由数据资产管理办公室承担，</w:t>
      </w:r>
      <w:r>
        <w:rPr>
          <w:rFonts w:ascii="微软雅黑" w:hAnsi="微软雅黑" w:eastAsia="微软雅黑" w:cs="微软雅黑"/>
          <w:color w:val="231F20"/>
          <w:spacing w:val="3"/>
          <w:sz w:val="22"/>
          <w:szCs w:val="22"/>
        </w:rPr>
        <w:t>作为数据资产管理的主</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要实体管理部门，负责构建和维护组织级架构（包括业务架构、数据架构、</w:t>
      </w:r>
      <w:r>
        <w:rPr>
          <w:rFonts w:ascii="微软雅黑" w:hAnsi="微软雅黑" w:eastAsia="微软雅黑" w:cs="微软雅黑"/>
          <w:color w:val="231F20"/>
          <w:sz w:val="22"/>
          <w:szCs w:val="22"/>
        </w:rPr>
        <w:t>IT</w:t>
      </w:r>
      <w:r>
        <w:rPr>
          <w:rFonts w:ascii="微软雅黑" w:hAnsi="微软雅黑" w:eastAsia="微软雅黑" w:cs="微软雅黑"/>
          <w:color w:val="231F20"/>
          <w:spacing w:val="2"/>
          <w:sz w:val="22"/>
          <w:szCs w:val="22"/>
        </w:rPr>
        <w:t xml:space="preserve"> 架构</w:t>
      </w:r>
      <w:r>
        <w:rPr>
          <w:rFonts w:ascii="微软雅黑" w:hAnsi="微软雅黑" w:eastAsia="微软雅黑" w:cs="微软雅黑"/>
          <w:color w:val="231F20"/>
          <w:sz w:val="22"/>
          <w:szCs w:val="22"/>
        </w:rPr>
        <w:t>）</w:t>
      </w:r>
      <w:r>
        <w:rPr>
          <w:rFonts w:ascii="微软雅黑" w:hAnsi="微软雅黑" w:eastAsia="微软雅黑" w:cs="微软雅黑"/>
          <w:color w:val="231F20"/>
          <w:spacing w:val="-21"/>
          <w:sz w:val="22"/>
          <w:szCs w:val="22"/>
        </w:rPr>
        <w:t xml:space="preserve"> </w:t>
      </w:r>
      <w:r>
        <w:rPr>
          <w:rFonts w:ascii="微软雅黑" w:hAnsi="微软雅黑" w:eastAsia="微软雅黑" w:cs="微软雅黑"/>
          <w:color w:val="231F20"/>
          <w:sz w:val="22"/>
          <w:szCs w:val="22"/>
        </w:rPr>
        <w:t>，</w:t>
      </w:r>
      <w:r>
        <w:rPr>
          <w:rFonts w:ascii="微软雅黑" w:hAnsi="微软雅黑" w:eastAsia="微软雅黑" w:cs="微软雅黑"/>
          <w:color w:val="231F20"/>
          <w:spacing w:val="2"/>
          <w:sz w:val="22"/>
          <w:szCs w:val="22"/>
        </w:rPr>
        <w:t>制定数据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资产管理制度体系和长效机制，定期开展数据资产管理检查与总结，并向组织协调成和决策层</w:t>
      </w:r>
      <w:r>
        <w:rPr>
          <w:rFonts w:ascii="微软雅黑" w:hAnsi="微软雅黑" w:eastAsia="微软雅黑" w:cs="微软雅黑"/>
          <w:color w:val="231F20"/>
          <w:spacing w:val="-5"/>
          <w:sz w:val="22"/>
          <w:szCs w:val="22"/>
        </w:rPr>
        <w:t>汇报。</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 xml:space="preserve">工作执行层由业务部门和 </w:t>
      </w:r>
      <w:r>
        <w:rPr>
          <w:rFonts w:ascii="微软雅黑" w:hAnsi="微软雅黑" w:eastAsia="微软雅黑" w:cs="微软雅黑"/>
          <w:color w:val="231F20"/>
          <w:sz w:val="22"/>
          <w:szCs w:val="22"/>
        </w:rPr>
        <w:t>IT</w:t>
      </w:r>
      <w:r>
        <w:rPr>
          <w:rFonts w:ascii="微软雅黑" w:hAnsi="微软雅黑" w:eastAsia="微软雅黑" w:cs="微软雅黑"/>
          <w:color w:val="231F20"/>
          <w:spacing w:val="1"/>
          <w:sz w:val="22"/>
          <w:szCs w:val="22"/>
        </w:rPr>
        <w:t xml:space="preserve"> 部门共同承担，负责在数据项目中落实数据资产管理工作，与数据资</w:t>
      </w:r>
      <w:r>
        <w:rPr>
          <w:rFonts w:ascii="微软雅黑" w:hAnsi="微软雅黑" w:eastAsia="微软雅黑" w:cs="微软雅黑"/>
          <w:color w:val="231F20"/>
          <w:spacing w:val="5"/>
          <w:sz w:val="22"/>
          <w:szCs w:val="22"/>
        </w:rPr>
        <w:t xml:space="preserve">  </w:t>
      </w:r>
      <w:r>
        <w:rPr>
          <w:rFonts w:ascii="微软雅黑" w:hAnsi="微软雅黑" w:eastAsia="微软雅黑" w:cs="微软雅黑"/>
          <w:color w:val="231F20"/>
          <w:spacing w:val="-2"/>
          <w:sz w:val="22"/>
          <w:szCs w:val="22"/>
        </w:rPr>
        <w:t>产管理层协同参与各项活动。</w:t>
      </w:r>
    </w:p>
    <w:p w14:paraId="310B402B">
      <w:pPr>
        <w:pStyle w:val="2"/>
        <w:spacing w:line="297" w:lineRule="auto"/>
      </w:pPr>
    </w:p>
    <w:p w14:paraId="3922E63B">
      <w:pPr>
        <w:pStyle w:val="2"/>
        <w:spacing w:line="298" w:lineRule="auto"/>
      </w:pPr>
    </w:p>
    <w:p w14:paraId="6301E3B7">
      <w:pPr>
        <w:spacing w:before="1" w:line="2864" w:lineRule="exact"/>
        <w:ind w:firstLine="242"/>
      </w:pPr>
      <w:r>
        <w:rPr>
          <w:position w:val="-57"/>
        </w:rPr>
        <w:pict>
          <v:group id="_x0000_s1200" o:spid="_x0000_s1200" o:spt="203" style="height:143.25pt;width:470.3pt;" coordsize="9405,2865">
            <o:lock v:ext="edit"/>
            <v:rect id="_x0000_s1201" o:spid="_x0000_s1201" o:spt="1" style="position:absolute;left:0;top:0;height:2865;width:9405;" fillcolor="#E9F6FE" filled="t" stroked="f" coordsize="21600,21600">
              <v:path/>
              <v:fill on="t" focussize="0,0"/>
              <v:stroke on="f"/>
              <v:imagedata o:title=""/>
              <o:lock v:ext="edit"/>
            </v:rect>
            <v:shape id="_x0000_s1202" o:spid="_x0000_s1202" o:spt="202" type="#_x0000_t202" style="position:absolute;left:710;top:571;height:2043;width:7990;" filled="f" stroked="f" coordsize="21600,21600">
              <v:path/>
              <v:fill on="f" focussize="0,0"/>
              <v:stroke on="f"/>
              <v:imagedata o:title=""/>
              <o:lock v:ext="edit" aspectratio="f"/>
              <v:textbox inset="0mm,0mm,0mm,0mm">
                <w:txbxContent>
                  <w:p w14:paraId="20131D66">
                    <w:pPr>
                      <w:spacing w:before="20" w:line="605" w:lineRule="exact"/>
                      <w:ind w:left="27"/>
                      <w:rPr>
                        <w:rFonts w:ascii="微软雅黑" w:hAnsi="微软雅黑" w:eastAsia="微软雅黑" w:cs="微软雅黑"/>
                        <w:sz w:val="32"/>
                        <w:szCs w:val="32"/>
                      </w:rPr>
                    </w:pPr>
                    <w:r>
                      <w:fldChar w:fldCharType="begin"/>
                    </w:r>
                    <w:r>
                      <w:instrText xml:space="preserve">EQ \* jc3 \* hps14 \o\al(\s\up 12(</w:instrText>
                    </w:r>
                    <w:r>
                      <w:rPr>
                        <w:rFonts w:ascii="Segoe UI" w:hAnsi="Segoe UI" w:eastAsia="Segoe UI" w:cs="Segoe UI"/>
                        <w:b/>
                        <w:bCs/>
                        <w:color w:val="648676"/>
                        <w:spacing w:val="1"/>
                        <w:w w:val="175"/>
                        <w:position w:val="2"/>
                        <w:sz w:val="14"/>
                        <w:szCs w:val="14"/>
                      </w:rPr>
                      <w:instrText xml:space="preserve"> </w:instrText>
                    </w:r>
                    <w:r>
                      <w:rPr>
                        <w:rFonts w:ascii="Segoe UI" w:hAnsi="Segoe UI" w:eastAsia="Segoe UI" w:cs="Segoe UI"/>
                        <w:b/>
                        <w:bCs/>
                        <w:color w:val="648676"/>
                        <w:w w:val="137"/>
                        <w:position w:val="2"/>
                        <w:sz w:val="14"/>
                        <w:szCs w:val="14"/>
                      </w:rPr>
                      <w:instrText xml:space="preserve">SP</w:instrText>
                    </w:r>
                    <w:r>
                      <w:instrText xml:space="preserve">),</w:instrText>
                    </w:r>
                    <w:r>
                      <w:rPr>
                        <w:rFonts w:ascii="Segoe UI" w:hAnsi="Segoe UI" w:eastAsia="Segoe UI" w:cs="Segoe UI"/>
                        <w:b/>
                        <w:bCs/>
                        <w:color w:val="648676"/>
                        <w:w w:val="123"/>
                        <w:position w:val="8"/>
                        <w:sz w:val="20"/>
                        <w:szCs w:val="20"/>
                      </w:rPr>
                      <w:instrText xml:space="preserve">COL</w:instrText>
                    </w:r>
                    <w:r>
                      <w:instrText xml:space="preserve">)</w:instrText>
                    </w:r>
                    <w:r>
                      <w:fldChar w:fldCharType="end"/>
                    </w:r>
                    <w:r>
                      <w:fldChar w:fldCharType="begin"/>
                    </w:r>
                    <w:r>
                      <w:instrText xml:space="preserve">EQ \* jc3 \* hps14 \o\al(\s\up 12(</w:instrText>
                    </w:r>
                    <w:r>
                      <w:rPr>
                        <w:rFonts w:ascii="Segoe UI" w:hAnsi="Segoe UI" w:eastAsia="Segoe UI" w:cs="Segoe UI"/>
                        <w:b/>
                        <w:bCs/>
                        <w:color w:val="648676"/>
                        <w:w w:val="141"/>
                        <w:position w:val="2"/>
                        <w:sz w:val="14"/>
                        <w:szCs w:val="14"/>
                      </w:rPr>
                      <w:instrText xml:space="preserve">E</w:instrText>
                    </w:r>
                    <w:r>
                      <w:instrText xml:space="preserve">),</w:instrText>
                    </w:r>
                    <w:r>
                      <w:rPr>
                        <w:rFonts w:ascii="Segoe UI" w:hAnsi="Segoe UI" w:eastAsia="Segoe UI" w:cs="Segoe UI"/>
                        <w:b/>
                        <w:bCs/>
                        <w:color w:val="648676"/>
                        <w:w w:val="90"/>
                        <w:position w:val="8"/>
                        <w:sz w:val="20"/>
                        <w:szCs w:val="20"/>
                      </w:rPr>
                      <w:instrText xml:space="preserve">U</w:instrText>
                    </w:r>
                    <w:r>
                      <w:instrText xml:space="preserve">)</w:instrText>
                    </w:r>
                    <w:r>
                      <w:fldChar w:fldCharType="end"/>
                    </w:r>
                    <w:r>
                      <w:rPr>
                        <w:rFonts w:ascii="Times New Roman" w:hAnsi="Times New Roman" w:eastAsia="Times New Roman" w:cs="Times New Roman"/>
                        <w:color w:val="648676"/>
                        <w:position w:val="-12"/>
                        <w:sz w:val="67"/>
                        <w:szCs w:val="67"/>
                      </w:rPr>
                      <w:drawing>
                        <wp:inline distT="0" distB="0" distL="0" distR="0">
                          <wp:extent cx="125095" cy="323850"/>
                          <wp:effectExtent l="0" t="0" r="0" b="0"/>
                          <wp:docPr id="160" name="IM 160"/>
                          <wp:cNvGraphicFramePr/>
                          <a:graphic xmlns:a="http://schemas.openxmlformats.org/drawingml/2006/main">
                            <a:graphicData uri="http://schemas.openxmlformats.org/drawingml/2006/picture">
                              <pic:pic xmlns:pic="http://schemas.openxmlformats.org/drawingml/2006/picture">
                                <pic:nvPicPr>
                                  <pic:cNvPr id="160" name="IM 160"/>
                                  <pic:cNvPicPr/>
                                </pic:nvPicPr>
                                <pic:blipFill>
                                  <a:blip r:embed="rId107"/>
                                  <a:stretch>
                                    <a:fillRect/>
                                  </a:stretch>
                                </pic:blipFill>
                                <pic:spPr>
                                  <a:xfrm>
                                    <a:off x="0" y="0"/>
                                    <a:ext cx="125311" cy="324459"/>
                                  </a:xfrm>
                                  <a:prstGeom prst="rect">
                                    <a:avLst/>
                                  </a:prstGeom>
                                </pic:spPr>
                              </pic:pic>
                            </a:graphicData>
                          </a:graphic>
                        </wp:inline>
                      </w:drawing>
                    </w:r>
                    <w:r>
                      <w:rPr>
                        <w:rFonts w:ascii="Times New Roman" w:hAnsi="Times New Roman" w:eastAsia="Times New Roman" w:cs="Times New Roman"/>
                        <w:color w:val="648676"/>
                        <w:position w:val="-12"/>
                        <w:sz w:val="67"/>
                        <w:szCs w:val="67"/>
                      </w:rPr>
                      <w:drawing>
                        <wp:inline distT="0" distB="0" distL="0" distR="0">
                          <wp:extent cx="131445" cy="321945"/>
                          <wp:effectExtent l="0" t="0" r="0" b="0"/>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108"/>
                                  <a:stretch>
                                    <a:fillRect/>
                                  </a:stretch>
                                </pic:blipFill>
                                <pic:spPr>
                                  <a:xfrm>
                                    <a:off x="0" y="0"/>
                                    <a:ext cx="131654" cy="322431"/>
                                  </a:xfrm>
                                  <a:prstGeom prst="rect">
                                    <a:avLst/>
                                  </a:prstGeom>
                                </pic:spPr>
                              </pic:pic>
                            </a:graphicData>
                          </a:graphic>
                        </wp:inline>
                      </w:drawing>
                    </w:r>
                    <w:r>
                      <w:rPr>
                        <w:rFonts w:ascii="Times New Roman" w:hAnsi="Times New Roman" w:eastAsia="Times New Roman" w:cs="Times New Roman"/>
                        <w:color w:val="648676"/>
                        <w:spacing w:val="8"/>
                        <w:position w:val="-7"/>
                        <w:sz w:val="67"/>
                        <w:szCs w:val="67"/>
                      </w:rPr>
                      <w:t>3</w:t>
                    </w:r>
                    <w:r>
                      <w:rPr>
                        <w:rFonts w:ascii="Times New Roman" w:hAnsi="Times New Roman" w:eastAsia="Times New Roman" w:cs="Times New Roman"/>
                        <w:color w:val="648676"/>
                        <w:spacing w:val="85"/>
                        <w:position w:val="-7"/>
                        <w:sz w:val="67"/>
                        <w:szCs w:val="67"/>
                      </w:rPr>
                      <w:t xml:space="preserve"> </w:t>
                    </w:r>
                    <w:r>
                      <w:rPr>
                        <w:rFonts w:ascii="微软雅黑" w:hAnsi="微软雅黑" w:eastAsia="微软雅黑" w:cs="微软雅黑"/>
                        <w:color w:val="648676"/>
                        <w:spacing w:val="8"/>
                        <w:position w:val="2"/>
                        <w:sz w:val="32"/>
                        <w:szCs w:val="32"/>
                      </w:rPr>
                      <w:t>集中式管理与联邦式管理的比较</w:t>
                    </w:r>
                  </w:p>
                  <w:p w14:paraId="5D3E3585">
                    <w:pPr>
                      <w:spacing w:before="221" w:line="268" w:lineRule="auto"/>
                      <w:ind w:left="20" w:right="20" w:firstLine="481"/>
                      <w:jc w:val="both"/>
                      <w:rPr>
                        <w:rFonts w:ascii="微软雅黑" w:hAnsi="微软雅黑" w:eastAsia="微软雅黑" w:cs="微软雅黑"/>
                        <w:sz w:val="22"/>
                        <w:szCs w:val="22"/>
                      </w:rPr>
                    </w:pPr>
                    <w:r>
                      <w:rPr>
                        <w:rFonts w:ascii="微软雅黑" w:hAnsi="微软雅黑" w:eastAsia="微软雅黑" w:cs="微软雅黑"/>
                        <w:color w:val="231F20"/>
                        <w:sz w:val="22"/>
                        <w:szCs w:val="22"/>
                      </w:rPr>
                      <w:t>集中式管理与联邦式管理是数据资产管理的两种</w:t>
                    </w:r>
                    <w:r>
                      <w:rPr>
                        <w:rFonts w:ascii="微软雅黑" w:hAnsi="微软雅黑" w:eastAsia="微软雅黑" w:cs="微软雅黑"/>
                        <w:color w:val="231F20"/>
                        <w:spacing w:val="-1"/>
                        <w:sz w:val="22"/>
                        <w:szCs w:val="22"/>
                      </w:rPr>
                      <w:t>组织模式，主要区别在于数据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管理专员集中于数据资产管理层或分布于各个业务部</w:t>
                    </w:r>
                    <w:r>
                      <w:rPr>
                        <w:rFonts w:ascii="微软雅黑" w:hAnsi="微软雅黑" w:eastAsia="微软雅黑" w:cs="微软雅黑"/>
                        <w:color w:val="231F20"/>
                        <w:sz w:val="22"/>
                        <w:szCs w:val="22"/>
                      </w:rPr>
                      <w:t xml:space="preserve">门。集中式数据资产管理组织 </w:t>
                    </w:r>
                    <w:r>
                      <w:rPr>
                        <w:rFonts w:ascii="微软雅黑" w:hAnsi="微软雅黑" w:eastAsia="微软雅黑" w:cs="微软雅黑"/>
                        <w:color w:val="231F20"/>
                        <w:spacing w:val="-3"/>
                        <w:sz w:val="22"/>
                        <w:szCs w:val="22"/>
                      </w:rPr>
                      <w:t>架构如图 12 所示，联邦式数据资产管理组织架构如图 13 所示。</w:t>
                    </w:r>
                  </w:p>
                </w:txbxContent>
              </v:textbox>
            </v:shape>
            <v:group id="_x0000_s1203" o:spid="_x0000_s1203" o:spt="203" style="position:absolute;left:8866;top:171;height:2465;width:303;" coordsize="303,2465">
              <o:lock v:ext="edit"/>
              <v:shape id="_x0000_s1204" o:spid="_x0000_s1204" style="position:absolute;left:28;top:1;height:2405;width:275;" filled="f" stroked="t" coordsize="275,2405" path="m264,2394l264,406m260,319c247,220,198,27,10,10e">
                <v:fill on="f" focussize="0,0"/>
                <v:stroke weight="1pt" color="#648676" miterlimit="4" dashstyle="dash" endcap="round"/>
                <v:imagedata o:title=""/>
                <o:lock v:ext="edit"/>
              </v:shape>
              <v:shape id="_x0000_s1205" o:spid="_x0000_s1205" style="position:absolute;left:0;top:0;height:2465;width:303;" filled="f" stroked="t" coordsize="303,2465" path="m293,2454l293,2454m293,377l293,377m10,10l10,10e">
                <v:fill on="f" focussize="0,0"/>
                <v:stroke weight="1pt" color="#648676" miterlimit="4" endcap="round"/>
                <v:imagedata o:title=""/>
                <o:lock v:ext="edit"/>
              </v:shape>
            </v:group>
            <v:group id="_x0000_s1206" o:spid="_x0000_s1206" o:spt="203" style="position:absolute;left:519;top:171;height:20;width:8307;" coordsize="8307,20">
              <o:lock v:ext="edit"/>
              <v:shape id="_x0000_s1207" o:spid="_x0000_s1207" style="position:absolute;left:30;top:0;height:20;width:8277;" filled="f" stroked="t" coordsize="8277,20" path="m8266,10l10,10e">
                <v:fill on="f" focussize="0,0"/>
                <v:stroke weight="1pt" color="#648676" miterlimit="4" dashstyle="dash" endcap="round"/>
                <v:imagedata o:title=""/>
                <o:lock v:ext="edit"/>
              </v:shape>
              <v:shape id="_x0000_s1208" o:spid="_x0000_s1208" style="position:absolute;left:0;top:0;height:20;width:20;" filled="f" stroked="t" coordsize="20,20" path="m10,10l10,10e">
                <v:fill on="f" focussize="0,0"/>
                <v:stroke weight="1pt" color="#648676" miterlimit="4" endcap="round"/>
                <v:imagedata o:title=""/>
                <o:lock v:ext="edit"/>
              </v:shape>
            </v:group>
            <w10:wrap type="none"/>
            <w10:anchorlock/>
          </v:group>
        </w:pict>
      </w:r>
    </w:p>
    <w:p w14:paraId="09D29A0F">
      <w:pPr>
        <w:pStyle w:val="2"/>
      </w:pPr>
    </w:p>
    <w:p w14:paraId="436BDFF8">
      <w:pPr>
        <w:pStyle w:val="2"/>
      </w:pPr>
    </w:p>
    <w:p w14:paraId="3E62F20C">
      <w:pPr>
        <w:spacing w:before="79" w:line="212" w:lineRule="auto"/>
        <w:ind w:left="5513"/>
        <w:rPr>
          <w:rFonts w:hint="eastAsia" w:ascii="宋体" w:hAnsi="宋体" w:eastAsia="宋体" w:cs="宋体"/>
          <w:sz w:val="24"/>
          <w:szCs w:val="24"/>
          <w:lang w:eastAsia="zh-CN"/>
        </w:rPr>
      </w:pPr>
      <w:r>
        <w:pict>
          <v:shape id="_x0000_s1209" o:spid="_x0000_s1209" o:spt="202" type="#_x0000_t202" style="position:absolute;left:0pt;margin-left:241.1pt;margin-top:-1.75pt;height:11.35pt;width:12.85pt;z-index:251802624;mso-width-relative:page;mso-height-relative:page;" filled="f" stroked="f" coordsize="21600,21600">
            <v:path/>
            <v:fill on="f" focussize="0,0"/>
            <v:stroke on="f"/>
            <v:imagedata o:title=""/>
            <o:lock v:ext="edit" aspectratio="f"/>
            <v:textbox inset="0mm,0mm,0mm,0mm">
              <w:txbxContent>
                <w:p w14:paraId="51BFFAC4">
                  <w:pPr>
                    <w:pStyle w:val="2"/>
                    <w:spacing w:before="20" w:line="194" w:lineRule="auto"/>
                    <w:ind w:left="20"/>
                    <w:rPr>
                      <w:sz w:val="20"/>
                      <w:szCs w:val="20"/>
                    </w:rPr>
                  </w:pPr>
                  <w:r>
                    <w:rPr>
                      <w:color w:val="231F20"/>
                      <w:spacing w:val="-2"/>
                      <w:sz w:val="20"/>
                      <w:szCs w:val="20"/>
                    </w:rPr>
                    <w:t>27</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44B5109C">
      <w:pPr>
        <w:spacing w:line="212" w:lineRule="auto"/>
        <w:rPr>
          <w:rFonts w:ascii="宋体" w:hAnsi="宋体" w:eastAsia="宋体" w:cs="宋体"/>
          <w:sz w:val="24"/>
          <w:szCs w:val="24"/>
        </w:rPr>
        <w:sectPr>
          <w:pgSz w:w="11906" w:h="16158"/>
          <w:pgMar w:top="400" w:right="1150" w:bottom="400" w:left="1004" w:header="0" w:footer="0" w:gutter="0"/>
          <w:cols w:space="720" w:num="1"/>
        </w:sectPr>
      </w:pPr>
    </w:p>
    <w:p w14:paraId="2ED503CD">
      <w:pPr>
        <w:pStyle w:val="2"/>
        <w:spacing w:line="349" w:lineRule="auto"/>
      </w:pPr>
    </w:p>
    <w:p w14:paraId="090708E1">
      <w:pPr>
        <w:pStyle w:val="2"/>
        <w:spacing w:line="350" w:lineRule="auto"/>
      </w:pPr>
    </w:p>
    <w:p w14:paraId="48806F97">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-3</w:t>
      </w:r>
    </w:p>
    <w:p w14:paraId="01E63080">
      <w:pPr>
        <w:spacing w:before="55" w:line="178" w:lineRule="auto"/>
        <w:ind w:left="411"/>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数据资产管理保障措施</w:t>
      </w:r>
    </w:p>
    <w:p w14:paraId="2D06449F">
      <w:pPr>
        <w:pStyle w:val="2"/>
        <w:spacing w:line="262" w:lineRule="auto"/>
      </w:pPr>
    </w:p>
    <w:p w14:paraId="43E6B0D0">
      <w:pPr>
        <w:pStyle w:val="2"/>
        <w:spacing w:line="262" w:lineRule="auto"/>
      </w:pPr>
    </w:p>
    <w:p w14:paraId="06ACA4B2">
      <w:pPr>
        <w:pStyle w:val="2"/>
        <w:spacing w:line="262" w:lineRule="auto"/>
      </w:pPr>
    </w:p>
    <w:p w14:paraId="29886397">
      <w:pPr>
        <w:pStyle w:val="2"/>
        <w:spacing w:line="262" w:lineRule="auto"/>
      </w:pPr>
    </w:p>
    <w:p w14:paraId="5D76F72F">
      <w:pPr>
        <w:pStyle w:val="2"/>
        <w:spacing w:line="262" w:lineRule="auto"/>
      </w:pPr>
    </w:p>
    <w:p w14:paraId="001F38DD">
      <w:pPr>
        <w:pStyle w:val="2"/>
        <w:spacing w:line="262" w:lineRule="auto"/>
      </w:pPr>
      <w:r>
        <w:drawing>
          <wp:anchor distT="0" distB="0" distL="0" distR="0" simplePos="0" relativeHeight="251813888" behindDoc="1" locked="0" layoutInCell="1" allowOverlap="1">
            <wp:simplePos x="0" y="0"/>
            <wp:positionH relativeFrom="column">
              <wp:posOffset>1186815</wp:posOffset>
            </wp:positionH>
            <wp:positionV relativeFrom="paragraph">
              <wp:posOffset>141605</wp:posOffset>
            </wp:positionV>
            <wp:extent cx="7620" cy="3074670"/>
            <wp:effectExtent l="0" t="0" r="0" b="0"/>
            <wp:wrapNone/>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109"/>
                    <a:stretch>
                      <a:fillRect/>
                    </a:stretch>
                  </pic:blipFill>
                  <pic:spPr>
                    <a:xfrm>
                      <a:off x="0" y="0"/>
                      <a:ext cx="7454" cy="3074898"/>
                    </a:xfrm>
                    <a:prstGeom prst="rect">
                      <a:avLst/>
                    </a:prstGeom>
                  </pic:spPr>
                </pic:pic>
              </a:graphicData>
            </a:graphic>
          </wp:anchor>
        </w:drawing>
      </w:r>
      <w:r>
        <w:pict>
          <v:group id="_x0000_s1210" o:spid="_x0000_s1210" o:spt="203" style="position:absolute;left:0pt;margin-left:24.05pt;margin-top:0.05pt;height:576.05pt;width:1pt;z-index:251822080;mso-width-relative:page;mso-height-relative:page;" coordsize="20,11520">
            <o:lock v:ext="edit"/>
            <v:shape id="_x0000_s1211" o:spid="_x0000_s1211" style="position:absolute;left:0;top:29;height:11430;width:20;" filled="f" stroked="t" coordsize="20,11430" path="m10,11420l10,10e">
              <v:fill on="f" focussize="0,0"/>
              <v:stroke weight="1pt" color="#648676" miterlimit="4" dashstyle="dash" endcap="round"/>
              <v:imagedata o:title=""/>
              <o:lock v:ext="edit"/>
            </v:shape>
            <v:shape id="_x0000_s1212" o:spid="_x0000_s1212" style="position:absolute;left:0;top:0;height:11520;width:20;" filled="f" stroked="t" coordsize="20,11520" path="m10,11510l10,11510m10,10l10,10e">
              <v:fill on="f" focussize="0,0"/>
              <v:stroke weight="1pt" color="#648676" miterlimit="4" endcap="round"/>
              <v:imagedata o:title=""/>
              <o:lock v:ext="edit"/>
            </v:shape>
          </v:group>
        </w:pict>
      </w:r>
      <w:r>
        <w:pict>
          <v:group id="_x0000_s1213" o:spid="_x0000_s1213" o:spt="203" style="position:absolute;left:0pt;margin-left:469.75pt;margin-top:0.05pt;height:576.05pt;width:1pt;z-index:251823104;mso-width-relative:page;mso-height-relative:page;" coordsize="20,11520">
            <o:lock v:ext="edit"/>
            <v:shape id="_x0000_s1214" o:spid="_x0000_s1214" style="position:absolute;left:0;top:59;height:11430;width:20;" filled="f" stroked="t" coordsize="20,11430" path="m10,10l10,11420e">
              <v:fill on="f" focussize="0,0"/>
              <v:stroke weight="1pt" color="#648676" miterlimit="4" dashstyle="dash" endcap="round"/>
              <v:imagedata o:title=""/>
              <o:lock v:ext="edit"/>
            </v:shape>
            <v:shape id="_x0000_s1215" o:spid="_x0000_s1215" style="position:absolute;left:0;top:0;height:11520;width:20;" filled="f" stroked="t" coordsize="20,11520" path="m10,10l10,10m10,11510l10,11510e">
              <v:fill on="f" focussize="0,0"/>
              <v:stroke weight="1pt" color="#648676" miterlimit="4" endcap="round"/>
              <v:imagedata o:title=""/>
              <o:lock v:ext="edit"/>
            </v:shape>
          </v:group>
        </w:pict>
      </w:r>
    </w:p>
    <w:p w14:paraId="463ED484">
      <w:pPr>
        <w:spacing w:before="77" w:line="183" w:lineRule="exact"/>
        <w:ind w:left="1249"/>
        <w:rPr>
          <w:rFonts w:ascii="微软雅黑" w:hAnsi="微软雅黑" w:eastAsia="微软雅黑" w:cs="微软雅黑"/>
          <w:sz w:val="18"/>
          <w:szCs w:val="18"/>
        </w:rPr>
      </w:pPr>
      <w:r>
        <w:pict>
          <v:shape id="_x0000_s1216" o:spid="_x0000_s1216" o:spt="202" type="#_x0000_t202" style="position:absolute;left:0pt;margin-left:235.15pt;margin-top:0.7pt;height:11.1pt;width:67.85pt;z-index:251821056;mso-width-relative:page;mso-height-relative:page;" filled="f" stroked="f" coordsize="21600,21600">
            <v:path/>
            <v:fill on="f" focussize="0,0"/>
            <v:stroke on="f"/>
            <v:imagedata o:title=""/>
            <o:lock v:ext="edit" aspectratio="f"/>
            <v:textbox inset="0mm,0mm,0mm,0mm">
              <w:txbxContent>
                <w:p w14:paraId="0243620F">
                  <w:pPr>
                    <w:spacing w:before="20" w:line="181" w:lineRule="exact"/>
                    <w:ind w:left="20"/>
                    <w:rPr>
                      <w:rFonts w:ascii="微软雅黑" w:hAnsi="微软雅黑" w:eastAsia="微软雅黑" w:cs="微软雅黑"/>
                      <w:sz w:val="18"/>
                      <w:szCs w:val="18"/>
                    </w:rPr>
                  </w:pPr>
                  <w:r>
                    <w:rPr>
                      <w:rFonts w:ascii="微软雅黑" w:hAnsi="微软雅黑" w:eastAsia="微软雅黑" w:cs="微软雅黑"/>
                      <w:spacing w:val="17"/>
                      <w:position w:val="-1"/>
                      <w:sz w:val="18"/>
                      <w:szCs w:val="18"/>
                    </w:rPr>
                    <w:t>企业</w:t>
                  </w:r>
                  <w:r>
                    <w:rPr>
                      <w:rFonts w:ascii="微软雅黑" w:hAnsi="微软雅黑" w:eastAsia="微软雅黑" w:cs="微软雅黑"/>
                      <w:position w:val="-1"/>
                      <w:sz w:val="18"/>
                      <w:szCs w:val="18"/>
                    </w:rPr>
                    <w:t>CIO</w:t>
                  </w:r>
                  <w:r>
                    <w:rPr>
                      <w:rFonts w:ascii="微软雅黑" w:hAnsi="微软雅黑" w:eastAsia="微软雅黑" w:cs="微软雅黑"/>
                      <w:spacing w:val="17"/>
                      <w:position w:val="-1"/>
                      <w:sz w:val="18"/>
                      <w:szCs w:val="18"/>
                    </w:rPr>
                    <w:t>或</w:t>
                  </w:r>
                  <w:r>
                    <w:rPr>
                      <w:rFonts w:ascii="微软雅黑" w:hAnsi="微软雅黑" w:eastAsia="微软雅黑" w:cs="微软雅黑"/>
                      <w:position w:val="-1"/>
                      <w:sz w:val="18"/>
                      <w:szCs w:val="18"/>
                    </w:rPr>
                    <w:t>CDO</w:t>
                  </w:r>
                </w:p>
              </w:txbxContent>
            </v:textbox>
          </v:shape>
        </w:pict>
      </w:r>
      <w:r>
        <w:drawing>
          <wp:anchor distT="0" distB="0" distL="0" distR="0" simplePos="0" relativeHeight="251814912" behindDoc="1" locked="0" layoutInCell="1" allowOverlap="1">
            <wp:simplePos x="0" y="0"/>
            <wp:positionH relativeFrom="column">
              <wp:posOffset>153670</wp:posOffset>
            </wp:positionH>
            <wp:positionV relativeFrom="paragraph">
              <wp:posOffset>-377825</wp:posOffset>
            </wp:positionV>
            <wp:extent cx="5975985" cy="7740015"/>
            <wp:effectExtent l="0" t="0" r="0" b="0"/>
            <wp:wrapNone/>
            <wp:docPr id="166" name="IM 166"/>
            <wp:cNvGraphicFramePr/>
            <a:graphic xmlns:a="http://schemas.openxmlformats.org/drawingml/2006/main">
              <a:graphicData uri="http://schemas.openxmlformats.org/drawingml/2006/picture">
                <pic:pic xmlns:pic="http://schemas.openxmlformats.org/drawingml/2006/picture">
                  <pic:nvPicPr>
                    <pic:cNvPr id="166" name="IM 166"/>
                    <pic:cNvPicPr/>
                  </pic:nvPicPr>
                  <pic:blipFill>
                    <a:blip r:embed="rId110"/>
                    <a:stretch>
                      <a:fillRect/>
                    </a:stretch>
                  </pic:blipFill>
                  <pic:spPr>
                    <a:xfrm>
                      <a:off x="0" y="0"/>
                      <a:ext cx="5975997" cy="7740001"/>
                    </a:xfrm>
                    <a:prstGeom prst="rect">
                      <a:avLst/>
                    </a:prstGeom>
                  </pic:spPr>
                </pic:pic>
              </a:graphicData>
            </a:graphic>
          </wp:anchor>
        </w:drawing>
      </w:r>
      <w:r>
        <w:pict>
          <v:shape id="_x0000_s1217" o:spid="_x0000_s1217" o:spt="202" type="#_x0000_t202" style="position:absolute;left:0pt;margin-left:53pt;margin-top:28.95pt;height:156.1pt;width:39.2pt;z-index:251815936;mso-width-relative:page;mso-height-relative:page;" filled="f" stroked="f" coordsize="21600,21600">
            <v:path/>
            <v:fill on="f" focussize="0,0"/>
            <v:stroke on="f"/>
            <v:imagedata o:title=""/>
            <o:lock v:ext="edit" aspectratio="f"/>
            <v:textbox inset="0mm,0mm,0mm,0mm">
              <w:txbxContent>
                <w:p w14:paraId="36BA9E3A">
                  <w:pPr>
                    <w:spacing w:before="19" w:line="187" w:lineRule="auto"/>
                    <w:ind w:left="189" w:right="37" w:firstLine="92"/>
                    <w:rPr>
                      <w:rFonts w:ascii="微软雅黑" w:hAnsi="微软雅黑" w:eastAsia="微软雅黑" w:cs="微软雅黑"/>
                      <w:sz w:val="18"/>
                      <w:szCs w:val="18"/>
                    </w:rPr>
                  </w:pPr>
                  <w:r>
                    <w:rPr>
                      <w:rFonts w:ascii="微软雅黑" w:hAnsi="微软雅黑" w:eastAsia="微软雅黑" w:cs="微软雅黑"/>
                      <w:spacing w:val="5"/>
                      <w:sz w:val="18"/>
                      <w:szCs w:val="18"/>
                    </w:rPr>
                    <w:t>组织</w:t>
                  </w:r>
                  <w:r>
                    <w:rPr>
                      <w:rFonts w:ascii="微软雅黑" w:hAnsi="微软雅黑" w:eastAsia="微软雅黑" w:cs="微软雅黑"/>
                      <w:sz w:val="18"/>
                      <w:szCs w:val="18"/>
                    </w:rPr>
                    <w:t xml:space="preserve">   </w:t>
                  </w:r>
                  <w:r>
                    <w:rPr>
                      <w:rFonts w:ascii="微软雅黑" w:hAnsi="微软雅黑" w:eastAsia="微软雅黑" w:cs="微软雅黑"/>
                      <w:spacing w:val="5"/>
                      <w:sz w:val="18"/>
                      <w:szCs w:val="18"/>
                    </w:rPr>
                    <w:t>协调层</w:t>
                  </w:r>
                </w:p>
                <w:p w14:paraId="094507B1">
                  <w:pPr>
                    <w:pStyle w:val="2"/>
                    <w:spacing w:line="371" w:lineRule="auto"/>
                  </w:pPr>
                </w:p>
                <w:p w14:paraId="13FE169A">
                  <w:pPr>
                    <w:spacing w:before="77" w:line="187" w:lineRule="auto"/>
                    <w:ind w:left="115" w:right="20" w:hanging="95"/>
                    <w:rPr>
                      <w:rFonts w:ascii="微软雅黑" w:hAnsi="微软雅黑" w:eastAsia="微软雅黑" w:cs="微软雅黑"/>
                      <w:sz w:val="18"/>
                      <w:szCs w:val="18"/>
                    </w:rPr>
                  </w:pPr>
                  <w:r>
                    <w:rPr>
                      <w:rFonts w:ascii="微软雅黑" w:hAnsi="微软雅黑" w:eastAsia="微软雅黑" w:cs="微软雅黑"/>
                      <w:color w:val="787878"/>
                      <w:spacing w:val="5"/>
                      <w:sz w:val="18"/>
                      <w:szCs w:val="18"/>
                    </w:rPr>
                    <w:t>数据资产</w:t>
                  </w:r>
                  <w:r>
                    <w:rPr>
                      <w:rFonts w:ascii="微软雅黑" w:hAnsi="微软雅黑" w:eastAsia="微软雅黑" w:cs="微软雅黑"/>
                      <w:color w:val="787878"/>
                      <w:spacing w:val="2"/>
                      <w:sz w:val="18"/>
                      <w:szCs w:val="18"/>
                    </w:rPr>
                    <w:t xml:space="preserve"> </w:t>
                  </w:r>
                  <w:r>
                    <w:rPr>
                      <w:rFonts w:ascii="微软雅黑" w:hAnsi="微软雅黑" w:eastAsia="微软雅黑" w:cs="微软雅黑"/>
                      <w:color w:val="787878"/>
                      <w:spacing w:val="5"/>
                      <w:sz w:val="18"/>
                      <w:szCs w:val="18"/>
                    </w:rPr>
                    <w:t>管理层</w:t>
                  </w:r>
                </w:p>
                <w:p w14:paraId="33005149">
                  <w:pPr>
                    <w:pStyle w:val="2"/>
                    <w:spacing w:line="282" w:lineRule="auto"/>
                  </w:pPr>
                </w:p>
                <w:p w14:paraId="632A9188">
                  <w:pPr>
                    <w:pStyle w:val="2"/>
                    <w:spacing w:line="283" w:lineRule="auto"/>
                  </w:pPr>
                </w:p>
                <w:p w14:paraId="6EA0F6F1">
                  <w:pPr>
                    <w:pStyle w:val="2"/>
                    <w:spacing w:line="283" w:lineRule="auto"/>
                  </w:pPr>
                </w:p>
                <w:p w14:paraId="75A67BCA">
                  <w:pPr>
                    <w:pStyle w:val="2"/>
                    <w:spacing w:line="283" w:lineRule="auto"/>
                  </w:pPr>
                </w:p>
                <w:p w14:paraId="5B163C41">
                  <w:pPr>
                    <w:spacing w:before="77" w:line="184" w:lineRule="auto"/>
                    <w:ind w:left="189" w:right="37" w:firstLine="95"/>
                    <w:rPr>
                      <w:rFonts w:ascii="微软雅黑" w:hAnsi="微软雅黑" w:eastAsia="微软雅黑" w:cs="微软雅黑"/>
                      <w:sz w:val="18"/>
                      <w:szCs w:val="18"/>
                    </w:rPr>
                  </w:pPr>
                  <w:r>
                    <w:rPr>
                      <w:rFonts w:ascii="微软雅黑" w:hAnsi="微软雅黑" w:eastAsia="微软雅黑" w:cs="微软雅黑"/>
                      <w:color w:val="638778"/>
                      <w:spacing w:val="3"/>
                      <w:sz w:val="18"/>
                      <w:szCs w:val="18"/>
                    </w:rPr>
                    <w:t>工作</w:t>
                  </w:r>
                  <w:r>
                    <w:rPr>
                      <w:rFonts w:ascii="微软雅黑" w:hAnsi="微软雅黑" w:eastAsia="微软雅黑" w:cs="微软雅黑"/>
                      <w:color w:val="638778"/>
                      <w:sz w:val="18"/>
                      <w:szCs w:val="18"/>
                    </w:rPr>
                    <w:t xml:space="preserve">   </w:t>
                  </w:r>
                  <w:r>
                    <w:rPr>
                      <w:rFonts w:ascii="微软雅黑" w:hAnsi="微软雅黑" w:eastAsia="微软雅黑" w:cs="微软雅黑"/>
                      <w:color w:val="638778"/>
                      <w:spacing w:val="5"/>
                      <w:sz w:val="18"/>
                      <w:szCs w:val="18"/>
                    </w:rPr>
                    <w:t>执行层</w:t>
                  </w:r>
                </w:p>
              </w:txbxContent>
            </v:textbox>
          </v:shape>
        </w:pict>
      </w:r>
      <w:r>
        <w:drawing>
          <wp:anchor distT="0" distB="0" distL="0" distR="0" simplePos="0" relativeHeight="251807744" behindDoc="1" locked="0" layoutInCell="1" allowOverlap="1">
            <wp:simplePos x="0" y="0"/>
            <wp:positionH relativeFrom="column">
              <wp:posOffset>1190625</wp:posOffset>
            </wp:positionH>
            <wp:positionV relativeFrom="paragraph">
              <wp:posOffset>1416685</wp:posOffset>
            </wp:positionV>
            <wp:extent cx="4420235" cy="16510"/>
            <wp:effectExtent l="0" t="0" r="0" b="0"/>
            <wp:wrapNone/>
            <wp:docPr id="168" name="IM 168"/>
            <wp:cNvGraphicFramePr/>
            <a:graphic xmlns:a="http://schemas.openxmlformats.org/drawingml/2006/main">
              <a:graphicData uri="http://schemas.openxmlformats.org/drawingml/2006/picture">
                <pic:pic xmlns:pic="http://schemas.openxmlformats.org/drawingml/2006/picture">
                  <pic:nvPicPr>
                    <pic:cNvPr id="168" name="IM 168"/>
                    <pic:cNvPicPr/>
                  </pic:nvPicPr>
                  <pic:blipFill>
                    <a:blip r:embed="rId111"/>
                    <a:stretch>
                      <a:fillRect/>
                    </a:stretch>
                  </pic:blipFill>
                  <pic:spPr>
                    <a:xfrm>
                      <a:off x="0" y="0"/>
                      <a:ext cx="4420514" cy="16556"/>
                    </a:xfrm>
                    <a:prstGeom prst="rect">
                      <a:avLst/>
                    </a:prstGeom>
                  </pic:spPr>
                </pic:pic>
              </a:graphicData>
            </a:graphic>
          </wp:anchor>
        </w:drawing>
      </w:r>
      <w:r>
        <w:drawing>
          <wp:anchor distT="0" distB="0" distL="0" distR="0" simplePos="0" relativeHeight="251809792" behindDoc="1" locked="0" layoutInCell="1" allowOverlap="1">
            <wp:simplePos x="0" y="0"/>
            <wp:positionH relativeFrom="column">
              <wp:posOffset>3624580</wp:posOffset>
            </wp:positionH>
            <wp:positionV relativeFrom="paragraph">
              <wp:posOffset>1446530</wp:posOffset>
            </wp:positionV>
            <wp:extent cx="678180" cy="313055"/>
            <wp:effectExtent l="0" t="0" r="0" b="0"/>
            <wp:wrapNone/>
            <wp:docPr id="170" name="IM 170"/>
            <wp:cNvGraphicFramePr/>
            <a:graphic xmlns:a="http://schemas.openxmlformats.org/drawingml/2006/main">
              <a:graphicData uri="http://schemas.openxmlformats.org/drawingml/2006/picture">
                <pic:pic xmlns:pic="http://schemas.openxmlformats.org/drawingml/2006/picture">
                  <pic:nvPicPr>
                    <pic:cNvPr id="170" name="IM 170"/>
                    <pic:cNvPicPr/>
                  </pic:nvPicPr>
                  <pic:blipFill>
                    <a:blip r:embed="rId112"/>
                    <a:stretch>
                      <a:fillRect/>
                    </a:stretch>
                  </pic:blipFill>
                  <pic:spPr>
                    <a:xfrm>
                      <a:off x="0" y="0"/>
                      <a:ext cx="678344" cy="313068"/>
                    </a:xfrm>
                    <a:prstGeom prst="rect">
                      <a:avLst/>
                    </a:prstGeom>
                  </pic:spPr>
                </pic:pic>
              </a:graphicData>
            </a:graphic>
          </wp:anchor>
        </w:drawing>
      </w:r>
      <w:r>
        <w:rPr>
          <w:rFonts w:ascii="微软雅黑" w:hAnsi="微软雅黑" w:eastAsia="微软雅黑" w:cs="微软雅黑"/>
          <w:spacing w:val="6"/>
          <w:position w:val="-1"/>
          <w:sz w:val="18"/>
          <w:szCs w:val="18"/>
        </w:rPr>
        <w:t>决策层</w:t>
      </w:r>
    </w:p>
    <w:p w14:paraId="3AE20A94">
      <w:pPr>
        <w:spacing w:line="151" w:lineRule="exact"/>
      </w:pPr>
    </w:p>
    <w:tbl>
      <w:tblPr>
        <w:tblStyle w:val="5"/>
        <w:tblW w:w="6961" w:type="dxa"/>
        <w:tblInd w:w="187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837"/>
        <w:gridCol w:w="1761"/>
        <w:gridCol w:w="3363"/>
      </w:tblGrid>
      <w:tr w14:paraId="2EEB9AF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88" w:hRule="atLeast"/>
        </w:trPr>
        <w:tc>
          <w:tcPr>
            <w:tcW w:w="6961" w:type="dxa"/>
            <w:gridSpan w:val="3"/>
            <w:tcBorders>
              <w:top w:val="single" w:color="6B8F80" w:sz="10" w:space="0"/>
              <w:bottom w:val="single" w:color="6B8F80" w:sz="6" w:space="0"/>
            </w:tcBorders>
            <w:vAlign w:val="top"/>
          </w:tcPr>
          <w:p w14:paraId="73373DB0">
            <w:pPr>
              <w:pStyle w:val="6"/>
              <w:spacing w:before="242" w:line="185" w:lineRule="exact"/>
              <w:ind w:left="2672"/>
              <w:rPr>
                <w:sz w:val="18"/>
                <w:szCs w:val="18"/>
              </w:rPr>
            </w:pPr>
            <w:r>
              <w:rPr>
                <w:spacing w:val="7"/>
                <w:position w:val="-1"/>
                <w:sz w:val="18"/>
                <w:szCs w:val="18"/>
              </w:rPr>
              <w:t>数据资产管理委员会</w:t>
            </w:r>
          </w:p>
        </w:tc>
      </w:tr>
      <w:tr w14:paraId="3F2C730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63" w:hRule="atLeast"/>
        </w:trPr>
        <w:tc>
          <w:tcPr>
            <w:tcW w:w="6961" w:type="dxa"/>
            <w:gridSpan w:val="3"/>
            <w:tcBorders>
              <w:top w:val="single" w:color="6B8F80" w:sz="6" w:space="0"/>
            </w:tcBorders>
            <w:vAlign w:val="top"/>
          </w:tcPr>
          <w:p w14:paraId="630B0867">
            <w:pPr>
              <w:spacing w:line="164" w:lineRule="exact"/>
            </w:pPr>
          </w:p>
          <w:tbl>
            <w:tblPr>
              <w:tblStyle w:val="5"/>
              <w:tblW w:w="2257" w:type="dxa"/>
              <w:tblInd w:w="2539" w:type="dxa"/>
              <w:tblBorders>
                <w:top w:val="single" w:color="404040" w:sz="8" w:space="0"/>
                <w:left w:val="single" w:color="404040" w:sz="8" w:space="0"/>
                <w:bottom w:val="single" w:color="404040" w:sz="8" w:space="0"/>
                <w:right w:val="single" w:color="404040" w:sz="8" w:space="0"/>
                <w:insideH w:val="none" w:color="auto" w:sz="0" w:space="0"/>
                <w:insideV w:val="none" w:color="auto" w:sz="0" w:space="0"/>
              </w:tblBorders>
              <w:tblLayout w:type="fixed"/>
              <w:tblCellMar>
                <w:top w:w="0" w:type="dxa"/>
                <w:left w:w="0" w:type="dxa"/>
                <w:bottom w:w="0" w:type="dxa"/>
                <w:right w:w="0" w:type="dxa"/>
              </w:tblCellMar>
            </w:tblPr>
            <w:tblGrid>
              <w:gridCol w:w="2257"/>
            </w:tblGrid>
            <w:tr w14:paraId="6CE3506F">
              <w:tblPrEx>
                <w:tblBorders>
                  <w:top w:val="single" w:color="404040" w:sz="8" w:space="0"/>
                  <w:left w:val="single" w:color="404040" w:sz="8" w:space="0"/>
                  <w:bottom w:val="single" w:color="404040" w:sz="8" w:space="0"/>
                  <w:right w:val="single" w:color="404040" w:sz="8" w:space="0"/>
                  <w:insideH w:val="none" w:color="auto" w:sz="0" w:space="0"/>
                  <w:insideV w:val="none" w:color="auto" w:sz="0" w:space="0"/>
                </w:tblBorders>
                <w:tblCellMar>
                  <w:top w:w="0" w:type="dxa"/>
                  <w:left w:w="0" w:type="dxa"/>
                  <w:bottom w:w="0" w:type="dxa"/>
                  <w:right w:w="0" w:type="dxa"/>
                </w:tblCellMar>
              </w:tblPrEx>
              <w:trPr>
                <w:trHeight w:val="312" w:hRule="atLeast"/>
              </w:trPr>
              <w:tc>
                <w:tcPr>
                  <w:tcW w:w="2257" w:type="dxa"/>
                  <w:vAlign w:val="top"/>
                </w:tcPr>
                <w:p w14:paraId="5F0E83A8">
                  <w:pPr>
                    <w:pStyle w:val="6"/>
                    <w:spacing w:before="63" w:line="163" w:lineRule="exact"/>
                    <w:ind w:left="367"/>
                    <w:rPr>
                      <w:sz w:val="16"/>
                      <w:szCs w:val="16"/>
                    </w:rPr>
                  </w:pPr>
                  <w:r>
                    <w:rPr>
                      <w:spacing w:val="3"/>
                      <w:position w:val="-1"/>
                      <w:sz w:val="16"/>
                      <w:szCs w:val="16"/>
                    </w:rPr>
                    <w:t>数据资产管理办公室</w:t>
                  </w:r>
                </w:p>
              </w:tc>
            </w:tr>
          </w:tbl>
          <w:p w14:paraId="67F0D8DD">
            <w:pPr>
              <w:spacing w:line="36" w:lineRule="exact"/>
              <w:rPr>
                <w:rFonts w:ascii="Arial"/>
                <w:sz w:val="3"/>
              </w:rPr>
            </w:pPr>
          </w:p>
        </w:tc>
      </w:tr>
      <w:tr w14:paraId="4D164CC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75" w:hRule="atLeast"/>
        </w:trPr>
        <w:tc>
          <w:tcPr>
            <w:tcW w:w="1837" w:type="dxa"/>
            <w:vAlign w:val="top"/>
          </w:tcPr>
          <w:p w14:paraId="1CB6EE02">
            <w:pPr>
              <w:spacing w:before="58" w:line="317" w:lineRule="exact"/>
              <w:ind w:firstLine="275"/>
            </w:pPr>
            <w:r>
              <w:rPr>
                <w:position w:val="-6"/>
              </w:rPr>
              <w:pict>
                <v:group id="_x0000_s1218" o:spid="_x0000_s1218" o:spt="203" style="height:15.85pt;width:68.1pt;" coordsize="1361,317">
                  <o:lock v:ext="edit"/>
                  <v:shape id="_x0000_s1219" o:spid="_x0000_s1219" o:spt="75" type="#_x0000_t75" style="position:absolute;left:5;top:5;height:306;width:1350;" filled="f" stroked="f" coordsize="21600,21600">
                    <v:path/>
                    <v:fill on="f" focussize="0,0"/>
                    <v:stroke on="f"/>
                    <v:imagedata r:id="rId113" o:title=""/>
                    <o:lock v:ext="edit" aspectratio="t"/>
                  </v:shape>
                  <v:shape id="_x0000_s1220" o:spid="_x0000_s1220" o:spt="202" type="#_x0000_t202" style="position:absolute;left:-20;top:-20;height:357;width:1401;" filled="f" stroked="f" coordsize="21600,21600">
                    <v:path/>
                    <v:fill on="f" focussize="0,0"/>
                    <v:stroke on="f"/>
                    <v:imagedata o:title=""/>
                    <o:lock v:ext="edit" aspectratio="f"/>
                    <v:textbox inset="0mm,0mm,0mm,0mm">
                      <w:txbxContent>
                        <w:p w14:paraId="173E9149">
                          <w:pPr>
                            <w:spacing w:line="20" w:lineRule="exact"/>
                          </w:pPr>
                        </w:p>
                        <w:tbl>
                          <w:tblPr>
                            <w:tblStyle w:val="5"/>
                            <w:tblW w:w="1341" w:type="dxa"/>
                            <w:tblInd w:w="30" w:type="dxa"/>
                            <w:tblBorders>
                              <w:top w:val="single" w:color="404040" w:sz="8" w:space="0"/>
                              <w:left w:val="single" w:color="404040" w:sz="8" w:space="0"/>
                              <w:bottom w:val="single" w:color="404040" w:sz="8" w:space="0"/>
                              <w:right w:val="single" w:color="404040" w:sz="8" w:space="0"/>
                              <w:insideH w:val="none" w:color="auto" w:sz="0" w:space="0"/>
                              <w:insideV w:val="none" w:color="auto" w:sz="0" w:space="0"/>
                            </w:tblBorders>
                            <w:tblLayout w:type="fixed"/>
                            <w:tblCellMar>
                              <w:top w:w="0" w:type="dxa"/>
                              <w:left w:w="0" w:type="dxa"/>
                              <w:bottom w:w="0" w:type="dxa"/>
                              <w:right w:w="0" w:type="dxa"/>
                            </w:tblCellMar>
                          </w:tblPr>
                          <w:tblGrid>
                            <w:gridCol w:w="1341"/>
                          </w:tblGrid>
                          <w:tr w14:paraId="3C0D9939">
                            <w:tblPrEx>
                              <w:tblBorders>
                                <w:top w:val="single" w:color="404040" w:sz="8" w:space="0"/>
                                <w:left w:val="single" w:color="404040" w:sz="8" w:space="0"/>
                                <w:bottom w:val="single" w:color="404040" w:sz="8" w:space="0"/>
                                <w:right w:val="single" w:color="404040" w:sz="8" w:space="0"/>
                                <w:insideH w:val="none" w:color="auto" w:sz="0" w:space="0"/>
                                <w:insideV w:val="none" w:color="auto" w:sz="0" w:space="0"/>
                              </w:tblBorders>
                              <w:tblCellMar>
                                <w:top w:w="0" w:type="dxa"/>
                                <w:left w:w="0" w:type="dxa"/>
                                <w:bottom w:w="0" w:type="dxa"/>
                                <w:right w:w="0" w:type="dxa"/>
                              </w:tblCellMar>
                            </w:tblPrEx>
                            <w:trPr>
                              <w:trHeight w:val="276" w:hRule="atLeast"/>
                            </w:trPr>
                            <w:tc>
                              <w:tcPr>
                                <w:tcW w:w="1341" w:type="dxa"/>
                                <w:vAlign w:val="top"/>
                              </w:tcPr>
                              <w:p w14:paraId="209234E8">
                                <w:pPr>
                                  <w:rPr>
                                    <w:rFonts w:ascii="Arial"/>
                                    <w:sz w:val="21"/>
                                  </w:rPr>
                                </w:pPr>
                              </w:p>
                            </w:tc>
                          </w:tr>
                        </w:tbl>
                        <w:p w14:paraId="1D3EA909">
                          <w:pPr>
                            <w:rPr>
                              <w:rFonts w:ascii="Arial"/>
                              <w:sz w:val="21"/>
                            </w:rPr>
                          </w:pPr>
                        </w:p>
                      </w:txbxContent>
                    </v:textbox>
                  </v:shape>
                  <w10:wrap type="none"/>
                  <w10:anchorlock/>
                </v:group>
              </w:pict>
            </w:r>
          </w:p>
        </w:tc>
        <w:tc>
          <w:tcPr>
            <w:tcW w:w="1761" w:type="dxa"/>
            <w:vAlign w:val="top"/>
          </w:tcPr>
          <w:p w14:paraId="253BF8B4">
            <w:pPr>
              <w:spacing w:before="47" w:line="317" w:lineRule="exact"/>
              <w:ind w:firstLine="199"/>
            </w:pPr>
            <w:r>
              <w:rPr>
                <w:position w:val="-6"/>
              </w:rPr>
              <w:pict>
                <v:group id="_x0000_s1221" o:spid="_x0000_s1221" o:spt="203" style="height:15.85pt;width:68.1pt;" coordsize="1361,317">
                  <o:lock v:ext="edit"/>
                  <v:shape id="_x0000_s1222" o:spid="_x0000_s1222" o:spt="75" type="#_x0000_t75" style="position:absolute;left:5;top:5;height:306;width:1350;" filled="f" stroked="f" coordsize="21600,21600">
                    <v:path/>
                    <v:fill on="f" focussize="0,0"/>
                    <v:stroke on="f"/>
                    <v:imagedata r:id="rId114" o:title=""/>
                    <o:lock v:ext="edit" aspectratio="t"/>
                  </v:shape>
                  <v:shape id="_x0000_s1223" o:spid="_x0000_s1223" o:spt="202" type="#_x0000_t202" style="position:absolute;left:-20;top:-20;height:357;width:1401;" filled="f" stroked="f" coordsize="21600,21600">
                    <v:path/>
                    <v:fill on="f" focussize="0,0"/>
                    <v:stroke on="f"/>
                    <v:imagedata o:title=""/>
                    <o:lock v:ext="edit" aspectratio="f"/>
                    <v:textbox inset="0mm,0mm,0mm,0mm">
                      <w:txbxContent>
                        <w:p w14:paraId="385D5FB7">
                          <w:pPr>
                            <w:spacing w:line="20" w:lineRule="exact"/>
                          </w:pPr>
                        </w:p>
                        <w:tbl>
                          <w:tblPr>
                            <w:tblStyle w:val="5"/>
                            <w:tblW w:w="1341" w:type="dxa"/>
                            <w:tblInd w:w="30" w:type="dxa"/>
                            <w:tblBorders>
                              <w:top w:val="single" w:color="404040" w:sz="8" w:space="0"/>
                              <w:left w:val="single" w:color="404040" w:sz="8" w:space="0"/>
                              <w:bottom w:val="single" w:color="404040" w:sz="8" w:space="0"/>
                              <w:right w:val="single" w:color="404040" w:sz="8" w:space="0"/>
                              <w:insideH w:val="none" w:color="auto" w:sz="0" w:space="0"/>
                              <w:insideV w:val="none" w:color="auto" w:sz="0" w:space="0"/>
                            </w:tblBorders>
                            <w:tblLayout w:type="fixed"/>
                            <w:tblCellMar>
                              <w:top w:w="0" w:type="dxa"/>
                              <w:left w:w="0" w:type="dxa"/>
                              <w:bottom w:w="0" w:type="dxa"/>
                              <w:right w:w="0" w:type="dxa"/>
                            </w:tblCellMar>
                          </w:tblPr>
                          <w:tblGrid>
                            <w:gridCol w:w="1341"/>
                          </w:tblGrid>
                          <w:tr w14:paraId="6AADE817">
                            <w:tblPrEx>
                              <w:tblBorders>
                                <w:top w:val="single" w:color="404040" w:sz="8" w:space="0"/>
                                <w:left w:val="single" w:color="404040" w:sz="8" w:space="0"/>
                                <w:bottom w:val="single" w:color="404040" w:sz="8" w:space="0"/>
                                <w:right w:val="single" w:color="404040" w:sz="8" w:space="0"/>
                                <w:insideH w:val="none" w:color="auto" w:sz="0" w:space="0"/>
                                <w:insideV w:val="none" w:color="auto" w:sz="0" w:space="0"/>
                              </w:tblBorders>
                              <w:tblCellMar>
                                <w:top w:w="0" w:type="dxa"/>
                                <w:left w:w="0" w:type="dxa"/>
                                <w:bottom w:w="0" w:type="dxa"/>
                                <w:right w:w="0" w:type="dxa"/>
                              </w:tblCellMar>
                            </w:tblPrEx>
                            <w:trPr>
                              <w:trHeight w:val="276" w:hRule="atLeast"/>
                            </w:trPr>
                            <w:tc>
                              <w:tcPr>
                                <w:tcW w:w="1341" w:type="dxa"/>
                                <w:vAlign w:val="top"/>
                              </w:tcPr>
                              <w:p w14:paraId="7F7DF227">
                                <w:pPr>
                                  <w:rPr>
                                    <w:rFonts w:ascii="Arial"/>
                                    <w:sz w:val="21"/>
                                  </w:rPr>
                                </w:pPr>
                              </w:p>
                            </w:tc>
                          </w:tr>
                        </w:tbl>
                        <w:p w14:paraId="5DEF1E80">
                          <w:pPr>
                            <w:rPr>
                              <w:rFonts w:ascii="Arial"/>
                              <w:sz w:val="21"/>
                            </w:rPr>
                          </w:pPr>
                        </w:p>
                      </w:txbxContent>
                    </v:textbox>
                  </v:shape>
                  <w10:wrap type="none"/>
                  <w10:anchorlock/>
                </v:group>
              </w:pict>
            </w:r>
          </w:p>
        </w:tc>
        <w:tc>
          <w:tcPr>
            <w:tcW w:w="3363" w:type="dxa"/>
            <w:vAlign w:val="top"/>
          </w:tcPr>
          <w:p w14:paraId="5863FFAC">
            <w:pPr>
              <w:spacing w:before="47" w:line="317" w:lineRule="exact"/>
              <w:ind w:firstLine="199"/>
            </w:pPr>
            <w:r>
              <w:pict>
                <v:group id="_x0000_s1224" o:spid="_x0000_s1224" o:spt="203" style="position:absolute;left:0pt;margin-left:98.65pt;margin-top:2.35pt;height:15.85pt;width:63.4pt;mso-position-horizontal-relative:page;mso-position-vertical-relative:page;z-index:251834368;mso-width-relative:page;mso-height-relative:page;" coordsize="1268,317">
                  <o:lock v:ext="edit"/>
                  <v:shape id="_x0000_s1225" o:spid="_x0000_s1225" o:spt="75" type="#_x0000_t75" style="position:absolute;left:5;top:5;height:306;width:1256;" filled="f" stroked="f" coordsize="21600,21600">
                    <v:path/>
                    <v:fill on="f" focussize="0,0"/>
                    <v:stroke on="f"/>
                    <v:imagedata r:id="rId115" o:title=""/>
                    <o:lock v:ext="edit" aspectratio="t"/>
                  </v:shape>
                  <v:shape id="_x0000_s1226" o:spid="_x0000_s1226" o:spt="202" type="#_x0000_t202" style="position:absolute;left:-20;top:-20;height:357;width:1308;" filled="f" stroked="f" coordsize="21600,21600">
                    <v:path/>
                    <v:fill on="f" focussize="0,0"/>
                    <v:stroke on="f"/>
                    <v:imagedata o:title=""/>
                    <o:lock v:ext="edit" aspectratio="f"/>
                    <v:textbox inset="0mm,0mm,0mm,0mm">
                      <w:txbxContent>
                        <w:p w14:paraId="34767AC3">
                          <w:pPr>
                            <w:spacing w:line="20" w:lineRule="exact"/>
                          </w:pPr>
                        </w:p>
                        <w:tbl>
                          <w:tblPr>
                            <w:tblStyle w:val="5"/>
                            <w:tblW w:w="1247" w:type="dxa"/>
                            <w:tblInd w:w="30" w:type="dxa"/>
                            <w:tblBorders>
                              <w:top w:val="single" w:color="404040" w:sz="8" w:space="0"/>
                              <w:left w:val="single" w:color="404040" w:sz="8" w:space="0"/>
                              <w:bottom w:val="single" w:color="404040" w:sz="8" w:space="0"/>
                              <w:right w:val="single" w:color="404040" w:sz="8" w:space="0"/>
                              <w:insideH w:val="none" w:color="auto" w:sz="0" w:space="0"/>
                              <w:insideV w:val="none" w:color="auto" w:sz="0" w:space="0"/>
                            </w:tblBorders>
                            <w:tblLayout w:type="fixed"/>
                            <w:tblCellMar>
                              <w:top w:w="0" w:type="dxa"/>
                              <w:left w:w="0" w:type="dxa"/>
                              <w:bottom w:w="0" w:type="dxa"/>
                              <w:right w:w="0" w:type="dxa"/>
                            </w:tblCellMar>
                          </w:tblPr>
                          <w:tblGrid>
                            <w:gridCol w:w="1247"/>
                          </w:tblGrid>
                          <w:tr w14:paraId="0BCC5FCD">
                            <w:tblPrEx>
                              <w:tblBorders>
                                <w:top w:val="single" w:color="404040" w:sz="8" w:space="0"/>
                                <w:left w:val="single" w:color="404040" w:sz="8" w:space="0"/>
                                <w:bottom w:val="single" w:color="404040" w:sz="8" w:space="0"/>
                                <w:right w:val="single" w:color="404040" w:sz="8" w:space="0"/>
                                <w:insideH w:val="none" w:color="auto" w:sz="0" w:space="0"/>
                                <w:insideV w:val="none" w:color="auto" w:sz="0" w:space="0"/>
                              </w:tblBorders>
                              <w:tblCellMar>
                                <w:top w:w="0" w:type="dxa"/>
                                <w:left w:w="0" w:type="dxa"/>
                                <w:bottom w:w="0" w:type="dxa"/>
                                <w:right w:w="0" w:type="dxa"/>
                              </w:tblCellMar>
                            </w:tblPrEx>
                            <w:trPr>
                              <w:trHeight w:val="276" w:hRule="atLeast"/>
                            </w:trPr>
                            <w:tc>
                              <w:tcPr>
                                <w:tcW w:w="1247" w:type="dxa"/>
                                <w:vAlign w:val="top"/>
                              </w:tcPr>
                              <w:p w14:paraId="4CBBEF56">
                                <w:pPr>
                                  <w:rPr>
                                    <w:rFonts w:ascii="Arial"/>
                                    <w:sz w:val="21"/>
                                  </w:rPr>
                                </w:pPr>
                              </w:p>
                            </w:tc>
                          </w:tr>
                        </w:tbl>
                        <w:p w14:paraId="3F9AB04B">
                          <w:pPr>
                            <w:rPr>
                              <w:rFonts w:ascii="Arial"/>
                              <w:sz w:val="21"/>
                            </w:rPr>
                          </w:pPr>
                        </w:p>
                      </w:txbxContent>
                    </v:textbox>
                  </v:shape>
                </v:group>
              </w:pict>
            </w:r>
            <w:r>
              <w:rPr>
                <w:position w:val="-6"/>
              </w:rPr>
              <w:pict>
                <v:group id="_x0000_s1227" o:spid="_x0000_s1227" o:spt="203" style="height:15.85pt;width:68.7pt;" coordsize="1373,317">
                  <o:lock v:ext="edit"/>
                  <v:shape id="_x0000_s1228" o:spid="_x0000_s1228" o:spt="75" type="#_x0000_t75" style="position:absolute;left:5;top:5;height:306;width:1361;" filled="f" stroked="f" coordsize="21600,21600">
                    <v:path/>
                    <v:fill on="f" focussize="0,0"/>
                    <v:stroke on="f"/>
                    <v:imagedata r:id="rId116" o:title=""/>
                    <o:lock v:ext="edit" aspectratio="t"/>
                  </v:shape>
                  <v:shape id="_x0000_s1229" o:spid="_x0000_s1229" o:spt="202" type="#_x0000_t202" style="position:absolute;left:-20;top:-20;height:357;width:1413;" filled="f" stroked="f" coordsize="21600,21600">
                    <v:path/>
                    <v:fill on="f" focussize="0,0"/>
                    <v:stroke on="f"/>
                    <v:imagedata o:title=""/>
                    <o:lock v:ext="edit" aspectratio="f"/>
                    <v:textbox inset="0mm,0mm,0mm,0mm">
                      <w:txbxContent>
                        <w:p w14:paraId="75108A77">
                          <w:pPr>
                            <w:spacing w:line="20" w:lineRule="exact"/>
                          </w:pPr>
                        </w:p>
                        <w:tbl>
                          <w:tblPr>
                            <w:tblStyle w:val="5"/>
                            <w:tblW w:w="1353" w:type="dxa"/>
                            <w:tblInd w:w="30" w:type="dxa"/>
                            <w:tblBorders>
                              <w:top w:val="single" w:color="404040" w:sz="8" w:space="0"/>
                              <w:left w:val="single" w:color="404040" w:sz="8" w:space="0"/>
                              <w:bottom w:val="single" w:color="404040" w:sz="8" w:space="0"/>
                              <w:right w:val="single" w:color="404040" w:sz="8" w:space="0"/>
                              <w:insideH w:val="none" w:color="auto" w:sz="0" w:space="0"/>
                              <w:insideV w:val="none" w:color="auto" w:sz="0" w:space="0"/>
                            </w:tblBorders>
                            <w:tblLayout w:type="fixed"/>
                            <w:tblCellMar>
                              <w:top w:w="0" w:type="dxa"/>
                              <w:left w:w="0" w:type="dxa"/>
                              <w:bottom w:w="0" w:type="dxa"/>
                              <w:right w:w="0" w:type="dxa"/>
                            </w:tblCellMar>
                          </w:tblPr>
                          <w:tblGrid>
                            <w:gridCol w:w="1353"/>
                          </w:tblGrid>
                          <w:tr w14:paraId="0F3908AF">
                            <w:tblPrEx>
                              <w:tblBorders>
                                <w:top w:val="single" w:color="404040" w:sz="8" w:space="0"/>
                                <w:left w:val="single" w:color="404040" w:sz="8" w:space="0"/>
                                <w:bottom w:val="single" w:color="404040" w:sz="8" w:space="0"/>
                                <w:right w:val="single" w:color="404040" w:sz="8" w:space="0"/>
                                <w:insideH w:val="none" w:color="auto" w:sz="0" w:space="0"/>
                                <w:insideV w:val="none" w:color="auto" w:sz="0" w:space="0"/>
                              </w:tblBorders>
                              <w:tblCellMar>
                                <w:top w:w="0" w:type="dxa"/>
                                <w:left w:w="0" w:type="dxa"/>
                                <w:bottom w:w="0" w:type="dxa"/>
                                <w:right w:w="0" w:type="dxa"/>
                              </w:tblCellMar>
                            </w:tblPrEx>
                            <w:trPr>
                              <w:trHeight w:val="276" w:hRule="atLeast"/>
                            </w:trPr>
                            <w:tc>
                              <w:tcPr>
                                <w:tcW w:w="1353" w:type="dxa"/>
                                <w:vAlign w:val="top"/>
                              </w:tcPr>
                              <w:p w14:paraId="640CE342">
                                <w:pPr>
                                  <w:rPr>
                                    <w:rFonts w:ascii="Arial"/>
                                    <w:sz w:val="21"/>
                                  </w:rPr>
                                </w:pPr>
                              </w:p>
                            </w:tc>
                          </w:tr>
                        </w:tbl>
                        <w:p w14:paraId="63C62234">
                          <w:pPr>
                            <w:rPr>
                              <w:rFonts w:ascii="Arial"/>
                              <w:sz w:val="21"/>
                            </w:rPr>
                          </w:pPr>
                        </w:p>
                      </w:txbxContent>
                    </v:textbox>
                  </v:shape>
                  <w10:wrap type="none"/>
                  <w10:anchorlock/>
                </v:group>
              </w:pict>
            </w:r>
          </w:p>
        </w:tc>
      </w:tr>
    </w:tbl>
    <w:p w14:paraId="0873FD5D">
      <w:pPr>
        <w:spacing w:line="493" w:lineRule="exact"/>
        <w:ind w:firstLine="1916"/>
      </w:pPr>
      <w:r>
        <mc:AlternateContent>
          <mc:Choice Requires="wps">
            <w:drawing>
              <wp:anchor distT="0" distB="0" distL="0" distR="0" simplePos="0" relativeHeight="251805696" behindDoc="1" locked="0" layoutInCell="1" allowOverlap="1">
                <wp:simplePos x="0" y="0"/>
                <wp:positionH relativeFrom="column">
                  <wp:posOffset>3609340</wp:posOffset>
                </wp:positionH>
                <wp:positionV relativeFrom="paragraph">
                  <wp:posOffset>0</wp:posOffset>
                </wp:positionV>
                <wp:extent cx="15240" cy="313690"/>
                <wp:effectExtent l="0" t="0" r="0" b="0"/>
                <wp:wrapNone/>
                <wp:docPr id="172" name="Rect 172"/>
                <wp:cNvGraphicFramePr/>
                <a:graphic xmlns:a="http://schemas.openxmlformats.org/drawingml/2006/main">
                  <a:graphicData uri="http://schemas.microsoft.com/office/word/2010/wordprocessingShape">
                    <wps:wsp>
                      <wps:cNvSpPr/>
                      <wps:spPr>
                        <a:xfrm>
                          <a:off x="3609818" y="6"/>
                          <a:ext cx="15240" cy="313690"/>
                        </a:xfrm>
                        <a:prstGeom prst="rect">
                          <a:avLst/>
                        </a:prstGeom>
                        <a:solidFill>
                          <a:srgbClr val="FFFFFF"/>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172" o:spid="_x0000_s1026" o:spt="1" style="position:absolute;left:0pt;margin-left:284.2pt;margin-top:0pt;height:24.7pt;width:1.2pt;z-index:-251510784;mso-width-relative:page;mso-height-relative:page;" fillcolor="#FFFFFF" filled="t" stroked="f" coordsize="21600,21600" o:gfxdata="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BJgzOfXAAAABwEAAA8AAAAAAAAAAQAgAAAAIgAAAGRycy9kb3ducmV2LnhtbFBLAQIU&#10;ABQAAAAIAIdO4kDVXIjKLQIAAGoEAAAOAAAAAAAAAAEAIAAAACYBAABkcnMvZTJvRG9jLnhtbFBL&#10;BQYAAAAABgAGAFkBAADFBQAAAAA=&#10;">
                <v:fill on="t" focussize="0,0"/>
                <v:stroke on="f" weight="0pt"/>
                <v:imagedata o:title=""/>
                <o:lock v:ext="edit" aspectratio="f"/>
                <v:textbox inset="0mm,0mm,0mm,0mm"/>
              </v:rect>
            </w:pict>
          </mc:Fallback>
        </mc:AlternateContent>
      </w:r>
      <w:r>
        <w:pict>
          <v:shape id="_x0000_s1230" o:spid="_x0000_s1230" o:spt="202" type="#_x0000_t202" style="position:absolute;left:0pt;margin-left:290.7pt;margin-top:3.7pt;height:11.15pt;width:38.9pt;z-index:251824128;mso-width-relative:page;mso-height-relative:page;" filled="f" stroked="f" coordsize="21600,21600">
            <v:path/>
            <v:fill on="f" focussize="0,0"/>
            <v:stroke on="f"/>
            <v:imagedata o:title=""/>
            <o:lock v:ext="edit" aspectratio="f"/>
            <v:textbox inset="0mm,0mm,0mm,0mm">
              <w:txbxContent>
                <w:p w14:paraId="04246139">
                  <w:pPr>
                    <w:spacing w:before="20" w:line="182" w:lineRule="exact"/>
                    <w:ind w:left="20"/>
                    <w:rPr>
                      <w:rFonts w:ascii="微软雅黑" w:hAnsi="微软雅黑" w:eastAsia="微软雅黑" w:cs="微软雅黑"/>
                      <w:sz w:val="18"/>
                      <w:szCs w:val="18"/>
                    </w:rPr>
                  </w:pPr>
                  <w:r>
                    <w:rPr>
                      <w:rFonts w:ascii="微软雅黑" w:hAnsi="微软雅黑" w:eastAsia="微软雅黑" w:cs="微软雅黑"/>
                      <w:color w:val="4F6B61"/>
                      <w:spacing w:val="4"/>
                      <w:position w:val="-1"/>
                      <w:sz w:val="18"/>
                      <w:szCs w:val="18"/>
                    </w:rPr>
                    <w:t>技术部门</w:t>
                  </w:r>
                </w:p>
              </w:txbxContent>
            </v:textbox>
          </v:shape>
        </w:pict>
      </w:r>
      <w:r>
        <w:pict>
          <v:shape id="_x0000_s1231" o:spid="_x0000_s1231" o:spt="202" type="#_x0000_t202" style="position:absolute;left:0pt;margin-left:384.9pt;margin-top:18.65pt;height:10pt;width:34.75pt;z-index:251825152;mso-width-relative:page;mso-height-relative:page;" filled="f" stroked="f" coordsize="21600,21600">
            <v:path/>
            <v:fill on="f" focussize="0,0"/>
            <v:stroke on="f"/>
            <v:imagedata o:title=""/>
            <o:lock v:ext="edit" aspectratio="f"/>
            <v:textbox inset="0mm,0mm,0mm,0mm">
              <w:txbxContent>
                <w:p w14:paraId="5557F428">
                  <w:pPr>
                    <w:spacing w:before="20" w:line="159" w:lineRule="exact"/>
                    <w:ind w:left="20"/>
                    <w:rPr>
                      <w:rFonts w:ascii="微软雅黑" w:hAnsi="微软雅黑" w:eastAsia="微软雅黑" w:cs="微软雅黑"/>
                      <w:sz w:val="15"/>
                      <w:szCs w:val="15"/>
                    </w:rPr>
                  </w:pPr>
                  <w:r>
                    <w:rPr>
                      <w:rFonts w:ascii="微软雅黑" w:hAnsi="微软雅黑" w:eastAsia="微软雅黑" w:cs="微软雅黑"/>
                      <w:color w:val="6B8F80"/>
                      <w:spacing w:val="13"/>
                      <w:sz w:val="15"/>
                      <w:szCs w:val="15"/>
                    </w:rPr>
                    <w:t>数据支撑</w:t>
                  </w:r>
                </w:p>
              </w:txbxContent>
            </v:textbox>
          </v:shape>
        </w:pict>
      </w:r>
      <w:r>
        <w:pict>
          <v:shape id="_x0000_s1232" o:spid="_x0000_s1232" o:spt="202" type="#_x0000_t202" style="position:absolute;left:0pt;margin-left:332.6pt;margin-top:18.7pt;height:10pt;width:18.25pt;z-index:251826176;mso-width-relative:page;mso-height-relative:page;" filled="f" stroked="f" coordsize="21600,21600">
            <v:path/>
            <v:fill on="f" focussize="0,0"/>
            <v:stroke on="f"/>
            <v:imagedata o:title=""/>
            <o:lock v:ext="edit" aspectratio="f"/>
            <v:textbox inset="0mm,0mm,0mm,0mm">
              <w:txbxContent>
                <w:p w14:paraId="04DE7E32">
                  <w:pPr>
                    <w:spacing w:before="20" w:line="159" w:lineRule="exact"/>
                    <w:ind w:left="20"/>
                    <w:rPr>
                      <w:rFonts w:ascii="微软雅黑" w:hAnsi="微软雅黑" w:eastAsia="微软雅黑" w:cs="微软雅黑"/>
                      <w:sz w:val="15"/>
                      <w:szCs w:val="15"/>
                    </w:rPr>
                  </w:pPr>
                  <w:r>
                    <w:rPr>
                      <w:rFonts w:ascii="微软雅黑" w:hAnsi="微软雅黑" w:eastAsia="微软雅黑" w:cs="微软雅黑"/>
                      <w:color w:val="6B8F80"/>
                      <w:spacing w:val="12"/>
                      <w:sz w:val="15"/>
                      <w:szCs w:val="15"/>
                    </w:rPr>
                    <w:t>支撑</w:t>
                  </w:r>
                </w:p>
              </w:txbxContent>
            </v:textbox>
          </v:shape>
        </w:pict>
      </w:r>
      <w:r>
        <w:pict>
          <v:shape id="_x0000_s1233" o:spid="_x0000_s1233" o:spt="202" type="#_x0000_t202" style="position:absolute;left:0pt;margin-left:213.4pt;margin-top:18.95pt;height:10pt;width:34.75pt;z-index:251832320;mso-width-relative:page;mso-height-relative:page;" filled="f" stroked="f" coordsize="21600,21600">
            <v:path/>
            <v:fill on="f" focussize="0,0"/>
            <v:stroke on="f"/>
            <v:imagedata o:title=""/>
            <o:lock v:ext="edit" aspectratio="f"/>
            <v:textbox inset="0mm,0mm,0mm,0mm">
              <w:txbxContent>
                <w:p w14:paraId="5F8B2605">
                  <w:pPr>
                    <w:spacing w:before="20" w:line="159" w:lineRule="exact"/>
                    <w:ind w:left="20"/>
                    <w:rPr>
                      <w:rFonts w:ascii="微软雅黑" w:hAnsi="微软雅黑" w:eastAsia="微软雅黑" w:cs="微软雅黑"/>
                      <w:sz w:val="15"/>
                      <w:szCs w:val="15"/>
                    </w:rPr>
                  </w:pPr>
                  <w:r>
                    <w:rPr>
                      <w:rFonts w:ascii="微软雅黑" w:hAnsi="微软雅黑" w:eastAsia="微软雅黑" w:cs="微软雅黑"/>
                      <w:color w:val="638778"/>
                      <w:spacing w:val="13"/>
                      <w:sz w:val="15"/>
                      <w:szCs w:val="15"/>
                    </w:rPr>
                    <w:t>数据支撑</w:t>
                  </w:r>
                </w:p>
              </w:txbxContent>
            </v:textbox>
          </v:shape>
        </w:pict>
      </w:r>
      <w:r>
        <w:pict>
          <v:shape id="_x0000_s1234" o:spid="_x0000_s1234" o:spt="202" type="#_x0000_t202" style="position:absolute;left:0pt;margin-left:128.5pt;margin-top:18.95pt;height:10pt;width:34.65pt;z-index:251833344;mso-width-relative:page;mso-height-relative:page;" filled="f" stroked="f" coordsize="21600,21600">
            <v:path/>
            <v:fill on="f" focussize="0,0"/>
            <v:stroke on="f"/>
            <v:imagedata o:title=""/>
            <o:lock v:ext="edit" aspectratio="f"/>
            <v:textbox inset="0mm,0mm,0mm,0mm">
              <w:txbxContent>
                <w:p w14:paraId="2A772B2F">
                  <w:pPr>
                    <w:spacing w:before="20" w:line="159" w:lineRule="exact"/>
                    <w:ind w:left="20"/>
                    <w:rPr>
                      <w:rFonts w:ascii="微软雅黑" w:hAnsi="微软雅黑" w:eastAsia="微软雅黑" w:cs="微软雅黑"/>
                      <w:sz w:val="15"/>
                      <w:szCs w:val="15"/>
                    </w:rPr>
                  </w:pPr>
                  <w:r>
                    <w:rPr>
                      <w:rFonts w:ascii="微软雅黑" w:hAnsi="微软雅黑" w:eastAsia="微软雅黑" w:cs="微软雅黑"/>
                      <w:color w:val="638778"/>
                      <w:spacing w:val="13"/>
                      <w:sz w:val="15"/>
                      <w:szCs w:val="15"/>
                    </w:rPr>
                    <w:t>业务支撑</w:t>
                  </w:r>
                </w:p>
              </w:txbxContent>
            </v:textbox>
          </v:shape>
        </w:pict>
      </w:r>
      <w:r>
        <w:drawing>
          <wp:anchor distT="0" distB="0" distL="0" distR="0" simplePos="0" relativeHeight="251803648" behindDoc="1" locked="0" layoutInCell="1" allowOverlap="1">
            <wp:simplePos x="0" y="0"/>
            <wp:positionH relativeFrom="column">
              <wp:posOffset>1238885</wp:posOffset>
            </wp:positionH>
            <wp:positionV relativeFrom="paragraph">
              <wp:posOffset>22225</wp:posOffset>
            </wp:positionV>
            <wp:extent cx="2280920" cy="1572895"/>
            <wp:effectExtent l="0" t="0" r="0" b="0"/>
            <wp:wrapNone/>
            <wp:docPr id="174" name="IM 174"/>
            <wp:cNvGraphicFramePr/>
            <a:graphic xmlns:a="http://schemas.openxmlformats.org/drawingml/2006/main">
              <a:graphicData uri="http://schemas.openxmlformats.org/drawingml/2006/picture">
                <pic:pic xmlns:pic="http://schemas.openxmlformats.org/drawingml/2006/picture">
                  <pic:nvPicPr>
                    <pic:cNvPr id="174" name="IM 174"/>
                    <pic:cNvPicPr/>
                  </pic:nvPicPr>
                  <pic:blipFill>
                    <a:blip r:embed="rId117"/>
                    <a:stretch>
                      <a:fillRect/>
                    </a:stretch>
                  </pic:blipFill>
                  <pic:spPr>
                    <a:xfrm>
                      <a:off x="0" y="0"/>
                      <a:ext cx="2280983" cy="1572831"/>
                    </a:xfrm>
                    <a:prstGeom prst="rect">
                      <a:avLst/>
                    </a:prstGeom>
                  </pic:spPr>
                </pic:pic>
              </a:graphicData>
            </a:graphic>
          </wp:anchor>
        </w:drawing>
      </w:r>
      <w:r>
        <w:drawing>
          <wp:anchor distT="0" distB="0" distL="0" distR="0" simplePos="0" relativeHeight="251808768" behindDoc="1" locked="0" layoutInCell="1" allowOverlap="1">
            <wp:simplePos x="0" y="0"/>
            <wp:positionH relativeFrom="column">
              <wp:posOffset>3646805</wp:posOffset>
            </wp:positionH>
            <wp:positionV relativeFrom="paragraph">
              <wp:posOffset>22225</wp:posOffset>
            </wp:positionV>
            <wp:extent cx="1967865" cy="1572895"/>
            <wp:effectExtent l="0" t="0" r="0" b="0"/>
            <wp:wrapNone/>
            <wp:docPr id="176" name="IM 176"/>
            <wp:cNvGraphicFramePr/>
            <a:graphic xmlns:a="http://schemas.openxmlformats.org/drawingml/2006/main">
              <a:graphicData uri="http://schemas.openxmlformats.org/drawingml/2006/picture">
                <pic:pic xmlns:pic="http://schemas.openxmlformats.org/drawingml/2006/picture">
                  <pic:nvPicPr>
                    <pic:cNvPr id="176" name="IM 176"/>
                    <pic:cNvPicPr/>
                  </pic:nvPicPr>
                  <pic:blipFill>
                    <a:blip r:embed="rId118"/>
                    <a:stretch>
                      <a:fillRect/>
                    </a:stretch>
                  </pic:blipFill>
                  <pic:spPr>
                    <a:xfrm>
                      <a:off x="0" y="0"/>
                      <a:ext cx="1967903" cy="1572831"/>
                    </a:xfrm>
                    <a:prstGeom prst="rect">
                      <a:avLst/>
                    </a:prstGeom>
                  </pic:spPr>
                </pic:pic>
              </a:graphicData>
            </a:graphic>
          </wp:anchor>
        </w:drawing>
      </w:r>
      <w:r>
        <w:drawing>
          <wp:anchor distT="0" distB="0" distL="0" distR="0" simplePos="0" relativeHeight="251812864" behindDoc="1" locked="0" layoutInCell="1" allowOverlap="1">
            <wp:simplePos x="0" y="0"/>
            <wp:positionH relativeFrom="column">
              <wp:posOffset>1216660</wp:posOffset>
            </wp:positionH>
            <wp:positionV relativeFrom="paragraph">
              <wp:posOffset>0</wp:posOffset>
            </wp:positionV>
            <wp:extent cx="2355215" cy="1647190"/>
            <wp:effectExtent l="0" t="0" r="0" b="0"/>
            <wp:wrapNone/>
            <wp:docPr id="178" name="IM 178"/>
            <wp:cNvGraphicFramePr/>
            <a:graphic xmlns:a="http://schemas.openxmlformats.org/drawingml/2006/main">
              <a:graphicData uri="http://schemas.openxmlformats.org/drawingml/2006/picture">
                <pic:pic xmlns:pic="http://schemas.openxmlformats.org/drawingml/2006/picture">
                  <pic:nvPicPr>
                    <pic:cNvPr id="178" name="IM 178"/>
                    <pic:cNvPicPr/>
                  </pic:nvPicPr>
                  <pic:blipFill>
                    <a:blip r:embed="rId119"/>
                    <a:stretch>
                      <a:fillRect/>
                    </a:stretch>
                  </pic:blipFill>
                  <pic:spPr>
                    <a:xfrm>
                      <a:off x="0" y="0"/>
                      <a:ext cx="2355532" cy="1647240"/>
                    </a:xfrm>
                    <a:prstGeom prst="rect">
                      <a:avLst/>
                    </a:prstGeom>
                  </pic:spPr>
                </pic:pic>
              </a:graphicData>
            </a:graphic>
          </wp:anchor>
        </w:drawing>
      </w:r>
      <w:r>
        <w:drawing>
          <wp:anchor distT="0" distB="0" distL="0" distR="0" simplePos="0" relativeHeight="251810816" behindDoc="1" locked="0" layoutInCell="1" allowOverlap="1">
            <wp:simplePos x="0" y="0"/>
            <wp:positionH relativeFrom="column">
              <wp:posOffset>3624580</wp:posOffset>
            </wp:positionH>
            <wp:positionV relativeFrom="paragraph">
              <wp:posOffset>0</wp:posOffset>
            </wp:positionV>
            <wp:extent cx="2038985" cy="1647190"/>
            <wp:effectExtent l="0" t="0" r="0" b="0"/>
            <wp:wrapNone/>
            <wp:docPr id="180" name="IM 180"/>
            <wp:cNvGraphicFramePr/>
            <a:graphic xmlns:a="http://schemas.openxmlformats.org/drawingml/2006/main">
              <a:graphicData uri="http://schemas.openxmlformats.org/drawingml/2006/picture">
                <pic:pic xmlns:pic="http://schemas.openxmlformats.org/drawingml/2006/picture">
                  <pic:nvPicPr>
                    <pic:cNvPr id="180" name="IM 180"/>
                    <pic:cNvPicPr/>
                  </pic:nvPicPr>
                  <pic:blipFill>
                    <a:blip r:embed="rId120"/>
                    <a:stretch>
                      <a:fillRect/>
                    </a:stretch>
                  </pic:blipFill>
                  <pic:spPr>
                    <a:xfrm>
                      <a:off x="0" y="0"/>
                      <a:ext cx="2038756" cy="1647240"/>
                    </a:xfrm>
                    <a:prstGeom prst="rect">
                      <a:avLst/>
                    </a:prstGeom>
                  </pic:spPr>
                </pic:pic>
              </a:graphicData>
            </a:graphic>
          </wp:anchor>
        </w:drawing>
      </w:r>
      <w:r>
        <w:pict>
          <v:shape id="_x0000_s1235" o:spid="_x0000_s1235" o:spt="202" type="#_x0000_t202" style="position:absolute;left:0pt;margin-left:100.95pt;margin-top:3.7pt;height:11.15pt;width:38.85pt;z-index:251831296;mso-width-relative:page;mso-height-relative:page;" filled="f" stroked="f" coordsize="21600,21600">
            <v:path/>
            <v:fill on="f" focussize="0,0"/>
            <v:stroke on="f"/>
            <v:imagedata o:title=""/>
            <o:lock v:ext="edit" aspectratio="f"/>
            <v:textbox inset="0mm,0mm,0mm,0mm">
              <w:txbxContent>
                <w:p w14:paraId="02E93379">
                  <w:pPr>
                    <w:spacing w:before="20" w:line="182" w:lineRule="exact"/>
                    <w:ind w:left="20"/>
                    <w:rPr>
                      <w:rFonts w:ascii="微软雅黑" w:hAnsi="微软雅黑" w:eastAsia="微软雅黑" w:cs="微软雅黑"/>
                      <w:sz w:val="18"/>
                      <w:szCs w:val="18"/>
                    </w:rPr>
                  </w:pPr>
                  <w:r>
                    <w:rPr>
                      <w:rFonts w:ascii="微软雅黑" w:hAnsi="微软雅黑" w:eastAsia="微软雅黑" w:cs="微软雅黑"/>
                      <w:color w:val="638778"/>
                      <w:spacing w:val="4"/>
                      <w:position w:val="-1"/>
                      <w:sz w:val="18"/>
                      <w:szCs w:val="18"/>
                    </w:rPr>
                    <w:t>业务部门</w:t>
                  </w:r>
                </w:p>
              </w:txbxContent>
            </v:textbox>
          </v:shape>
        </w:pict>
      </w:r>
      <w:r>
        <w:rPr>
          <w:position w:val="-9"/>
        </w:rPr>
        <w:drawing>
          <wp:inline distT="0" distB="0" distL="0" distR="0">
            <wp:extent cx="678180" cy="313055"/>
            <wp:effectExtent l="0" t="0" r="0" b="0"/>
            <wp:docPr id="182" name="IM 182"/>
            <wp:cNvGraphicFramePr/>
            <a:graphic xmlns:a="http://schemas.openxmlformats.org/drawingml/2006/main">
              <a:graphicData uri="http://schemas.openxmlformats.org/drawingml/2006/picture">
                <pic:pic xmlns:pic="http://schemas.openxmlformats.org/drawingml/2006/picture">
                  <pic:nvPicPr>
                    <pic:cNvPr id="182" name="IM 182"/>
                    <pic:cNvPicPr/>
                  </pic:nvPicPr>
                  <pic:blipFill>
                    <a:blip r:embed="rId121"/>
                    <a:stretch>
                      <a:fillRect/>
                    </a:stretch>
                  </pic:blipFill>
                  <pic:spPr>
                    <a:xfrm>
                      <a:off x="0" y="0"/>
                      <a:ext cx="678345" cy="313061"/>
                    </a:xfrm>
                    <a:prstGeom prst="rect">
                      <a:avLst/>
                    </a:prstGeom>
                  </pic:spPr>
                </pic:pic>
              </a:graphicData>
            </a:graphic>
          </wp:inline>
        </w:drawing>
      </w:r>
    </w:p>
    <w:p w14:paraId="6B252370">
      <w:pPr>
        <w:pStyle w:val="2"/>
      </w:pPr>
    </w:p>
    <w:p w14:paraId="5B962E0F">
      <w:pPr>
        <w:pStyle w:val="2"/>
      </w:pPr>
      <w:r>
        <w:pict>
          <v:shape id="_x0000_s1236" o:spid="_x0000_s1236" o:spt="202" type="#_x0000_t202" style="position:absolute;left:0pt;margin-left:314.15pt;margin-top:2pt;height:15.3pt;width:49.9pt;z-index:251816960;mso-width-relative:page;mso-height-relative:page;" fillcolor="#FFFFFF" filled="t" stroked="f" coordsize="21600,21600">
            <v:path/>
            <v:fill on="t" focussize="0,0"/>
            <v:stroke on="f"/>
            <v:imagedata o:title=""/>
            <o:lock v:ext="edit" aspectratio="f"/>
            <v:textbox inset="0mm,0mm,0mm,0mm">
              <w:txbxContent>
                <w:p w14:paraId="1A3DE7B7">
                  <w:pPr>
                    <w:spacing w:before="71" w:line="159" w:lineRule="exact"/>
                    <w:ind w:left="324"/>
                    <w:rPr>
                      <w:rFonts w:ascii="微软雅黑" w:hAnsi="微软雅黑" w:eastAsia="微软雅黑" w:cs="微软雅黑"/>
                      <w:sz w:val="15"/>
                      <w:szCs w:val="15"/>
                    </w:rPr>
                  </w:pPr>
                  <w:r>
                    <w:rPr>
                      <w:rFonts w:ascii="微软雅黑" w:hAnsi="微软雅黑" w:eastAsia="微软雅黑" w:cs="微软雅黑"/>
                      <w:color w:val="6B8F80"/>
                      <w:spacing w:val="12"/>
                      <w:sz w:val="15"/>
                      <w:szCs w:val="15"/>
                    </w:rPr>
                    <w:t>开发者</w:t>
                  </w:r>
                </w:p>
              </w:txbxContent>
            </v:textbox>
          </v:shape>
        </w:pict>
      </w:r>
      <w:r>
        <w:pict>
          <v:shape id="_x0000_s1237" o:spid="_x0000_s1237" o:spt="202" type="#_x0000_t202" style="position:absolute;left:0pt;margin-left:117.5pt;margin-top:2pt;height:16.45pt;width:56.35pt;z-index:251829248;mso-width-relative:page;mso-height-relative:page;" fillcolor="#FFFFFF" filled="t" stroked="f" coordsize="21600,21600">
            <v:path/>
            <v:fill on="t" focussize="0,0"/>
            <v:stroke on="f"/>
            <v:imagedata o:title=""/>
            <o:lock v:ext="edit" aspectratio="f"/>
            <v:textbox inset="0mm,0mm,0mm,0mm">
              <w:txbxContent>
                <w:p w14:paraId="5479E6F8">
                  <w:pPr>
                    <w:spacing w:before="81" w:line="161" w:lineRule="exact"/>
                    <w:ind w:left="154"/>
                    <w:rPr>
                      <w:rFonts w:ascii="微软雅黑" w:hAnsi="微软雅黑" w:eastAsia="微软雅黑" w:cs="微软雅黑"/>
                      <w:sz w:val="16"/>
                      <w:szCs w:val="16"/>
                    </w:rPr>
                  </w:pPr>
                  <w:r>
                    <w:rPr>
                      <w:rFonts w:ascii="微软雅黑" w:hAnsi="微软雅黑" w:eastAsia="微软雅黑" w:cs="微软雅黑"/>
                      <w:color w:val="638778"/>
                      <w:spacing w:val="3"/>
                      <w:position w:val="-1"/>
                      <w:sz w:val="16"/>
                      <w:szCs w:val="16"/>
                    </w:rPr>
                    <w:t>数据提供者</w:t>
                  </w:r>
                </w:p>
              </w:txbxContent>
            </v:textbox>
          </v:shape>
        </w:pict>
      </w:r>
    </w:p>
    <w:p w14:paraId="634F0CC4">
      <w:pPr>
        <w:pStyle w:val="2"/>
        <w:spacing w:line="241" w:lineRule="auto"/>
      </w:pPr>
      <w:r>
        <w:pict>
          <v:shape id="_x0000_s1238" o:spid="_x0000_s1238" o:spt="202" type="#_x0000_t202" style="position:absolute;left:0pt;margin-left:378.7pt;margin-top:3.45pt;height:14.7pt;width:48.75pt;z-index:251817984;mso-width-relative:page;mso-height-relative:page;" fillcolor="#FFFFFF" filled="t" stroked="f" coordsize="21600,21600">
            <v:path/>
            <v:fill on="t" focussize="0,0"/>
            <v:stroke on="f"/>
            <v:imagedata o:title=""/>
            <o:lock v:ext="edit" aspectratio="f"/>
            <v:textbox inset="0mm,0mm,0mm,0mm">
              <w:txbxContent>
                <w:p w14:paraId="455FF474">
                  <w:pPr>
                    <w:spacing w:before="63" w:line="160" w:lineRule="exact"/>
                    <w:ind w:left="74"/>
                    <w:rPr>
                      <w:rFonts w:ascii="微软雅黑" w:hAnsi="微软雅黑" w:eastAsia="微软雅黑" w:cs="微软雅黑"/>
                      <w:sz w:val="16"/>
                      <w:szCs w:val="16"/>
                    </w:rPr>
                  </w:pPr>
                  <w:r>
                    <w:rPr>
                      <w:rFonts w:ascii="微软雅黑" w:hAnsi="微软雅黑" w:eastAsia="微软雅黑" w:cs="微软雅黑"/>
                      <w:color w:val="6B8F80"/>
                      <w:spacing w:val="3"/>
                      <w:position w:val="-1"/>
                      <w:sz w:val="16"/>
                      <w:szCs w:val="16"/>
                    </w:rPr>
                    <w:t>数据加工者</w:t>
                  </w:r>
                </w:p>
              </w:txbxContent>
            </v:textbox>
          </v:shape>
        </w:pict>
      </w:r>
      <w:r>
        <w:pict>
          <v:shape id="_x0000_s1239" o:spid="_x0000_s1239" o:spt="202" type="#_x0000_t202" style="position:absolute;left:0pt;margin-left:314.15pt;margin-top:11.65pt;height:13.5pt;width:49.9pt;z-index:251819008;mso-width-relative:page;mso-height-relative:page;" fillcolor="#FFFFFF" filled="t" stroked="f" coordsize="21600,21600">
            <v:path/>
            <v:fill on="t" focussize="0,0"/>
            <v:stroke on="f"/>
            <v:imagedata o:title=""/>
            <o:lock v:ext="edit" aspectratio="f"/>
            <v:textbox inset="0mm,0mm,0mm,0mm">
              <w:txbxContent>
                <w:p w14:paraId="0642139A">
                  <w:pPr>
                    <w:spacing w:before="51" w:line="158" w:lineRule="exact"/>
                    <w:ind w:left="324"/>
                    <w:rPr>
                      <w:rFonts w:ascii="微软雅黑" w:hAnsi="微软雅黑" w:eastAsia="微软雅黑" w:cs="微软雅黑"/>
                      <w:sz w:val="15"/>
                      <w:szCs w:val="15"/>
                    </w:rPr>
                  </w:pPr>
                  <w:r>
                    <w:rPr>
                      <w:rFonts w:ascii="微软雅黑" w:hAnsi="微软雅黑" w:eastAsia="微软雅黑" w:cs="微软雅黑"/>
                      <w:color w:val="6B8F80"/>
                      <w:spacing w:val="12"/>
                      <w:position w:val="-1"/>
                      <w:sz w:val="15"/>
                      <w:szCs w:val="15"/>
                    </w:rPr>
                    <w:t>运维者</w:t>
                  </w:r>
                </w:p>
              </w:txbxContent>
            </v:textbox>
          </v:shape>
        </w:pict>
      </w:r>
      <w:r>
        <w:pict>
          <v:shape id="_x0000_s1240" o:spid="_x0000_s1240" o:spt="202" type="#_x0000_t202" style="position:absolute;left:0pt;margin-left:204.4pt;margin-top:4pt;height:16.45pt;width:56.35pt;z-index:251828224;mso-width-relative:page;mso-height-relative:page;" fillcolor="#FFFFFF" filled="t" stroked="f" coordsize="21600,21600">
            <v:path/>
            <v:fill on="t" focussize="0,0"/>
            <v:stroke on="f"/>
            <v:imagedata o:title=""/>
            <o:lock v:ext="edit" aspectratio="f"/>
            <v:textbox inset="0mm,0mm,0mm,0mm">
              <w:txbxContent>
                <w:p w14:paraId="55F2C7AB">
                  <w:pPr>
                    <w:spacing w:before="79" w:line="161" w:lineRule="exact"/>
                    <w:ind w:left="150"/>
                    <w:rPr>
                      <w:rFonts w:ascii="微软雅黑" w:hAnsi="微软雅黑" w:eastAsia="微软雅黑" w:cs="微软雅黑"/>
                      <w:sz w:val="16"/>
                      <w:szCs w:val="16"/>
                    </w:rPr>
                  </w:pPr>
                  <w:r>
                    <w:rPr>
                      <w:rFonts w:ascii="微软雅黑" w:hAnsi="微软雅黑" w:eastAsia="微软雅黑" w:cs="微软雅黑"/>
                      <w:color w:val="638778"/>
                      <w:spacing w:val="3"/>
                      <w:position w:val="-1"/>
                      <w:sz w:val="16"/>
                      <w:szCs w:val="16"/>
                    </w:rPr>
                    <w:t>数据对接人</w:t>
                  </w:r>
                </w:p>
              </w:txbxContent>
            </v:textbox>
          </v:shape>
        </w:pict>
      </w:r>
    </w:p>
    <w:p w14:paraId="1366BB7D">
      <w:pPr>
        <w:pStyle w:val="2"/>
        <w:spacing w:line="241" w:lineRule="auto"/>
      </w:pPr>
      <w:r>
        <w:pict>
          <v:shape id="_x0000_s1241" o:spid="_x0000_s1241" o:spt="202" type="#_x0000_t202" style="position:absolute;left:0pt;margin-left:117.5pt;margin-top:2.45pt;height:16.45pt;width:56.35pt;z-index:251830272;mso-width-relative:page;mso-height-relative:page;" fillcolor="#FFFFFF" filled="t" stroked="f" coordsize="21600,21600">
            <v:path/>
            <v:fill on="t" focussize="0,0"/>
            <v:stroke on="f"/>
            <v:imagedata o:title=""/>
            <o:lock v:ext="edit" aspectratio="f"/>
            <v:textbox inset="0mm,0mm,0mm,0mm">
              <w:txbxContent>
                <w:p w14:paraId="1D28C551">
                  <w:pPr>
                    <w:spacing w:before="79" w:line="161" w:lineRule="exact"/>
                    <w:ind w:left="154"/>
                    <w:rPr>
                      <w:rFonts w:ascii="微软雅黑" w:hAnsi="微软雅黑" w:eastAsia="微软雅黑" w:cs="微软雅黑"/>
                      <w:sz w:val="16"/>
                      <w:szCs w:val="16"/>
                    </w:rPr>
                  </w:pPr>
                  <w:r>
                    <w:rPr>
                      <w:rFonts w:ascii="微软雅黑" w:hAnsi="微软雅黑" w:eastAsia="微软雅黑" w:cs="微软雅黑"/>
                      <w:color w:val="638778"/>
                      <w:spacing w:val="3"/>
                      <w:position w:val="-1"/>
                      <w:sz w:val="16"/>
                      <w:szCs w:val="16"/>
                    </w:rPr>
                    <w:t>数据使用者</w:t>
                  </w:r>
                </w:p>
              </w:txbxContent>
            </v:textbox>
          </v:shape>
        </w:pict>
      </w:r>
    </w:p>
    <w:p w14:paraId="1651E110">
      <w:pPr>
        <w:pStyle w:val="2"/>
        <w:spacing w:line="241" w:lineRule="auto"/>
      </w:pPr>
    </w:p>
    <w:p w14:paraId="778AB27C">
      <w:pPr>
        <w:pStyle w:val="2"/>
        <w:spacing w:line="241" w:lineRule="auto"/>
      </w:pPr>
    </w:p>
    <w:p w14:paraId="7B2B4605">
      <w:pPr>
        <w:pStyle w:val="2"/>
        <w:spacing w:line="241" w:lineRule="auto"/>
      </w:pPr>
    </w:p>
    <w:p w14:paraId="5FF1C5AC">
      <w:pPr>
        <w:pStyle w:val="2"/>
        <w:spacing w:line="241" w:lineRule="auto"/>
      </w:pPr>
    </w:p>
    <w:p w14:paraId="04902EC1">
      <w:pPr>
        <w:pStyle w:val="2"/>
        <w:spacing w:line="241" w:lineRule="auto"/>
      </w:pPr>
    </w:p>
    <w:p w14:paraId="716FE0B8">
      <w:pPr>
        <w:spacing w:before="86" w:line="204" w:lineRule="auto"/>
        <w:ind w:left="3346"/>
        <w:rPr>
          <w:rFonts w:ascii="微软雅黑" w:hAnsi="微软雅黑" w:eastAsia="微软雅黑" w:cs="微软雅黑"/>
          <w:sz w:val="20"/>
          <w:szCs w:val="20"/>
        </w:rPr>
      </w:pPr>
      <w:r>
        <w:rPr>
          <w:rFonts w:ascii="微软雅黑" w:hAnsi="微软雅黑" w:eastAsia="微软雅黑" w:cs="微软雅黑"/>
          <w:color w:val="231F20"/>
          <w:spacing w:val="2"/>
          <w:sz w:val="20"/>
          <w:szCs w:val="20"/>
        </w:rPr>
        <w:t>图</w:t>
      </w:r>
      <w:r>
        <w:rPr>
          <w:rFonts w:ascii="微软雅黑" w:hAnsi="微软雅黑" w:eastAsia="微软雅黑" w:cs="微软雅黑"/>
          <w:color w:val="231F20"/>
          <w:spacing w:val="32"/>
          <w:sz w:val="20"/>
          <w:szCs w:val="20"/>
        </w:rPr>
        <w:t xml:space="preserve"> </w:t>
      </w:r>
      <w:r>
        <w:rPr>
          <w:rFonts w:ascii="微软雅黑" w:hAnsi="微软雅黑" w:eastAsia="微软雅黑" w:cs="微软雅黑"/>
          <w:color w:val="231F20"/>
          <w:spacing w:val="2"/>
          <w:sz w:val="20"/>
          <w:szCs w:val="20"/>
        </w:rPr>
        <w:t>12 集中式数据资产管理组织架构</w:t>
      </w:r>
    </w:p>
    <w:p w14:paraId="1ED760CE">
      <w:pPr>
        <w:pStyle w:val="2"/>
        <w:spacing w:line="250" w:lineRule="auto"/>
      </w:pPr>
    </w:p>
    <w:p w14:paraId="49792B47">
      <w:pPr>
        <w:pStyle w:val="2"/>
        <w:spacing w:line="250" w:lineRule="auto"/>
      </w:pPr>
    </w:p>
    <w:p w14:paraId="3766B831">
      <w:pPr>
        <w:pStyle w:val="2"/>
        <w:spacing w:line="250" w:lineRule="auto"/>
      </w:pPr>
      <w:r>
        <w:drawing>
          <wp:anchor distT="0" distB="0" distL="0" distR="0" simplePos="0" relativeHeight="251804672" behindDoc="1" locked="0" layoutInCell="1" allowOverlap="1">
            <wp:simplePos x="0" y="0"/>
            <wp:positionH relativeFrom="column">
              <wp:posOffset>812800</wp:posOffset>
            </wp:positionH>
            <wp:positionV relativeFrom="paragraph">
              <wp:posOffset>118110</wp:posOffset>
            </wp:positionV>
            <wp:extent cx="4800600" cy="2904490"/>
            <wp:effectExtent l="0" t="0" r="0" b="0"/>
            <wp:wrapNone/>
            <wp:docPr id="184" name="IM 184"/>
            <wp:cNvGraphicFramePr/>
            <a:graphic xmlns:a="http://schemas.openxmlformats.org/drawingml/2006/main">
              <a:graphicData uri="http://schemas.openxmlformats.org/drawingml/2006/picture">
                <pic:pic xmlns:pic="http://schemas.openxmlformats.org/drawingml/2006/picture">
                  <pic:nvPicPr>
                    <pic:cNvPr id="184" name="IM 184"/>
                    <pic:cNvPicPr/>
                  </pic:nvPicPr>
                  <pic:blipFill>
                    <a:blip r:embed="rId122"/>
                    <a:stretch>
                      <a:fillRect/>
                    </a:stretch>
                  </pic:blipFill>
                  <pic:spPr>
                    <a:xfrm>
                      <a:off x="0" y="0"/>
                      <a:ext cx="4800762" cy="2904261"/>
                    </a:xfrm>
                    <a:prstGeom prst="rect">
                      <a:avLst/>
                    </a:prstGeom>
                  </pic:spPr>
                </pic:pic>
              </a:graphicData>
            </a:graphic>
          </wp:anchor>
        </w:drawing>
      </w:r>
    </w:p>
    <w:p w14:paraId="23B9AFAC">
      <w:pPr>
        <w:pStyle w:val="2"/>
        <w:spacing w:line="250" w:lineRule="auto"/>
      </w:pPr>
    </w:p>
    <w:p w14:paraId="2B2CBB16">
      <w:pPr>
        <w:pStyle w:val="2"/>
        <w:spacing w:line="250" w:lineRule="auto"/>
      </w:pPr>
    </w:p>
    <w:p w14:paraId="432BFFE8">
      <w:pPr>
        <w:spacing w:before="77" w:line="186" w:lineRule="exact"/>
        <w:ind w:left="1375"/>
        <w:rPr>
          <w:rFonts w:ascii="微软雅黑" w:hAnsi="微软雅黑" w:eastAsia="微软雅黑" w:cs="微软雅黑"/>
          <w:sz w:val="18"/>
          <w:szCs w:val="18"/>
        </w:rPr>
      </w:pPr>
      <w:r>
        <w:rPr>
          <w:rFonts w:ascii="微软雅黑" w:hAnsi="微软雅黑" w:eastAsia="微软雅黑" w:cs="微软雅黑"/>
          <w:spacing w:val="7"/>
          <w:position w:val="-1"/>
          <w:sz w:val="18"/>
          <w:szCs w:val="18"/>
        </w:rPr>
        <w:t>组织</w:t>
      </w:r>
    </w:p>
    <w:p w14:paraId="54E0A66C">
      <w:pPr>
        <w:spacing w:before="89" w:line="183" w:lineRule="exact"/>
        <w:ind w:left="1281"/>
        <w:rPr>
          <w:rFonts w:ascii="微软雅黑" w:hAnsi="微软雅黑" w:eastAsia="微软雅黑" w:cs="微软雅黑"/>
          <w:sz w:val="18"/>
          <w:szCs w:val="18"/>
        </w:rPr>
      </w:pPr>
      <w:r>
        <w:rPr>
          <w:rFonts w:ascii="微软雅黑" w:hAnsi="微软雅黑" w:eastAsia="微软雅黑" w:cs="微软雅黑"/>
          <w:spacing w:val="7"/>
          <w:position w:val="-1"/>
          <w:sz w:val="18"/>
          <w:szCs w:val="18"/>
        </w:rPr>
        <w:t>协调层</w:t>
      </w:r>
    </w:p>
    <w:p w14:paraId="678CC371">
      <w:pPr>
        <w:spacing w:before="52" w:line="23" w:lineRule="exact"/>
        <w:ind w:firstLine="1912"/>
      </w:pPr>
      <w:r>
        <w:drawing>
          <wp:inline distT="0" distB="0" distL="0" distR="0">
            <wp:extent cx="3362960" cy="14605"/>
            <wp:effectExtent l="0" t="0" r="0" b="0"/>
            <wp:docPr id="186" name="IM 186"/>
            <wp:cNvGraphicFramePr/>
            <a:graphic xmlns:a="http://schemas.openxmlformats.org/drawingml/2006/main">
              <a:graphicData uri="http://schemas.openxmlformats.org/drawingml/2006/picture">
                <pic:pic xmlns:pic="http://schemas.openxmlformats.org/drawingml/2006/picture">
                  <pic:nvPicPr>
                    <pic:cNvPr id="186" name="IM 186"/>
                    <pic:cNvPicPr/>
                  </pic:nvPicPr>
                  <pic:blipFill>
                    <a:blip r:embed="rId123"/>
                    <a:stretch>
                      <a:fillRect/>
                    </a:stretch>
                  </pic:blipFill>
                  <pic:spPr>
                    <a:xfrm>
                      <a:off x="0" y="0"/>
                      <a:ext cx="3363328" cy="14706"/>
                    </a:xfrm>
                    <a:prstGeom prst="rect">
                      <a:avLst/>
                    </a:prstGeom>
                  </pic:spPr>
                </pic:pic>
              </a:graphicData>
            </a:graphic>
          </wp:inline>
        </w:drawing>
      </w:r>
    </w:p>
    <w:p w14:paraId="7431F2E8">
      <w:pPr>
        <w:pStyle w:val="2"/>
        <w:spacing w:line="331" w:lineRule="auto"/>
      </w:pPr>
    </w:p>
    <w:p w14:paraId="6C7466CF">
      <w:pPr>
        <w:spacing w:before="78" w:line="189" w:lineRule="auto"/>
        <w:ind w:left="1191" w:right="7806" w:hanging="96"/>
        <w:rPr>
          <w:rFonts w:ascii="微软雅黑" w:hAnsi="微软雅黑" w:eastAsia="微软雅黑" w:cs="微软雅黑"/>
          <w:sz w:val="18"/>
          <w:szCs w:val="18"/>
        </w:rPr>
      </w:pPr>
      <w:r>
        <w:drawing>
          <wp:anchor distT="0" distB="0" distL="0" distR="0" simplePos="0" relativeHeight="251806720" behindDoc="1" locked="0" layoutInCell="1" allowOverlap="1">
            <wp:simplePos x="0" y="0"/>
            <wp:positionH relativeFrom="column">
              <wp:posOffset>1214120</wp:posOffset>
            </wp:positionH>
            <wp:positionV relativeFrom="paragraph">
              <wp:posOffset>502920</wp:posOffset>
            </wp:positionV>
            <wp:extent cx="3363595" cy="9525"/>
            <wp:effectExtent l="0" t="0" r="0" b="0"/>
            <wp:wrapNone/>
            <wp:docPr id="188" name="IM 188"/>
            <wp:cNvGraphicFramePr/>
            <a:graphic xmlns:a="http://schemas.openxmlformats.org/drawingml/2006/main">
              <a:graphicData uri="http://schemas.openxmlformats.org/drawingml/2006/picture">
                <pic:pic xmlns:pic="http://schemas.openxmlformats.org/drawingml/2006/picture">
                  <pic:nvPicPr>
                    <pic:cNvPr id="188" name="IM 188"/>
                    <pic:cNvPicPr/>
                  </pic:nvPicPr>
                  <pic:blipFill>
                    <a:blip r:embed="rId124"/>
                    <a:stretch>
                      <a:fillRect/>
                    </a:stretch>
                  </pic:blipFill>
                  <pic:spPr>
                    <a:xfrm>
                      <a:off x="0" y="0"/>
                      <a:ext cx="3363315" cy="9245"/>
                    </a:xfrm>
                    <a:prstGeom prst="rect">
                      <a:avLst/>
                    </a:prstGeom>
                  </pic:spPr>
                </pic:pic>
              </a:graphicData>
            </a:graphic>
          </wp:anchor>
        </w:drawing>
      </w:r>
      <w:r>
        <w:pict>
          <v:shape id="_x0000_s1242" o:spid="_x0000_s1242" o:spt="202" type="#_x0000_t202" style="position:absolute;left:0pt;margin-left:59.95pt;margin-top:76.3pt;height:24.9pt;width:30.15pt;z-index:251820032;mso-width-relative:page;mso-height-relative:page;" filled="f" stroked="f" coordsize="21600,21600">
            <v:path/>
            <v:fill on="f" focussize="0,0"/>
            <v:stroke on="f"/>
            <v:imagedata o:title=""/>
            <o:lock v:ext="edit" aspectratio="f"/>
            <v:textbox inset="0mm,0mm,0mm,0mm">
              <w:txbxContent>
                <w:p w14:paraId="7FF6ED15">
                  <w:pPr>
                    <w:spacing w:before="21" w:line="185" w:lineRule="auto"/>
                    <w:ind w:left="20" w:right="20" w:firstLine="96"/>
                    <w:rPr>
                      <w:rFonts w:ascii="微软雅黑" w:hAnsi="微软雅黑" w:eastAsia="微软雅黑" w:cs="微软雅黑"/>
                      <w:sz w:val="18"/>
                      <w:szCs w:val="18"/>
                    </w:rPr>
                  </w:pPr>
                  <w:r>
                    <w:rPr>
                      <w:rFonts w:ascii="微软雅黑" w:hAnsi="微软雅黑" w:eastAsia="微软雅黑" w:cs="微软雅黑"/>
                      <w:color w:val="638778"/>
                      <w:spacing w:val="5"/>
                      <w:sz w:val="18"/>
                      <w:szCs w:val="18"/>
                    </w:rPr>
                    <w:t>工作</w:t>
                  </w:r>
                  <w:r>
                    <w:rPr>
                      <w:rFonts w:ascii="微软雅黑" w:hAnsi="微软雅黑" w:eastAsia="微软雅黑" w:cs="微软雅黑"/>
                      <w:color w:val="638778"/>
                      <w:sz w:val="18"/>
                      <w:szCs w:val="18"/>
                    </w:rPr>
                    <w:t xml:space="preserve">   </w:t>
                  </w:r>
                  <w:r>
                    <w:rPr>
                      <w:rFonts w:ascii="微软雅黑" w:hAnsi="微软雅黑" w:eastAsia="微软雅黑" w:cs="微软雅黑"/>
                      <w:color w:val="638778"/>
                      <w:spacing w:val="7"/>
                      <w:sz w:val="18"/>
                      <w:szCs w:val="18"/>
                    </w:rPr>
                    <w:t>执行层</w:t>
                  </w:r>
                </w:p>
              </w:txbxContent>
            </v:textbox>
          </v:shape>
        </w:pict>
      </w:r>
      <w:r>
        <w:drawing>
          <wp:anchor distT="0" distB="0" distL="0" distR="0" simplePos="0" relativeHeight="251811840" behindDoc="1" locked="0" layoutInCell="1" allowOverlap="1">
            <wp:simplePos x="0" y="0"/>
            <wp:positionH relativeFrom="column">
              <wp:posOffset>1256030</wp:posOffset>
            </wp:positionH>
            <wp:positionV relativeFrom="paragraph">
              <wp:posOffset>532765</wp:posOffset>
            </wp:positionV>
            <wp:extent cx="3379470" cy="1465580"/>
            <wp:effectExtent l="0" t="0" r="0" b="0"/>
            <wp:wrapNone/>
            <wp:docPr id="190" name="IM 190"/>
            <wp:cNvGraphicFramePr/>
            <a:graphic xmlns:a="http://schemas.openxmlformats.org/drawingml/2006/main">
              <a:graphicData uri="http://schemas.openxmlformats.org/drawingml/2006/picture">
                <pic:pic xmlns:pic="http://schemas.openxmlformats.org/drawingml/2006/picture">
                  <pic:nvPicPr>
                    <pic:cNvPr id="190" name="IM 190"/>
                    <pic:cNvPicPr/>
                  </pic:nvPicPr>
                  <pic:blipFill>
                    <a:blip r:embed="rId125"/>
                    <a:stretch>
                      <a:fillRect/>
                    </a:stretch>
                  </pic:blipFill>
                  <pic:spPr>
                    <a:xfrm>
                      <a:off x="0" y="0"/>
                      <a:ext cx="3379330" cy="1465516"/>
                    </a:xfrm>
                    <a:prstGeom prst="rect">
                      <a:avLst/>
                    </a:prstGeom>
                  </pic:spPr>
                </pic:pic>
              </a:graphicData>
            </a:graphic>
          </wp:anchor>
        </w:drawing>
      </w:r>
      <w:r>
        <w:rPr>
          <w:rFonts w:ascii="微软雅黑" w:hAnsi="微软雅黑" w:eastAsia="微软雅黑" w:cs="微软雅黑"/>
          <w:color w:val="787878"/>
          <w:spacing w:val="7"/>
          <w:sz w:val="18"/>
          <w:szCs w:val="18"/>
        </w:rPr>
        <w:t>数据资产</w:t>
      </w:r>
      <w:r>
        <w:rPr>
          <w:rFonts w:ascii="微软雅黑" w:hAnsi="微软雅黑" w:eastAsia="微软雅黑" w:cs="微软雅黑"/>
          <w:color w:val="787878"/>
          <w:spacing w:val="2"/>
          <w:sz w:val="18"/>
          <w:szCs w:val="18"/>
        </w:rPr>
        <w:t xml:space="preserve"> </w:t>
      </w:r>
      <w:r>
        <w:rPr>
          <w:rFonts w:ascii="微软雅黑" w:hAnsi="微软雅黑" w:eastAsia="微软雅黑" w:cs="微软雅黑"/>
          <w:color w:val="787878"/>
          <w:spacing w:val="7"/>
          <w:sz w:val="18"/>
          <w:szCs w:val="18"/>
        </w:rPr>
        <w:t>管理层</w:t>
      </w:r>
    </w:p>
    <w:p w14:paraId="30FC1B15">
      <w:pPr>
        <w:spacing w:before="71"/>
      </w:pPr>
    </w:p>
    <w:tbl>
      <w:tblPr>
        <w:tblStyle w:val="5"/>
        <w:tblW w:w="5193" w:type="dxa"/>
        <w:tblInd w:w="2018" w:type="dxa"/>
        <w:tblBorders>
          <w:top w:val="single" w:color="E3E6EB" w:sz="4" w:space="0"/>
          <w:left w:val="single" w:color="E3E6EB" w:sz="4" w:space="0"/>
          <w:bottom w:val="single" w:color="E3E6EB" w:sz="4" w:space="0"/>
          <w:right w:val="single" w:color="E3E6EB" w:sz="4" w:space="0"/>
          <w:insideH w:val="none" w:color="auto" w:sz="0" w:space="0"/>
          <w:insideV w:val="none" w:color="auto" w:sz="0" w:space="0"/>
        </w:tblBorders>
        <w:tblLayout w:type="fixed"/>
        <w:tblCellMar>
          <w:top w:w="0" w:type="dxa"/>
          <w:left w:w="0" w:type="dxa"/>
          <w:bottom w:w="0" w:type="dxa"/>
          <w:right w:w="0" w:type="dxa"/>
        </w:tblCellMar>
      </w:tblPr>
      <w:tblGrid>
        <w:gridCol w:w="5193"/>
      </w:tblGrid>
      <w:tr w14:paraId="04300E73">
        <w:tblPrEx>
          <w:tblBorders>
            <w:top w:val="single" w:color="E3E6EB" w:sz="4" w:space="0"/>
            <w:left w:val="single" w:color="E3E6EB" w:sz="4" w:space="0"/>
            <w:bottom w:val="single" w:color="E3E6EB" w:sz="4" w:space="0"/>
            <w:right w:val="single" w:color="E3E6EB" w:sz="4" w:space="0"/>
            <w:insideH w:val="none" w:color="auto" w:sz="0" w:space="0"/>
            <w:insideV w:val="none" w:color="auto" w:sz="0" w:space="0"/>
          </w:tblBorders>
          <w:tblCellMar>
            <w:top w:w="0" w:type="dxa"/>
            <w:left w:w="0" w:type="dxa"/>
            <w:bottom w:w="0" w:type="dxa"/>
            <w:right w:w="0" w:type="dxa"/>
          </w:tblCellMar>
        </w:tblPrEx>
        <w:trPr>
          <w:trHeight w:val="2172" w:hRule="atLeast"/>
        </w:trPr>
        <w:tc>
          <w:tcPr>
            <w:tcW w:w="5193" w:type="dxa"/>
            <w:vAlign w:val="top"/>
          </w:tcPr>
          <w:p w14:paraId="17F7C497">
            <w:pPr>
              <w:rPr>
                <w:rFonts w:ascii="Arial"/>
                <w:sz w:val="21"/>
              </w:rPr>
            </w:pPr>
          </w:p>
        </w:tc>
      </w:tr>
    </w:tbl>
    <w:p w14:paraId="781574E7">
      <w:pPr>
        <w:spacing w:before="258" w:line="204" w:lineRule="auto"/>
        <w:ind w:left="3345"/>
        <w:rPr>
          <w:rFonts w:ascii="微软雅黑" w:hAnsi="微软雅黑" w:eastAsia="微软雅黑" w:cs="微软雅黑"/>
          <w:sz w:val="20"/>
          <w:szCs w:val="20"/>
        </w:rPr>
      </w:pPr>
      <w:r>
        <w:rPr>
          <w:rFonts w:ascii="微软雅黑" w:hAnsi="微软雅黑" w:eastAsia="微软雅黑" w:cs="微软雅黑"/>
          <w:color w:val="231F20"/>
          <w:spacing w:val="2"/>
          <w:sz w:val="20"/>
          <w:szCs w:val="20"/>
        </w:rPr>
        <w:t>图</w:t>
      </w:r>
      <w:r>
        <w:rPr>
          <w:rFonts w:ascii="微软雅黑" w:hAnsi="微软雅黑" w:eastAsia="微软雅黑" w:cs="微软雅黑"/>
          <w:color w:val="231F20"/>
          <w:spacing w:val="33"/>
          <w:w w:val="101"/>
          <w:sz w:val="20"/>
          <w:szCs w:val="20"/>
        </w:rPr>
        <w:t xml:space="preserve"> </w:t>
      </w:r>
      <w:r>
        <w:rPr>
          <w:rFonts w:ascii="微软雅黑" w:hAnsi="微软雅黑" w:eastAsia="微软雅黑" w:cs="微软雅黑"/>
          <w:color w:val="231F20"/>
          <w:spacing w:val="2"/>
          <w:sz w:val="20"/>
          <w:szCs w:val="20"/>
        </w:rPr>
        <w:t>13 联邦式数据资产管理组织架构</w:t>
      </w:r>
    </w:p>
    <w:p w14:paraId="2A4ED144">
      <w:pPr>
        <w:pStyle w:val="2"/>
        <w:spacing w:line="306" w:lineRule="auto"/>
      </w:pPr>
    </w:p>
    <w:p w14:paraId="3CCB41BB">
      <w:pPr>
        <w:pStyle w:val="2"/>
        <w:spacing w:line="307" w:lineRule="auto"/>
      </w:pPr>
    </w:p>
    <w:p w14:paraId="073F9B24">
      <w:pPr>
        <w:pStyle w:val="2"/>
        <w:spacing w:line="307" w:lineRule="auto"/>
      </w:pPr>
    </w:p>
    <w:p w14:paraId="62713EDA">
      <w:pPr>
        <w:spacing w:before="79" w:line="212" w:lineRule="auto"/>
        <w:ind w:left="5513"/>
        <w:rPr>
          <w:rFonts w:hint="eastAsia" w:ascii="宋体" w:hAnsi="宋体" w:eastAsia="宋体" w:cs="宋体"/>
          <w:sz w:val="24"/>
          <w:szCs w:val="24"/>
          <w:lang w:eastAsia="zh-CN"/>
        </w:rPr>
      </w:pPr>
      <w:r>
        <w:pict>
          <v:shape id="_x0000_s1243" o:spid="_x0000_s1243" o:spt="202" type="#_x0000_t202" style="position:absolute;left:0pt;margin-left:241.1pt;margin-top:-1.75pt;height:11.3pt;width:12.85pt;z-index:251827200;mso-width-relative:page;mso-height-relative:page;" filled="f" stroked="f" coordsize="21600,21600">
            <v:path/>
            <v:fill on="f" focussize="0,0"/>
            <v:stroke on="f"/>
            <v:imagedata o:title=""/>
            <o:lock v:ext="edit" aspectratio="f"/>
            <v:textbox inset="0mm,0mm,0mm,0mm">
              <w:txbxContent>
                <w:p w14:paraId="0B634B24">
                  <w:pPr>
                    <w:pStyle w:val="2"/>
                    <w:spacing w:before="20" w:line="194" w:lineRule="auto"/>
                    <w:ind w:left="20"/>
                    <w:rPr>
                      <w:sz w:val="20"/>
                      <w:szCs w:val="20"/>
                    </w:rPr>
                  </w:pPr>
                  <w:r>
                    <w:rPr>
                      <w:color w:val="231F20"/>
                      <w:spacing w:val="-2"/>
                      <w:sz w:val="20"/>
                      <w:szCs w:val="20"/>
                    </w:rPr>
                    <w:t>28</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2490E983">
      <w:pPr>
        <w:spacing w:line="212" w:lineRule="auto"/>
        <w:rPr>
          <w:rFonts w:ascii="宋体" w:hAnsi="宋体" w:eastAsia="宋体" w:cs="宋体"/>
          <w:sz w:val="24"/>
          <w:szCs w:val="24"/>
        </w:rPr>
        <w:sectPr>
          <w:pgSz w:w="11906" w:h="16158"/>
          <w:pgMar w:top="400" w:right="1247" w:bottom="400" w:left="1004" w:header="0" w:footer="0" w:gutter="0"/>
          <w:cols w:space="720" w:num="1"/>
        </w:sectPr>
      </w:pPr>
    </w:p>
    <w:p w14:paraId="5F3BA521">
      <w:pPr>
        <w:pStyle w:val="2"/>
        <w:spacing w:line="349" w:lineRule="auto"/>
      </w:pPr>
    </w:p>
    <w:p w14:paraId="66B925AF">
      <w:pPr>
        <w:pStyle w:val="2"/>
        <w:spacing w:line="350" w:lineRule="auto"/>
      </w:pPr>
    </w:p>
    <w:p w14:paraId="3ADD1A59">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-3</w:t>
      </w:r>
    </w:p>
    <w:p w14:paraId="7B3246A6">
      <w:pPr>
        <w:spacing w:before="55" w:line="178" w:lineRule="auto"/>
        <w:ind w:left="411"/>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数据资产管理保障措施</w:t>
      </w:r>
    </w:p>
    <w:p w14:paraId="5A750C7A">
      <w:pPr>
        <w:pStyle w:val="2"/>
        <w:spacing w:line="242" w:lineRule="auto"/>
      </w:pPr>
    </w:p>
    <w:p w14:paraId="1287BE0E">
      <w:pPr>
        <w:pStyle w:val="2"/>
        <w:spacing w:line="242" w:lineRule="auto"/>
      </w:pPr>
    </w:p>
    <w:p w14:paraId="71959D66">
      <w:pPr>
        <w:pStyle w:val="2"/>
        <w:spacing w:line="242" w:lineRule="auto"/>
      </w:pPr>
    </w:p>
    <w:p w14:paraId="5C90D861">
      <w:pPr>
        <w:pStyle w:val="2"/>
        <w:spacing w:line="242" w:lineRule="auto"/>
      </w:pPr>
    </w:p>
    <w:p w14:paraId="3F6AE0F3">
      <w:pPr>
        <w:pStyle w:val="2"/>
        <w:spacing w:line="242" w:lineRule="auto"/>
      </w:pPr>
    </w:p>
    <w:p w14:paraId="14031230">
      <w:pPr>
        <w:spacing w:before="94" w:line="290" w:lineRule="auto"/>
        <w:ind w:left="976" w:right="728" w:firstLine="481"/>
        <w:jc w:val="both"/>
        <w:rPr>
          <w:rFonts w:ascii="微软雅黑" w:hAnsi="微软雅黑" w:eastAsia="微软雅黑" w:cs="微软雅黑"/>
          <w:sz w:val="22"/>
          <w:szCs w:val="22"/>
        </w:rPr>
      </w:pPr>
      <w:r>
        <mc:AlternateContent>
          <mc:Choice Requires="wps">
            <w:drawing>
              <wp:anchor distT="0" distB="0" distL="0" distR="0" simplePos="0" relativeHeight="251835392" behindDoc="1" locked="0" layoutInCell="1" allowOverlap="1">
                <wp:simplePos x="0" y="0"/>
                <wp:positionH relativeFrom="column">
                  <wp:posOffset>153670</wp:posOffset>
                </wp:positionH>
                <wp:positionV relativeFrom="paragraph">
                  <wp:posOffset>-146685</wp:posOffset>
                </wp:positionV>
                <wp:extent cx="5976620" cy="7740015"/>
                <wp:effectExtent l="0" t="0" r="0" b="0"/>
                <wp:wrapNone/>
                <wp:docPr id="192" name="Rect 192"/>
                <wp:cNvGraphicFramePr/>
                <a:graphic xmlns:a="http://schemas.openxmlformats.org/drawingml/2006/main">
                  <a:graphicData uri="http://schemas.microsoft.com/office/word/2010/wordprocessingShape">
                    <wps:wsp>
                      <wps:cNvSpPr/>
                      <wps:spPr>
                        <a:xfrm>
                          <a:off x="154072" y="-146751"/>
                          <a:ext cx="5976620" cy="7740015"/>
                        </a:xfrm>
                        <a:prstGeom prst="rect">
                          <a:avLst/>
                        </a:prstGeom>
                        <a:solidFill>
                          <a:srgbClr val="E9F6FE"/>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192" o:spid="_x0000_s1026" o:spt="1" style="position:absolute;left:0pt;margin-left:12.1pt;margin-top:-11.55pt;height:609.45pt;width:470.6pt;z-index:-251481088;mso-width-relative:page;mso-height-relative:page;" fillcolor="#E9F6FE" filled="t" stroked="f" coordsize="21600,21600" o:gfxdata="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h12wEdoAAAALAQAADwAAAAAAAAABACAAAAAiAAAAZHJzL2Rvd25y&#10;ZXYueG1sUEsBAhQAFAAAAAgAh07iQEVESOY1AgAAcgQAAA4AAAAAAAAAAQAgAAAAKQEAAGRycy9l&#10;Mm9Eb2MueG1sUEsFBgAAAAAGAAYAWQEAANAFAAAAAA==&#10;">
                <v:fill on="t" focussize="0,0"/>
                <v:stroke on="f" weight="0pt"/>
                <v:imagedata o:title=""/>
                <o:lock v:ext="edit" aspectratio="f"/>
                <v:textbox inset="0mm,0mm,0mm,0mm"/>
              </v:rect>
            </w:pict>
          </mc:Fallback>
        </mc:AlternateContent>
      </w:r>
      <w:r>
        <w:pict>
          <v:group id="_x0000_s1244" o:spid="_x0000_s1244" o:spt="203" style="position:absolute;left:0pt;margin-left:24.05pt;margin-top:5.15pt;height:576.05pt;width:1pt;z-index:251836416;mso-width-relative:page;mso-height-relative:page;" coordsize="20,11520">
            <o:lock v:ext="edit"/>
            <v:shape id="_x0000_s1245" o:spid="_x0000_s1245" style="position:absolute;left:0;top:29;height:11430;width:20;" filled="f" stroked="t" coordsize="20,11430" path="m10,11420l10,10e">
              <v:fill on="f" focussize="0,0"/>
              <v:stroke weight="1pt" color="#648676" miterlimit="4" dashstyle="dash" endcap="round"/>
              <v:imagedata o:title=""/>
              <o:lock v:ext="edit"/>
            </v:shape>
            <v:shape id="_x0000_s1246" o:spid="_x0000_s1246" style="position:absolute;left:0;top:0;height:11520;width:20;" filled="f" stroked="t" coordsize="20,11520" path="m10,11510l10,11510m10,10l10,10e">
              <v:fill on="f" focussize="0,0"/>
              <v:stroke weight="1pt" color="#648676" miterlimit="4" endcap="round"/>
              <v:imagedata o:title=""/>
              <o:lock v:ext="edit"/>
            </v:shape>
          </v:group>
        </w:pict>
      </w:r>
      <w:r>
        <w:pict>
          <v:group id="_x0000_s1247" o:spid="_x0000_s1247" o:spt="203" style="position:absolute;left:0pt;margin-left:469.75pt;margin-top:5.15pt;height:576.05pt;width:1pt;z-index:251837440;mso-width-relative:page;mso-height-relative:page;" coordsize="20,11520">
            <o:lock v:ext="edit"/>
            <v:shape id="_x0000_s1248" o:spid="_x0000_s1248" style="position:absolute;left:0;top:59;height:11430;width:20;" filled="f" stroked="t" coordsize="20,11430" path="m10,10l10,11420e">
              <v:fill on="f" focussize="0,0"/>
              <v:stroke weight="1pt" color="#648676" miterlimit="4" dashstyle="dash" endcap="round"/>
              <v:imagedata o:title=""/>
              <o:lock v:ext="edit"/>
            </v:shape>
            <v:shape id="_x0000_s1249" o:spid="_x0000_s1249" style="position:absolute;left:0;top:0;height:11520;width:20;" filled="f" stroked="t" coordsize="20,11520" path="m10,10l10,10m10,11510l10,11510e">
              <v:fill on="f" focussize="0,0"/>
              <v:stroke weight="1pt" color="#648676" miterlimit="4" endcap="round"/>
              <v:imagedata o:title=""/>
              <o:lock v:ext="edit"/>
            </v:shape>
          </v:group>
        </w:pict>
      </w:r>
      <w:bookmarkStart w:id="40" w:name="bookmark41"/>
      <w:bookmarkEnd w:id="40"/>
      <w:r>
        <w:rPr>
          <w:rFonts w:ascii="微软雅黑" w:hAnsi="微软雅黑" w:eastAsia="微软雅黑" w:cs="微软雅黑"/>
          <w:color w:val="231F20"/>
          <w:spacing w:val="-4"/>
          <w:sz w:val="22"/>
          <w:szCs w:val="22"/>
        </w:rPr>
        <w:t>集中式管理与联邦式管理在特点、技术、适用对象等方面存在差异。</w:t>
      </w:r>
      <w:r>
        <w:rPr>
          <w:rFonts w:ascii="微软雅黑" w:hAnsi="微软雅黑" w:eastAsia="微软雅黑" w:cs="微软雅黑"/>
          <w:color w:val="231F20"/>
          <w:spacing w:val="56"/>
          <w:w w:val="101"/>
          <w:sz w:val="22"/>
          <w:szCs w:val="22"/>
        </w:rPr>
        <w:t xml:space="preserve"> </w:t>
      </w:r>
      <w:r>
        <w:rPr>
          <w:rFonts w:ascii="微软雅黑" w:hAnsi="微软雅黑" w:eastAsia="微软雅黑" w:cs="微软雅黑"/>
          <w:color w:val="231F20"/>
          <w:spacing w:val="-4"/>
          <w:sz w:val="22"/>
          <w:szCs w:val="22"/>
        </w:rPr>
        <w:t>集中式管</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理对各业务线数据独立性要求较低、数据相关性要求</w:t>
      </w:r>
      <w:r>
        <w:rPr>
          <w:rFonts w:ascii="微软雅黑" w:hAnsi="微软雅黑" w:eastAsia="微软雅黑" w:cs="微软雅黑"/>
          <w:color w:val="231F20"/>
          <w:sz w:val="22"/>
          <w:szCs w:val="22"/>
        </w:rPr>
        <w:t xml:space="preserve">较高，采用数据仓库、大数据 </w:t>
      </w:r>
      <w:r>
        <w:rPr>
          <w:rFonts w:ascii="微软雅黑" w:hAnsi="微软雅黑" w:eastAsia="微软雅黑" w:cs="微软雅黑"/>
          <w:color w:val="231F20"/>
          <w:spacing w:val="1"/>
          <w:sz w:val="22"/>
          <w:szCs w:val="22"/>
        </w:rPr>
        <w:t>平台等技术，适用于中大型企业。联邦式管理对各</w:t>
      </w:r>
      <w:r>
        <w:rPr>
          <w:rFonts w:ascii="微软雅黑" w:hAnsi="微软雅黑" w:eastAsia="微软雅黑" w:cs="微软雅黑"/>
          <w:color w:val="231F20"/>
          <w:sz w:val="22"/>
          <w:szCs w:val="22"/>
        </w:rPr>
        <w:t>业务线数据独立性要求较高、数 据相关性要求较低，采用 Data Fabric 技术，适用于中小型企业或集团型企业。</w:t>
      </w:r>
    </w:p>
    <w:p w14:paraId="07353DA1">
      <w:pPr>
        <w:spacing w:before="274" w:line="205" w:lineRule="auto"/>
        <w:ind w:left="3398"/>
        <w:rPr>
          <w:rFonts w:ascii="微软雅黑" w:hAnsi="微软雅黑" w:eastAsia="微软雅黑" w:cs="微软雅黑"/>
          <w:sz w:val="20"/>
          <w:szCs w:val="20"/>
        </w:rPr>
      </w:pPr>
      <w:r>
        <w:rPr>
          <w:rFonts w:ascii="微软雅黑" w:hAnsi="微软雅黑" w:eastAsia="微软雅黑" w:cs="微软雅黑"/>
          <w:color w:val="231F20"/>
          <w:spacing w:val="4"/>
          <w:sz w:val="20"/>
          <w:szCs w:val="20"/>
        </w:rPr>
        <w:t>表 3 集中式管理与联邦式管理比较</w:t>
      </w:r>
    </w:p>
    <w:p w14:paraId="71C6D879">
      <w:pPr>
        <w:spacing w:line="120" w:lineRule="exact"/>
      </w:pPr>
    </w:p>
    <w:tbl>
      <w:tblPr>
        <w:tblStyle w:val="5"/>
        <w:tblW w:w="7949" w:type="dxa"/>
        <w:tblInd w:w="981"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1310"/>
        <w:gridCol w:w="1852"/>
        <w:gridCol w:w="2335"/>
        <w:gridCol w:w="1235"/>
        <w:gridCol w:w="1217"/>
      </w:tblGrid>
      <w:tr w14:paraId="0E8D1BF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85" w:hRule="atLeast"/>
        </w:trPr>
        <w:tc>
          <w:tcPr>
            <w:tcW w:w="1310" w:type="dxa"/>
            <w:tcBorders>
              <w:top w:val="single" w:color="FFFFFF" w:sz="4" w:space="0"/>
              <w:left w:val="single" w:color="FFFFFF" w:sz="4" w:space="0"/>
              <w:right w:val="single" w:color="FFFFFF" w:sz="4" w:space="0"/>
            </w:tcBorders>
            <w:shd w:val="clear" w:color="auto" w:fill="648676"/>
            <w:vAlign w:val="top"/>
          </w:tcPr>
          <w:p w14:paraId="1C871575">
            <w:pPr>
              <w:pStyle w:val="6"/>
              <w:spacing w:before="87" w:line="178" w:lineRule="auto"/>
              <w:ind w:left="211"/>
            </w:pPr>
            <w:r>
              <w:rPr>
                <w:color w:val="FFFFFF"/>
                <w:spacing w:val="-1"/>
              </w:rPr>
              <w:t>组织形式</w:t>
            </w:r>
          </w:p>
        </w:tc>
        <w:tc>
          <w:tcPr>
            <w:tcW w:w="1852" w:type="dxa"/>
            <w:tcBorders>
              <w:top w:val="single" w:color="FFFFFF" w:sz="4" w:space="0"/>
              <w:left w:val="single" w:color="FFFFFF" w:sz="4" w:space="0"/>
              <w:right w:val="single" w:color="FFFFFF" w:sz="4" w:space="0"/>
            </w:tcBorders>
            <w:shd w:val="clear" w:color="auto" w:fill="648676"/>
            <w:vAlign w:val="top"/>
          </w:tcPr>
          <w:p w14:paraId="1BAEB0AE">
            <w:pPr>
              <w:pStyle w:val="6"/>
              <w:spacing w:before="86" w:line="179" w:lineRule="auto"/>
              <w:ind w:left="700"/>
            </w:pPr>
            <w:r>
              <w:rPr>
                <w:color w:val="FFFFFF"/>
                <w:spacing w:val="-1"/>
              </w:rPr>
              <w:t>特点</w:t>
            </w:r>
          </w:p>
        </w:tc>
        <w:tc>
          <w:tcPr>
            <w:tcW w:w="2335" w:type="dxa"/>
            <w:tcBorders>
              <w:top w:val="single" w:color="FFFFFF" w:sz="4" w:space="0"/>
              <w:left w:val="single" w:color="FFFFFF" w:sz="4" w:space="0"/>
              <w:right w:val="single" w:color="231F20" w:sz="4" w:space="0"/>
            </w:tcBorders>
            <w:shd w:val="clear" w:color="auto" w:fill="648676"/>
            <w:vAlign w:val="top"/>
          </w:tcPr>
          <w:p w14:paraId="6D391914">
            <w:pPr>
              <w:pStyle w:val="6"/>
              <w:spacing w:before="73" w:line="192" w:lineRule="auto"/>
              <w:ind w:left="641"/>
            </w:pPr>
            <w:r>
              <w:rPr>
                <w:color w:val="FFFFFF"/>
                <w:spacing w:val="-7"/>
              </w:rPr>
              <w:t>优势</w:t>
            </w:r>
            <w:r>
              <w:rPr>
                <w:color w:val="FFFFFF"/>
                <w:spacing w:val="-11"/>
              </w:rPr>
              <w:t xml:space="preserve"> </w:t>
            </w:r>
            <w:r>
              <w:rPr>
                <w:color w:val="FFFFFF"/>
                <w:spacing w:val="-7"/>
              </w:rPr>
              <w:t>/ 劣势</w:t>
            </w:r>
          </w:p>
        </w:tc>
        <w:tc>
          <w:tcPr>
            <w:tcW w:w="1235" w:type="dxa"/>
            <w:tcBorders>
              <w:top w:val="single" w:color="FFFFFF" w:sz="4" w:space="0"/>
              <w:left w:val="single" w:color="231F20" w:sz="4" w:space="0"/>
              <w:right w:val="single" w:color="FFFFFF" w:sz="4" w:space="0"/>
            </w:tcBorders>
            <w:shd w:val="clear" w:color="auto" w:fill="648676"/>
            <w:vAlign w:val="top"/>
          </w:tcPr>
          <w:p w14:paraId="60F0A9F4">
            <w:pPr>
              <w:pStyle w:val="6"/>
              <w:spacing w:before="73" w:line="192" w:lineRule="auto"/>
              <w:ind w:left="183"/>
            </w:pPr>
            <w:r>
              <w:rPr>
                <w:color w:val="FFFFFF"/>
                <w:spacing w:val="-1"/>
              </w:rPr>
              <w:t>适用企业</w:t>
            </w:r>
          </w:p>
        </w:tc>
        <w:tc>
          <w:tcPr>
            <w:tcW w:w="1217" w:type="dxa"/>
            <w:tcBorders>
              <w:top w:val="single" w:color="FFFFFF" w:sz="4" w:space="0"/>
              <w:left w:val="single" w:color="FFFFFF" w:sz="4" w:space="0"/>
              <w:right w:val="single" w:color="FFFFFF" w:sz="4" w:space="0"/>
            </w:tcBorders>
            <w:shd w:val="clear" w:color="auto" w:fill="648676"/>
            <w:vAlign w:val="top"/>
          </w:tcPr>
          <w:p w14:paraId="259FAC6B">
            <w:pPr>
              <w:pStyle w:val="6"/>
              <w:spacing w:before="73" w:line="192" w:lineRule="auto"/>
              <w:ind w:left="172"/>
            </w:pPr>
            <w:r>
              <w:rPr>
                <w:color w:val="FFFFFF"/>
                <w:spacing w:val="-1"/>
              </w:rPr>
              <w:t>适用技术</w:t>
            </w:r>
          </w:p>
        </w:tc>
      </w:tr>
      <w:tr w14:paraId="628D84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116" w:hRule="atLeast"/>
        </w:trPr>
        <w:tc>
          <w:tcPr>
            <w:tcW w:w="1310" w:type="dxa"/>
            <w:shd w:val="clear" w:color="auto" w:fill="EDF3F0"/>
            <w:vAlign w:val="top"/>
          </w:tcPr>
          <w:p w14:paraId="6613B94B">
            <w:pPr>
              <w:spacing w:line="270" w:lineRule="auto"/>
              <w:rPr>
                <w:rFonts w:ascii="Arial"/>
                <w:sz w:val="21"/>
              </w:rPr>
            </w:pPr>
          </w:p>
          <w:p w14:paraId="5F6A880A">
            <w:pPr>
              <w:spacing w:line="270" w:lineRule="auto"/>
              <w:rPr>
                <w:rFonts w:ascii="Arial"/>
                <w:sz w:val="21"/>
              </w:rPr>
            </w:pPr>
          </w:p>
          <w:p w14:paraId="08F34A6A">
            <w:pPr>
              <w:spacing w:line="270" w:lineRule="auto"/>
              <w:rPr>
                <w:rFonts w:ascii="Arial"/>
                <w:sz w:val="21"/>
              </w:rPr>
            </w:pPr>
          </w:p>
          <w:p w14:paraId="18313AF6">
            <w:pPr>
              <w:spacing w:line="271" w:lineRule="auto"/>
              <w:rPr>
                <w:rFonts w:ascii="Arial"/>
                <w:sz w:val="21"/>
              </w:rPr>
            </w:pPr>
          </w:p>
          <w:p w14:paraId="03099E6D">
            <w:pPr>
              <w:spacing w:line="271" w:lineRule="auto"/>
              <w:rPr>
                <w:rFonts w:ascii="Arial"/>
                <w:sz w:val="21"/>
              </w:rPr>
            </w:pPr>
          </w:p>
          <w:p w14:paraId="447B1437">
            <w:pPr>
              <w:pStyle w:val="6"/>
              <w:spacing w:before="86" w:line="208" w:lineRule="auto"/>
              <w:ind w:left="346"/>
              <w:rPr>
                <w:sz w:val="20"/>
                <w:szCs w:val="20"/>
              </w:rPr>
            </w:pPr>
            <w:r>
              <w:rPr>
                <w:spacing w:val="-2"/>
                <w:sz w:val="20"/>
                <w:szCs w:val="20"/>
              </w:rPr>
              <w:t>集中式</w:t>
            </w:r>
          </w:p>
        </w:tc>
        <w:tc>
          <w:tcPr>
            <w:tcW w:w="1852" w:type="dxa"/>
            <w:shd w:val="clear" w:color="auto" w:fill="E9E8E8"/>
            <w:vAlign w:val="top"/>
          </w:tcPr>
          <w:p w14:paraId="394D232B">
            <w:pPr>
              <w:spacing w:line="338" w:lineRule="auto"/>
              <w:rPr>
                <w:rFonts w:ascii="Arial"/>
                <w:sz w:val="21"/>
              </w:rPr>
            </w:pPr>
          </w:p>
          <w:p w14:paraId="05B7DDC8">
            <w:pPr>
              <w:spacing w:line="338" w:lineRule="auto"/>
              <w:rPr>
                <w:rFonts w:ascii="Arial"/>
                <w:sz w:val="21"/>
              </w:rPr>
            </w:pPr>
          </w:p>
          <w:p w14:paraId="067C8587">
            <w:pPr>
              <w:pStyle w:val="6"/>
              <w:spacing w:before="86" w:line="235" w:lineRule="auto"/>
              <w:ind w:left="101" w:right="135"/>
              <w:jc w:val="both"/>
              <w:rPr>
                <w:sz w:val="20"/>
                <w:szCs w:val="20"/>
              </w:rPr>
            </w:pPr>
            <w:r>
              <w:rPr>
                <w:spacing w:val="-1"/>
                <w:sz w:val="20"/>
                <w:szCs w:val="20"/>
              </w:rPr>
              <w:t>各业务线业务独立</w:t>
            </w:r>
            <w:r>
              <w:rPr>
                <w:spacing w:val="1"/>
                <w:sz w:val="20"/>
                <w:szCs w:val="20"/>
              </w:rPr>
              <w:t xml:space="preserve"> </w:t>
            </w:r>
            <w:r>
              <w:rPr>
                <w:spacing w:val="-1"/>
                <w:sz w:val="20"/>
                <w:szCs w:val="20"/>
              </w:rPr>
              <w:t>性较低、数据相关</w:t>
            </w:r>
            <w:r>
              <w:rPr>
                <w:spacing w:val="1"/>
                <w:sz w:val="20"/>
                <w:szCs w:val="20"/>
              </w:rPr>
              <w:t xml:space="preserve"> </w:t>
            </w:r>
            <w:r>
              <w:rPr>
                <w:spacing w:val="-2"/>
                <w:sz w:val="20"/>
                <w:szCs w:val="20"/>
              </w:rPr>
              <w:t>性较高</w:t>
            </w:r>
          </w:p>
          <w:p w14:paraId="15B8D2D9">
            <w:pPr>
              <w:pStyle w:val="6"/>
              <w:spacing w:before="13" w:line="233" w:lineRule="auto"/>
              <w:ind w:left="100" w:right="135"/>
              <w:rPr>
                <w:sz w:val="20"/>
                <w:szCs w:val="20"/>
              </w:rPr>
            </w:pPr>
            <w:r>
              <w:rPr>
                <w:spacing w:val="-1"/>
                <w:sz w:val="20"/>
                <w:szCs w:val="20"/>
              </w:rPr>
              <w:t>数字技能在各业务</w:t>
            </w:r>
            <w:r>
              <w:rPr>
                <w:spacing w:val="1"/>
                <w:sz w:val="20"/>
                <w:szCs w:val="20"/>
              </w:rPr>
              <w:t xml:space="preserve"> </w:t>
            </w:r>
            <w:r>
              <w:rPr>
                <w:spacing w:val="-1"/>
                <w:sz w:val="20"/>
                <w:szCs w:val="20"/>
              </w:rPr>
              <w:t>线分布有所不均</w:t>
            </w:r>
          </w:p>
        </w:tc>
        <w:tc>
          <w:tcPr>
            <w:tcW w:w="2335" w:type="dxa"/>
            <w:shd w:val="clear" w:color="auto" w:fill="EDF3F0"/>
            <w:vAlign w:val="top"/>
          </w:tcPr>
          <w:p w14:paraId="0736113C">
            <w:pPr>
              <w:pStyle w:val="6"/>
              <w:spacing w:before="87" w:line="208" w:lineRule="auto"/>
              <w:ind w:left="105"/>
              <w:rPr>
                <w:sz w:val="20"/>
                <w:szCs w:val="20"/>
              </w:rPr>
            </w:pPr>
            <w:r>
              <w:rPr>
                <w:spacing w:val="-11"/>
                <w:sz w:val="20"/>
                <w:szCs w:val="20"/>
              </w:rPr>
              <w:t>优势：</w:t>
            </w:r>
          </w:p>
          <w:p w14:paraId="3A6A69BD">
            <w:pPr>
              <w:pStyle w:val="6"/>
              <w:spacing w:before="43" w:line="233" w:lineRule="auto"/>
              <w:ind w:left="105" w:right="99"/>
              <w:rPr>
                <w:sz w:val="20"/>
                <w:szCs w:val="20"/>
              </w:rPr>
            </w:pPr>
            <w:r>
              <w:rPr>
                <w:spacing w:val="10"/>
                <w:sz w:val="20"/>
                <w:szCs w:val="20"/>
              </w:rPr>
              <w:t>组织级统一数据资产管</w:t>
            </w:r>
            <w:r>
              <w:rPr>
                <w:spacing w:val="8"/>
                <w:sz w:val="20"/>
                <w:szCs w:val="20"/>
              </w:rPr>
              <w:t xml:space="preserve"> </w:t>
            </w:r>
            <w:r>
              <w:rPr>
                <w:spacing w:val="-12"/>
                <w:sz w:val="20"/>
                <w:szCs w:val="20"/>
              </w:rPr>
              <w:t>理；</w:t>
            </w:r>
          </w:p>
          <w:p w14:paraId="7C951717">
            <w:pPr>
              <w:pStyle w:val="6"/>
              <w:spacing w:before="13" w:line="206" w:lineRule="auto"/>
              <w:ind w:left="105"/>
              <w:rPr>
                <w:sz w:val="20"/>
                <w:szCs w:val="20"/>
              </w:rPr>
            </w:pPr>
            <w:r>
              <w:rPr>
                <w:spacing w:val="10"/>
                <w:sz w:val="20"/>
                <w:szCs w:val="20"/>
              </w:rPr>
              <w:t>全面提升数据资产管理</w:t>
            </w:r>
          </w:p>
          <w:p w14:paraId="683E567B">
            <w:pPr>
              <w:pStyle w:val="6"/>
              <w:spacing w:before="55" w:line="234" w:lineRule="auto"/>
              <w:ind w:left="106" w:right="1654"/>
              <w:rPr>
                <w:sz w:val="20"/>
                <w:szCs w:val="20"/>
              </w:rPr>
            </w:pPr>
            <w:r>
              <w:rPr>
                <w:spacing w:val="-3"/>
                <w:sz w:val="20"/>
                <w:szCs w:val="20"/>
              </w:rPr>
              <w:t>能力</w:t>
            </w:r>
            <w:r>
              <w:rPr>
                <w:sz w:val="20"/>
                <w:szCs w:val="20"/>
              </w:rPr>
              <w:t xml:space="preserve">    </w:t>
            </w:r>
            <w:r>
              <w:rPr>
                <w:spacing w:val="-16"/>
                <w:sz w:val="20"/>
                <w:szCs w:val="20"/>
              </w:rPr>
              <w:t>劣势：</w:t>
            </w:r>
          </w:p>
          <w:p w14:paraId="1050BFA2">
            <w:pPr>
              <w:pStyle w:val="6"/>
              <w:spacing w:line="233" w:lineRule="auto"/>
              <w:ind w:left="106" w:right="104"/>
              <w:rPr>
                <w:sz w:val="20"/>
                <w:szCs w:val="20"/>
              </w:rPr>
            </w:pPr>
            <w:r>
              <w:rPr>
                <w:spacing w:val="10"/>
                <w:sz w:val="20"/>
                <w:szCs w:val="20"/>
              </w:rPr>
              <w:t>与业务结合不足，敏捷</w:t>
            </w:r>
            <w:r>
              <w:rPr>
                <w:spacing w:val="2"/>
                <w:sz w:val="20"/>
                <w:szCs w:val="20"/>
              </w:rPr>
              <w:t xml:space="preserve"> </w:t>
            </w:r>
            <w:r>
              <w:rPr>
                <w:spacing w:val="-9"/>
                <w:sz w:val="20"/>
                <w:szCs w:val="20"/>
              </w:rPr>
              <w:t>性较低；</w:t>
            </w:r>
          </w:p>
          <w:p w14:paraId="429431CC">
            <w:pPr>
              <w:pStyle w:val="6"/>
              <w:spacing w:before="13" w:line="207" w:lineRule="auto"/>
              <w:ind w:left="105"/>
              <w:rPr>
                <w:sz w:val="20"/>
                <w:szCs w:val="20"/>
              </w:rPr>
            </w:pPr>
            <w:r>
              <w:rPr>
                <w:spacing w:val="-1"/>
                <w:sz w:val="20"/>
                <w:szCs w:val="20"/>
              </w:rPr>
              <w:t>投入资源大、见效慢</w:t>
            </w:r>
          </w:p>
        </w:tc>
        <w:tc>
          <w:tcPr>
            <w:tcW w:w="1235" w:type="dxa"/>
            <w:shd w:val="clear" w:color="auto" w:fill="E9E8E8"/>
            <w:vAlign w:val="top"/>
          </w:tcPr>
          <w:p w14:paraId="4FBB8B0B">
            <w:pPr>
              <w:spacing w:line="270" w:lineRule="auto"/>
              <w:rPr>
                <w:rFonts w:ascii="Arial"/>
                <w:sz w:val="21"/>
              </w:rPr>
            </w:pPr>
          </w:p>
          <w:p w14:paraId="25804958">
            <w:pPr>
              <w:spacing w:line="270" w:lineRule="auto"/>
              <w:rPr>
                <w:rFonts w:ascii="Arial"/>
                <w:sz w:val="21"/>
              </w:rPr>
            </w:pPr>
          </w:p>
          <w:p w14:paraId="2274AEBF">
            <w:pPr>
              <w:spacing w:line="270" w:lineRule="auto"/>
              <w:rPr>
                <w:rFonts w:ascii="Arial"/>
                <w:sz w:val="21"/>
              </w:rPr>
            </w:pPr>
          </w:p>
          <w:p w14:paraId="08F794B4">
            <w:pPr>
              <w:spacing w:line="271" w:lineRule="auto"/>
              <w:rPr>
                <w:rFonts w:ascii="Arial"/>
                <w:sz w:val="21"/>
              </w:rPr>
            </w:pPr>
          </w:p>
          <w:p w14:paraId="2B2AE268">
            <w:pPr>
              <w:spacing w:line="271" w:lineRule="auto"/>
              <w:rPr>
                <w:rFonts w:ascii="Arial"/>
                <w:sz w:val="21"/>
              </w:rPr>
            </w:pPr>
          </w:p>
          <w:p w14:paraId="407168CC">
            <w:pPr>
              <w:pStyle w:val="6"/>
              <w:spacing w:before="86" w:line="208" w:lineRule="auto"/>
              <w:ind w:left="125"/>
              <w:rPr>
                <w:sz w:val="20"/>
                <w:szCs w:val="20"/>
              </w:rPr>
            </w:pPr>
            <w:r>
              <w:rPr>
                <w:spacing w:val="-3"/>
                <w:sz w:val="20"/>
                <w:szCs w:val="20"/>
              </w:rPr>
              <w:t>中大型企业</w:t>
            </w:r>
          </w:p>
        </w:tc>
        <w:tc>
          <w:tcPr>
            <w:tcW w:w="1217" w:type="dxa"/>
            <w:shd w:val="clear" w:color="auto" w:fill="EDF3F0"/>
            <w:vAlign w:val="top"/>
          </w:tcPr>
          <w:p w14:paraId="4F4D1590">
            <w:pPr>
              <w:spacing w:line="253" w:lineRule="auto"/>
              <w:rPr>
                <w:rFonts w:ascii="Arial"/>
                <w:sz w:val="21"/>
              </w:rPr>
            </w:pPr>
          </w:p>
          <w:p w14:paraId="32A28A94">
            <w:pPr>
              <w:spacing w:line="253" w:lineRule="auto"/>
              <w:rPr>
                <w:rFonts w:ascii="Arial"/>
                <w:sz w:val="21"/>
              </w:rPr>
            </w:pPr>
          </w:p>
          <w:p w14:paraId="5CBBB911">
            <w:pPr>
              <w:spacing w:line="254" w:lineRule="auto"/>
              <w:rPr>
                <w:rFonts w:ascii="Arial"/>
                <w:sz w:val="21"/>
              </w:rPr>
            </w:pPr>
          </w:p>
          <w:p w14:paraId="3B06B492">
            <w:pPr>
              <w:spacing w:line="254" w:lineRule="auto"/>
              <w:rPr>
                <w:rFonts w:ascii="Arial"/>
                <w:sz w:val="21"/>
              </w:rPr>
            </w:pPr>
          </w:p>
          <w:p w14:paraId="01F08DCC">
            <w:pPr>
              <w:pStyle w:val="6"/>
              <w:spacing w:before="86" w:line="229" w:lineRule="auto"/>
              <w:ind w:left="116" w:right="102" w:hanging="1"/>
              <w:jc w:val="both"/>
              <w:rPr>
                <w:sz w:val="20"/>
                <w:szCs w:val="20"/>
              </w:rPr>
            </w:pPr>
            <w:r>
              <w:rPr>
                <w:spacing w:val="-6"/>
                <w:sz w:val="20"/>
                <w:szCs w:val="20"/>
              </w:rPr>
              <w:t>数据仓库、</w:t>
            </w:r>
            <w:r>
              <w:rPr>
                <w:spacing w:val="1"/>
                <w:sz w:val="20"/>
                <w:szCs w:val="20"/>
              </w:rPr>
              <w:t xml:space="preserve"> </w:t>
            </w:r>
            <w:r>
              <w:rPr>
                <w:spacing w:val="-4"/>
                <w:w w:val="98"/>
                <w:sz w:val="20"/>
                <w:szCs w:val="20"/>
              </w:rPr>
              <w:t>大</w:t>
            </w:r>
            <w:r>
              <w:rPr>
                <w:spacing w:val="13"/>
                <w:sz w:val="20"/>
                <w:szCs w:val="20"/>
              </w:rPr>
              <w:t xml:space="preserve"> </w:t>
            </w:r>
            <w:r>
              <w:rPr>
                <w:spacing w:val="-4"/>
                <w:w w:val="98"/>
                <w:sz w:val="20"/>
                <w:szCs w:val="20"/>
              </w:rPr>
              <w:t>数</w:t>
            </w:r>
            <w:r>
              <w:rPr>
                <w:spacing w:val="8"/>
                <w:sz w:val="20"/>
                <w:szCs w:val="20"/>
              </w:rPr>
              <w:t xml:space="preserve"> </w:t>
            </w:r>
            <w:r>
              <w:rPr>
                <w:spacing w:val="-4"/>
                <w:w w:val="98"/>
                <w:sz w:val="20"/>
                <w:szCs w:val="20"/>
              </w:rPr>
              <w:t>据</w:t>
            </w:r>
            <w:r>
              <w:rPr>
                <w:spacing w:val="9"/>
                <w:sz w:val="20"/>
                <w:szCs w:val="20"/>
              </w:rPr>
              <w:t xml:space="preserve"> </w:t>
            </w:r>
            <w:r>
              <w:rPr>
                <w:spacing w:val="-4"/>
                <w:w w:val="98"/>
                <w:sz w:val="20"/>
                <w:szCs w:val="20"/>
              </w:rPr>
              <w:t>平</w:t>
            </w:r>
            <w:r>
              <w:rPr>
                <w:sz w:val="20"/>
                <w:szCs w:val="20"/>
              </w:rPr>
              <w:t xml:space="preserve"> 台</w:t>
            </w:r>
          </w:p>
        </w:tc>
      </w:tr>
      <w:tr w14:paraId="1995080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449" w:hRule="atLeast"/>
        </w:trPr>
        <w:tc>
          <w:tcPr>
            <w:tcW w:w="1310" w:type="dxa"/>
            <w:shd w:val="clear" w:color="auto" w:fill="EDF3F0"/>
            <w:vAlign w:val="top"/>
          </w:tcPr>
          <w:p w14:paraId="39876E72">
            <w:pPr>
              <w:spacing w:line="259" w:lineRule="auto"/>
              <w:rPr>
                <w:rFonts w:ascii="Arial"/>
                <w:sz w:val="21"/>
              </w:rPr>
            </w:pPr>
          </w:p>
          <w:p w14:paraId="6940F0B1">
            <w:pPr>
              <w:spacing w:line="260" w:lineRule="auto"/>
              <w:rPr>
                <w:rFonts w:ascii="Arial"/>
                <w:sz w:val="21"/>
              </w:rPr>
            </w:pPr>
          </w:p>
          <w:p w14:paraId="7F5404F0">
            <w:pPr>
              <w:spacing w:line="260" w:lineRule="auto"/>
              <w:rPr>
                <w:rFonts w:ascii="Arial"/>
                <w:sz w:val="21"/>
              </w:rPr>
            </w:pPr>
          </w:p>
          <w:p w14:paraId="380D2AE8">
            <w:pPr>
              <w:spacing w:line="260" w:lineRule="auto"/>
              <w:rPr>
                <w:rFonts w:ascii="Arial"/>
                <w:sz w:val="21"/>
              </w:rPr>
            </w:pPr>
          </w:p>
          <w:p w14:paraId="1F848176">
            <w:pPr>
              <w:pStyle w:val="6"/>
              <w:spacing w:before="86" w:line="177" w:lineRule="auto"/>
              <w:ind w:left="346"/>
              <w:rPr>
                <w:sz w:val="20"/>
                <w:szCs w:val="20"/>
              </w:rPr>
            </w:pPr>
            <w:r>
              <w:rPr>
                <w:spacing w:val="-2"/>
                <w:sz w:val="20"/>
                <w:szCs w:val="20"/>
              </w:rPr>
              <w:t>联邦式</w:t>
            </w:r>
          </w:p>
        </w:tc>
        <w:tc>
          <w:tcPr>
            <w:tcW w:w="1852" w:type="dxa"/>
            <w:shd w:val="clear" w:color="auto" w:fill="E9E8E8"/>
            <w:vAlign w:val="top"/>
          </w:tcPr>
          <w:p w14:paraId="1A246B54">
            <w:pPr>
              <w:spacing w:line="349" w:lineRule="auto"/>
              <w:rPr>
                <w:rFonts w:ascii="Arial"/>
                <w:sz w:val="21"/>
              </w:rPr>
            </w:pPr>
          </w:p>
          <w:p w14:paraId="7CB272AA">
            <w:pPr>
              <w:pStyle w:val="6"/>
              <w:spacing w:before="86" w:line="235" w:lineRule="auto"/>
              <w:ind w:left="101" w:right="135"/>
              <w:jc w:val="both"/>
              <w:rPr>
                <w:sz w:val="20"/>
                <w:szCs w:val="20"/>
              </w:rPr>
            </w:pPr>
            <w:r>
              <w:rPr>
                <w:spacing w:val="-1"/>
                <w:sz w:val="20"/>
                <w:szCs w:val="20"/>
              </w:rPr>
              <w:t>各业务线业务独立</w:t>
            </w:r>
            <w:r>
              <w:rPr>
                <w:spacing w:val="1"/>
                <w:sz w:val="20"/>
                <w:szCs w:val="20"/>
              </w:rPr>
              <w:t xml:space="preserve"> </w:t>
            </w:r>
            <w:r>
              <w:rPr>
                <w:spacing w:val="-1"/>
                <w:sz w:val="20"/>
                <w:szCs w:val="20"/>
              </w:rPr>
              <w:t>性较高、数据相关</w:t>
            </w:r>
            <w:r>
              <w:rPr>
                <w:spacing w:val="1"/>
                <w:sz w:val="20"/>
                <w:szCs w:val="20"/>
              </w:rPr>
              <w:t xml:space="preserve"> </w:t>
            </w:r>
            <w:r>
              <w:rPr>
                <w:spacing w:val="-2"/>
                <w:sz w:val="20"/>
                <w:szCs w:val="20"/>
              </w:rPr>
              <w:t>性较低</w:t>
            </w:r>
          </w:p>
          <w:p w14:paraId="0539922C">
            <w:pPr>
              <w:pStyle w:val="6"/>
              <w:spacing w:before="13" w:line="233" w:lineRule="auto"/>
              <w:ind w:left="100" w:right="135"/>
              <w:rPr>
                <w:sz w:val="20"/>
                <w:szCs w:val="20"/>
              </w:rPr>
            </w:pPr>
            <w:r>
              <w:rPr>
                <w:spacing w:val="-1"/>
                <w:sz w:val="20"/>
                <w:szCs w:val="20"/>
              </w:rPr>
              <w:t>数字技能在各业务</w:t>
            </w:r>
            <w:r>
              <w:rPr>
                <w:spacing w:val="1"/>
                <w:sz w:val="20"/>
                <w:szCs w:val="20"/>
              </w:rPr>
              <w:t xml:space="preserve"> </w:t>
            </w:r>
            <w:r>
              <w:rPr>
                <w:spacing w:val="-1"/>
                <w:sz w:val="20"/>
                <w:szCs w:val="20"/>
              </w:rPr>
              <w:t>线分布相对均衡</w:t>
            </w:r>
          </w:p>
        </w:tc>
        <w:tc>
          <w:tcPr>
            <w:tcW w:w="2335" w:type="dxa"/>
            <w:shd w:val="clear" w:color="auto" w:fill="EDF3F0"/>
            <w:vAlign w:val="top"/>
          </w:tcPr>
          <w:p w14:paraId="1B37F10C">
            <w:pPr>
              <w:pStyle w:val="6"/>
              <w:spacing w:before="98" w:line="208" w:lineRule="auto"/>
              <w:ind w:left="105"/>
              <w:rPr>
                <w:sz w:val="20"/>
                <w:szCs w:val="20"/>
              </w:rPr>
            </w:pPr>
            <w:r>
              <w:rPr>
                <w:spacing w:val="-11"/>
                <w:sz w:val="20"/>
                <w:szCs w:val="20"/>
              </w:rPr>
              <w:t>优势：</w:t>
            </w:r>
          </w:p>
          <w:p w14:paraId="22A83A31">
            <w:pPr>
              <w:pStyle w:val="6"/>
              <w:spacing w:before="43" w:line="233" w:lineRule="auto"/>
              <w:ind w:left="106" w:right="104"/>
              <w:rPr>
                <w:sz w:val="20"/>
                <w:szCs w:val="20"/>
              </w:rPr>
            </w:pPr>
            <w:r>
              <w:rPr>
                <w:spacing w:val="10"/>
                <w:sz w:val="20"/>
                <w:szCs w:val="20"/>
              </w:rPr>
              <w:t>与业务结合紧密，敏捷</w:t>
            </w:r>
            <w:r>
              <w:rPr>
                <w:spacing w:val="2"/>
                <w:sz w:val="20"/>
                <w:szCs w:val="20"/>
              </w:rPr>
              <w:t xml:space="preserve"> </w:t>
            </w:r>
            <w:r>
              <w:rPr>
                <w:spacing w:val="-9"/>
                <w:sz w:val="20"/>
                <w:szCs w:val="20"/>
              </w:rPr>
              <w:t>性较高；</w:t>
            </w:r>
          </w:p>
          <w:p w14:paraId="3F3C3A89">
            <w:pPr>
              <w:pStyle w:val="6"/>
              <w:spacing w:before="12" w:line="234" w:lineRule="auto"/>
              <w:ind w:left="106" w:right="413" w:hanging="1"/>
              <w:rPr>
                <w:sz w:val="20"/>
                <w:szCs w:val="20"/>
              </w:rPr>
            </w:pPr>
            <w:r>
              <w:rPr>
                <w:spacing w:val="-1"/>
                <w:sz w:val="20"/>
                <w:szCs w:val="20"/>
              </w:rPr>
              <w:t>投入资源小、见效快</w:t>
            </w:r>
            <w:r>
              <w:rPr>
                <w:spacing w:val="3"/>
                <w:sz w:val="20"/>
                <w:szCs w:val="20"/>
              </w:rPr>
              <w:t xml:space="preserve"> </w:t>
            </w:r>
            <w:r>
              <w:rPr>
                <w:spacing w:val="-11"/>
                <w:sz w:val="20"/>
                <w:szCs w:val="20"/>
              </w:rPr>
              <w:t>劣势：</w:t>
            </w:r>
          </w:p>
          <w:p w14:paraId="2A24EA41">
            <w:pPr>
              <w:pStyle w:val="6"/>
              <w:spacing w:before="12" w:line="224" w:lineRule="auto"/>
              <w:ind w:left="107" w:right="99" w:hanging="1"/>
              <w:rPr>
                <w:sz w:val="20"/>
                <w:szCs w:val="20"/>
              </w:rPr>
            </w:pPr>
            <w:r>
              <w:rPr>
                <w:spacing w:val="10"/>
                <w:sz w:val="20"/>
                <w:szCs w:val="20"/>
              </w:rPr>
              <w:t>数据管理团队人员缺口</w:t>
            </w:r>
            <w:r>
              <w:rPr>
                <w:spacing w:val="7"/>
                <w:sz w:val="20"/>
                <w:szCs w:val="20"/>
              </w:rPr>
              <w:t xml:space="preserve"> </w:t>
            </w:r>
            <w:r>
              <w:rPr>
                <w:spacing w:val="-1"/>
                <w:sz w:val="20"/>
                <w:szCs w:val="20"/>
              </w:rPr>
              <w:t>大、技能培养投入大</w:t>
            </w:r>
          </w:p>
        </w:tc>
        <w:tc>
          <w:tcPr>
            <w:tcW w:w="1235" w:type="dxa"/>
            <w:shd w:val="clear" w:color="auto" w:fill="E9E8E8"/>
            <w:vAlign w:val="top"/>
          </w:tcPr>
          <w:p w14:paraId="61D8776F">
            <w:pPr>
              <w:spacing w:line="344" w:lineRule="auto"/>
              <w:rPr>
                <w:rFonts w:ascii="Arial"/>
                <w:sz w:val="21"/>
              </w:rPr>
            </w:pPr>
          </w:p>
          <w:p w14:paraId="6C3F2D03">
            <w:pPr>
              <w:spacing w:line="345" w:lineRule="auto"/>
              <w:rPr>
                <w:rFonts w:ascii="Arial"/>
                <w:sz w:val="21"/>
              </w:rPr>
            </w:pPr>
          </w:p>
          <w:p w14:paraId="7A977C29">
            <w:pPr>
              <w:pStyle w:val="6"/>
              <w:spacing w:before="86" w:line="228" w:lineRule="auto"/>
              <w:ind w:left="111" w:right="96" w:firstLine="13"/>
              <w:jc w:val="both"/>
              <w:rPr>
                <w:sz w:val="20"/>
                <w:szCs w:val="20"/>
              </w:rPr>
            </w:pPr>
            <w:r>
              <w:rPr>
                <w:spacing w:val="-9"/>
                <w:sz w:val="20"/>
                <w:szCs w:val="20"/>
              </w:rPr>
              <w:t>中</w:t>
            </w:r>
            <w:r>
              <w:rPr>
                <w:spacing w:val="17"/>
                <w:sz w:val="20"/>
                <w:szCs w:val="20"/>
              </w:rPr>
              <w:t xml:space="preserve"> </w:t>
            </w:r>
            <w:r>
              <w:rPr>
                <w:spacing w:val="-9"/>
                <w:sz w:val="20"/>
                <w:szCs w:val="20"/>
              </w:rPr>
              <w:t>小</w:t>
            </w:r>
            <w:r>
              <w:rPr>
                <w:spacing w:val="17"/>
                <w:w w:val="101"/>
                <w:sz w:val="20"/>
                <w:szCs w:val="20"/>
              </w:rPr>
              <w:t xml:space="preserve"> </w:t>
            </w:r>
            <w:r>
              <w:rPr>
                <w:spacing w:val="-9"/>
                <w:sz w:val="20"/>
                <w:szCs w:val="20"/>
              </w:rPr>
              <w:t>型</w:t>
            </w:r>
            <w:r>
              <w:rPr>
                <w:spacing w:val="16"/>
                <w:sz w:val="20"/>
                <w:szCs w:val="20"/>
              </w:rPr>
              <w:t xml:space="preserve"> </w:t>
            </w:r>
            <w:r>
              <w:rPr>
                <w:spacing w:val="-9"/>
                <w:sz w:val="20"/>
                <w:szCs w:val="20"/>
              </w:rPr>
              <w:t>企</w:t>
            </w:r>
            <w:r>
              <w:rPr>
                <w:sz w:val="20"/>
                <w:szCs w:val="20"/>
              </w:rPr>
              <w:t xml:space="preserve"> 业、集团型 </w:t>
            </w:r>
            <w:r>
              <w:rPr>
                <w:spacing w:val="-2"/>
                <w:sz w:val="20"/>
                <w:szCs w:val="20"/>
              </w:rPr>
              <w:t>企业</w:t>
            </w:r>
          </w:p>
        </w:tc>
        <w:tc>
          <w:tcPr>
            <w:tcW w:w="1217" w:type="dxa"/>
            <w:shd w:val="clear" w:color="auto" w:fill="EDF3F0"/>
            <w:vAlign w:val="top"/>
          </w:tcPr>
          <w:p w14:paraId="633F477C">
            <w:pPr>
              <w:spacing w:line="295" w:lineRule="auto"/>
              <w:rPr>
                <w:rFonts w:ascii="Arial"/>
                <w:sz w:val="21"/>
              </w:rPr>
            </w:pPr>
          </w:p>
          <w:p w14:paraId="27F6953F">
            <w:pPr>
              <w:spacing w:line="295" w:lineRule="auto"/>
              <w:rPr>
                <w:rFonts w:ascii="Arial"/>
                <w:sz w:val="21"/>
              </w:rPr>
            </w:pPr>
          </w:p>
          <w:p w14:paraId="36C98D29">
            <w:pPr>
              <w:spacing w:line="296" w:lineRule="auto"/>
              <w:rPr>
                <w:rFonts w:ascii="Arial"/>
                <w:sz w:val="21"/>
              </w:rPr>
            </w:pPr>
          </w:p>
          <w:p w14:paraId="4232B863">
            <w:pPr>
              <w:pStyle w:val="6"/>
              <w:spacing w:before="86" w:line="250" w:lineRule="auto"/>
              <w:ind w:left="319" w:right="295" w:firstLine="67"/>
              <w:rPr>
                <w:sz w:val="20"/>
                <w:szCs w:val="20"/>
              </w:rPr>
            </w:pPr>
            <w:r>
              <w:rPr>
                <w:spacing w:val="-1"/>
                <w:sz w:val="20"/>
                <w:szCs w:val="20"/>
              </w:rPr>
              <w:t>Data</w:t>
            </w:r>
            <w:r>
              <w:rPr>
                <w:sz w:val="20"/>
                <w:szCs w:val="20"/>
              </w:rPr>
              <w:t xml:space="preserve">  </w:t>
            </w:r>
            <w:r>
              <w:rPr>
                <w:spacing w:val="1"/>
                <w:sz w:val="20"/>
                <w:szCs w:val="20"/>
              </w:rPr>
              <w:t>Fabric</w:t>
            </w:r>
          </w:p>
        </w:tc>
      </w:tr>
    </w:tbl>
    <w:p w14:paraId="1D3389BD">
      <w:pPr>
        <w:pStyle w:val="2"/>
        <w:spacing w:line="372" w:lineRule="auto"/>
      </w:pPr>
    </w:p>
    <w:p w14:paraId="622D9F79">
      <w:pPr>
        <w:spacing w:before="94" w:line="290" w:lineRule="auto"/>
        <w:ind w:left="978" w:right="727" w:firstLine="483"/>
        <w:jc w:val="both"/>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实践层面，这两种管理和组织模式并没有严格意义上的优劣之分，集中式并不</w:t>
      </w:r>
      <w:r>
        <w:rPr>
          <w:rFonts w:ascii="微软雅黑" w:hAnsi="微软雅黑" w:eastAsia="微软雅黑" w:cs="微软雅黑"/>
          <w:color w:val="231F20"/>
          <w:spacing w:val="15"/>
          <w:sz w:val="22"/>
          <w:szCs w:val="22"/>
        </w:rPr>
        <w:t xml:space="preserve"> </w:t>
      </w:r>
      <w:r>
        <w:rPr>
          <w:rFonts w:ascii="微软雅黑" w:hAnsi="微软雅黑" w:eastAsia="微软雅黑" w:cs="微软雅黑"/>
          <w:color w:val="231F20"/>
          <w:spacing w:val="1"/>
          <w:sz w:val="22"/>
          <w:szCs w:val="22"/>
        </w:rPr>
        <w:t>意味着完全的集中管理，联邦式也不意味着完全的分散管理</w:t>
      </w:r>
      <w:r>
        <w:rPr>
          <w:rFonts w:ascii="微软雅黑" w:hAnsi="微软雅黑" w:eastAsia="微软雅黑" w:cs="微软雅黑"/>
          <w:color w:val="231F20"/>
          <w:sz w:val="22"/>
          <w:szCs w:val="22"/>
        </w:rPr>
        <w:t>，采用何种模式主要取 决于企业自身的数据资产管理基础能力与组织架构，也可以采用融合集中式与联邦</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pacing w:val="-3"/>
          <w:sz w:val="22"/>
          <w:szCs w:val="22"/>
        </w:rPr>
        <w:t>式的混合模式。</w:t>
      </w:r>
    </w:p>
    <w:p w14:paraId="1D3518C9">
      <w:pPr>
        <w:spacing w:before="15" w:line="287" w:lineRule="auto"/>
        <w:ind w:left="995" w:right="738" w:firstLine="462"/>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理论层面，联邦式管理逐渐成为趋势。一方面，数据分散管理需求正在增长。</w:t>
      </w:r>
      <w:r>
        <w:rPr>
          <w:rFonts w:ascii="微软雅黑" w:hAnsi="微软雅黑" w:eastAsia="微软雅黑" w:cs="微软雅黑"/>
          <w:color w:val="231F20"/>
          <w:spacing w:val="5"/>
          <w:sz w:val="22"/>
          <w:szCs w:val="22"/>
        </w:rPr>
        <w:t xml:space="preserve"> </w:t>
      </w:r>
      <w:r>
        <w:rPr>
          <w:rFonts w:ascii="微软雅黑" w:hAnsi="微软雅黑" w:eastAsia="微软雅黑" w:cs="微软雅黑"/>
          <w:color w:val="231F20"/>
          <w:sz w:val="22"/>
          <w:szCs w:val="22"/>
        </w:rPr>
        <w:t>由于场景化数据资产应用愈发普遍，从业务端构建数据资产管理团队将有助于</w:t>
      </w:r>
      <w:r>
        <w:rPr>
          <w:rFonts w:ascii="微软雅黑" w:hAnsi="微软雅黑" w:eastAsia="微软雅黑" w:cs="微软雅黑"/>
          <w:color w:val="231F20"/>
          <w:spacing w:val="-1"/>
          <w:sz w:val="22"/>
          <w:szCs w:val="22"/>
        </w:rPr>
        <w:t>理解</w:t>
      </w:r>
    </w:p>
    <w:p w14:paraId="48FA672A">
      <w:pPr>
        <w:pStyle w:val="2"/>
        <w:spacing w:line="299" w:lineRule="auto"/>
      </w:pPr>
    </w:p>
    <w:p w14:paraId="34800B7F">
      <w:pPr>
        <w:pStyle w:val="2"/>
        <w:spacing w:line="299" w:lineRule="auto"/>
      </w:pPr>
    </w:p>
    <w:p w14:paraId="48E341B6">
      <w:pPr>
        <w:spacing w:before="79" w:line="212" w:lineRule="auto"/>
        <w:ind w:left="5513"/>
        <w:rPr>
          <w:rFonts w:hint="eastAsia" w:ascii="宋体" w:hAnsi="宋体" w:eastAsia="宋体" w:cs="宋体"/>
          <w:sz w:val="24"/>
          <w:szCs w:val="24"/>
          <w:lang w:eastAsia="zh-CN"/>
        </w:rPr>
      </w:pPr>
      <w:r>
        <w:pict>
          <v:shape id="_x0000_s1250" o:spid="_x0000_s1250" o:spt="202" type="#_x0000_t202" style="position:absolute;left:0pt;margin-left:241.1pt;margin-top:-1.75pt;height:11.3pt;width:12.85pt;z-index:251838464;mso-width-relative:page;mso-height-relative:page;" filled="f" stroked="f" coordsize="21600,21600">
            <v:path/>
            <v:fill on="f" focussize="0,0"/>
            <v:stroke on="f"/>
            <v:imagedata o:title=""/>
            <o:lock v:ext="edit" aspectratio="f"/>
            <v:textbox inset="0mm,0mm,0mm,0mm">
              <w:txbxContent>
                <w:p w14:paraId="25CBDEA2">
                  <w:pPr>
                    <w:pStyle w:val="2"/>
                    <w:spacing w:before="20" w:line="194" w:lineRule="auto"/>
                    <w:ind w:left="20"/>
                    <w:rPr>
                      <w:sz w:val="20"/>
                      <w:szCs w:val="20"/>
                    </w:rPr>
                  </w:pPr>
                  <w:r>
                    <w:rPr>
                      <w:color w:val="231F20"/>
                      <w:spacing w:val="-2"/>
                      <w:sz w:val="20"/>
                      <w:szCs w:val="20"/>
                    </w:rPr>
                    <w:t>29</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25135DD8">
      <w:pPr>
        <w:spacing w:line="212" w:lineRule="auto"/>
        <w:rPr>
          <w:rFonts w:ascii="宋体" w:hAnsi="宋体" w:eastAsia="宋体" w:cs="宋体"/>
          <w:sz w:val="24"/>
          <w:szCs w:val="24"/>
        </w:rPr>
        <w:sectPr>
          <w:pgSz w:w="11906" w:h="16158"/>
          <w:pgMar w:top="400" w:right="1247" w:bottom="400" w:left="1004" w:header="0" w:footer="0" w:gutter="0"/>
          <w:cols w:space="720" w:num="1"/>
        </w:sectPr>
      </w:pPr>
    </w:p>
    <w:p w14:paraId="17189D67">
      <w:pPr>
        <w:pStyle w:val="2"/>
        <w:spacing w:line="349" w:lineRule="auto"/>
      </w:pPr>
    </w:p>
    <w:p w14:paraId="4AFABC19">
      <w:pPr>
        <w:pStyle w:val="2"/>
        <w:spacing w:line="350" w:lineRule="auto"/>
      </w:pPr>
    </w:p>
    <w:p w14:paraId="325CEE59">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-3</w:t>
      </w:r>
    </w:p>
    <w:p w14:paraId="4716EE95">
      <w:pPr>
        <w:spacing w:before="55" w:line="178" w:lineRule="auto"/>
        <w:ind w:left="411"/>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数据资产管理保障措施</w:t>
      </w:r>
    </w:p>
    <w:p w14:paraId="3E35F54A">
      <w:pPr>
        <w:pStyle w:val="2"/>
        <w:spacing w:line="244" w:lineRule="auto"/>
      </w:pPr>
    </w:p>
    <w:p w14:paraId="2CD90F26">
      <w:pPr>
        <w:pStyle w:val="2"/>
        <w:spacing w:line="245" w:lineRule="auto"/>
      </w:pPr>
    </w:p>
    <w:p w14:paraId="12248F1B">
      <w:pPr>
        <w:pStyle w:val="2"/>
        <w:spacing w:line="245" w:lineRule="auto"/>
      </w:pPr>
    </w:p>
    <w:p w14:paraId="1A82A330">
      <w:pPr>
        <w:pStyle w:val="2"/>
        <w:spacing w:line="245" w:lineRule="auto"/>
      </w:pPr>
    </w:p>
    <w:p w14:paraId="1D7E0D43">
      <w:pPr>
        <w:spacing w:line="2400" w:lineRule="exact"/>
        <w:ind w:firstLine="245"/>
      </w:pPr>
      <w:r>
        <w:rPr>
          <w:position w:val="-48"/>
        </w:rPr>
        <w:pict>
          <v:group id="_x0000_s1251" o:spid="_x0000_s1251" o:spt="203" style="height:120pt;width:470.3pt;" coordsize="9405,2400">
            <o:lock v:ext="edit"/>
            <v:rect id="_x0000_s1252" o:spid="_x0000_s1252" o:spt="1" style="position:absolute;left:0;top:0;height:2400;width:9405;" fillcolor="#E9F6FE" filled="t" stroked="f" coordsize="21600,21600">
              <v:path/>
              <v:fill on="t" focussize="0,0"/>
              <v:stroke on="f"/>
              <v:imagedata o:title=""/>
              <o:lock v:ext="edit"/>
            </v:rect>
            <v:shape id="_x0000_s1253" o:spid="_x0000_s1253" o:spt="202" type="#_x0000_t202" style="position:absolute;left:712;top:229;height:1676;width:7987;" filled="f" stroked="f" coordsize="21600,21600">
              <v:path/>
              <v:fill on="f" focussize="0,0"/>
              <v:stroke on="f"/>
              <v:imagedata o:title=""/>
              <o:lock v:ext="edit" aspectratio="f"/>
              <v:textbox inset="0mm,0mm,0mm,0mm">
                <w:txbxContent>
                  <w:p w14:paraId="650EE951">
                    <w:pPr>
                      <w:spacing w:before="20" w:line="274" w:lineRule="auto"/>
                      <w:ind w:left="20" w:right="20"/>
                      <w:rPr>
                        <w:rFonts w:ascii="微软雅黑" w:hAnsi="微软雅黑" w:eastAsia="微软雅黑" w:cs="微软雅黑"/>
                        <w:sz w:val="22"/>
                        <w:szCs w:val="22"/>
                      </w:rPr>
                    </w:pPr>
                    <w:bookmarkStart w:id="46" w:name="bookmark42"/>
                    <w:bookmarkEnd w:id="46"/>
                    <w:r>
                      <w:rPr>
                        <w:rFonts w:ascii="微软雅黑" w:hAnsi="微软雅黑" w:eastAsia="微软雅黑" w:cs="微软雅黑"/>
                        <w:color w:val="231F20"/>
                        <w:spacing w:val="7"/>
                        <w:sz w:val="22"/>
                        <w:szCs w:val="22"/>
                      </w:rPr>
                      <w:t>业务的数据需求，数据直接服务于业务，大幅提升数据价值时效性。另一方</w:t>
                    </w:r>
                    <w:r>
                      <w:rPr>
                        <w:rFonts w:ascii="微软雅黑" w:hAnsi="微软雅黑" w:eastAsia="微软雅黑" w:cs="微软雅黑"/>
                        <w:color w:val="231F20"/>
                        <w:spacing w:val="6"/>
                        <w:sz w:val="22"/>
                        <w:szCs w:val="22"/>
                      </w:rPr>
                      <w:t>面，</w:t>
                    </w:r>
                    <w:r>
                      <w:rPr>
                        <w:rFonts w:ascii="微软雅黑" w:hAnsi="微软雅黑" w:eastAsia="微软雅黑" w:cs="微软雅黑"/>
                        <w:color w:val="231F20"/>
                        <w:sz w:val="22"/>
                        <w:szCs w:val="22"/>
                      </w:rPr>
                      <w:t xml:space="preserve"> Data</w:t>
                    </w:r>
                    <w:r>
                      <w:rPr>
                        <w:rFonts w:ascii="微软雅黑" w:hAnsi="微软雅黑" w:eastAsia="微软雅黑" w:cs="微软雅黑"/>
                        <w:color w:val="231F20"/>
                        <w:spacing w:val="49"/>
                        <w:sz w:val="22"/>
                        <w:szCs w:val="22"/>
                      </w:rPr>
                      <w:t xml:space="preserve"> </w:t>
                    </w:r>
                    <w:r>
                      <w:rPr>
                        <w:rFonts w:ascii="微软雅黑" w:hAnsi="微软雅黑" w:eastAsia="微软雅黑" w:cs="微软雅黑"/>
                        <w:color w:val="231F20"/>
                        <w:sz w:val="22"/>
                        <w:szCs w:val="22"/>
                      </w:rPr>
                      <w:t>Fabric</w:t>
                    </w:r>
                    <w:r>
                      <w:rPr>
                        <w:rFonts w:ascii="微软雅黑" w:hAnsi="微软雅黑" w:eastAsia="微软雅黑" w:cs="微软雅黑"/>
                        <w:color w:val="231F20"/>
                        <w:spacing w:val="13"/>
                        <w:sz w:val="22"/>
                        <w:szCs w:val="22"/>
                      </w:rPr>
                      <w:t xml:space="preserve"> 提供了技术支持。随着数据规模和复杂性的持续增加，基于 </w:t>
                    </w:r>
                    <w:r>
                      <w:rPr>
                        <w:rFonts w:ascii="微软雅黑" w:hAnsi="微软雅黑" w:eastAsia="微软雅黑" w:cs="微软雅黑"/>
                        <w:color w:val="231F20"/>
                        <w:sz w:val="22"/>
                        <w:szCs w:val="22"/>
                      </w:rPr>
                      <w:t>Data Fabric</w:t>
                    </w:r>
                    <w:r>
                      <w:rPr>
                        <w:rFonts w:ascii="微软雅黑" w:hAnsi="微软雅黑" w:eastAsia="微软雅黑" w:cs="微软雅黑"/>
                        <w:color w:val="231F20"/>
                        <w:spacing w:val="6"/>
                        <w:sz w:val="22"/>
                        <w:szCs w:val="22"/>
                      </w:rPr>
                      <w:t xml:space="preserve"> 的计算和存储架构将一定程度减少集中式处理带来的巨大成</w:t>
                    </w:r>
                    <w:r>
                      <w:rPr>
                        <w:rFonts w:ascii="微软雅黑" w:hAnsi="微软雅黑" w:eastAsia="微软雅黑" w:cs="微软雅黑"/>
                        <w:color w:val="231F20"/>
                        <w:spacing w:val="5"/>
                        <w:sz w:val="22"/>
                        <w:szCs w:val="22"/>
                      </w:rPr>
                      <w:t>本，同时辅助</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在错综复杂的业务关系网中建立准确、全面、清晰的数据分布图谱。</w:t>
                    </w:r>
                  </w:p>
                </w:txbxContent>
              </v:textbox>
            </v:shape>
            <v:group id="_x0000_s1254" o:spid="_x0000_s1254" o:spt="203" style="position:absolute;left:8866;top:248;height:1893;width:303;" coordsize="303,1893">
              <o:lock v:ext="edit"/>
              <v:shape id="_x0000_s1255" o:spid="_x0000_s1255" style="position:absolute;left:28;top:60;height:1831;width:275;" filled="f" stroked="t" coordsize="275,1831" path="m264,10l264,1424m260,1511c247,1610,198,1802,10,1820e">
                <v:fill on="f" focussize="0,0"/>
                <v:stroke weight="1pt" color="#648676" miterlimit="4" dashstyle="dash" endcap="round"/>
                <v:imagedata o:title=""/>
                <o:lock v:ext="edit"/>
              </v:shape>
              <v:shape id="_x0000_s1256" o:spid="_x0000_s1256" style="position:absolute;left:0;top:0;height:1893;width:303;" filled="f" stroked="t" coordsize="303,1893" path="m293,10l293,10m293,1514l293,1514m10,1882l10,1882e">
                <v:fill on="f" focussize="0,0"/>
                <v:stroke weight="1pt" color="#648676" miterlimit="4" endcap="round"/>
                <v:imagedata o:title=""/>
                <o:lock v:ext="edit"/>
              </v:shape>
            </v:group>
            <v:group id="_x0000_s1257" o:spid="_x0000_s1257" o:spt="203" style="position:absolute;left:235;top:248;height:1883;width:247;" coordsize="247,1883">
              <o:lock v:ext="edit"/>
              <v:shape id="_x0000_s1258" o:spid="_x0000_s1258" style="position:absolute;left:0;top:30;height:1853;width:247;" filled="f" stroked="t" coordsize="247,1853" path="m236,1843c157,1822,20,1752,10,1513m10,1424l10,10e">
                <v:fill on="f" focussize="0,0"/>
                <v:stroke weight="1pt" color="#648676" miterlimit="4" dashstyle="dash" endcap="round"/>
                <v:imagedata o:title=""/>
                <o:lock v:ext="edit"/>
              </v:shape>
              <v:shape id="_x0000_s1259" o:spid="_x0000_s1259" style="position:absolute;left:0;top:0;height:1525;width:20;" filled="f" stroked="t" coordsize="20,1525" path="m10,1514l10,1514m10,10l10,10e">
                <v:fill on="f" focussize="0,0"/>
                <v:stroke weight="1pt" color="#648676" miterlimit="4" endcap="round"/>
                <v:imagedata o:title=""/>
                <o:lock v:ext="edit"/>
              </v:shape>
            </v:group>
            <v:group id="_x0000_s1260" o:spid="_x0000_s1260" o:spt="203" style="position:absolute;left:519;top:2120;height:20;width:8307;" coordsize="8307,20">
              <o:lock v:ext="edit"/>
              <v:shape id="_x0000_s1261" o:spid="_x0000_s1261" style="position:absolute;left:30;top:0;height:20;width:8277;" filled="f" stroked="t" coordsize="8277,20" path="m8266,10l10,10e">
                <v:fill on="f" focussize="0,0"/>
                <v:stroke weight="1pt" color="#648676" miterlimit="4" dashstyle="dash" endcap="round"/>
                <v:imagedata o:title=""/>
                <o:lock v:ext="edit"/>
              </v:shape>
              <v:shape id="_x0000_s1262" o:spid="_x0000_s1262" style="position:absolute;left:0;top:0;height:20;width:20;" filled="f" stroked="t" coordsize="20,20" path="m10,10l10,10e">
                <v:fill on="f" focussize="0,0"/>
                <v:stroke weight="1pt" color="#648676" miterlimit="4" endcap="round"/>
                <v:imagedata o:title=""/>
                <o:lock v:ext="edit"/>
              </v:shape>
            </v:group>
            <w10:wrap type="none"/>
            <w10:anchorlock/>
          </v:group>
        </w:pict>
      </w:r>
    </w:p>
    <w:p w14:paraId="4AFE81B2">
      <w:pPr>
        <w:pStyle w:val="2"/>
        <w:spacing w:line="243" w:lineRule="auto"/>
      </w:pPr>
    </w:p>
    <w:p w14:paraId="0034E0F8">
      <w:pPr>
        <w:spacing w:before="95" w:line="291" w:lineRule="auto"/>
        <w:ind w:left="229" w:firstLine="518"/>
        <w:rPr>
          <w:rFonts w:ascii="微软雅黑" w:hAnsi="微软雅黑" w:eastAsia="微软雅黑" w:cs="微软雅黑"/>
          <w:sz w:val="22"/>
          <w:szCs w:val="22"/>
        </w:rPr>
      </w:pPr>
      <w:r>
        <w:rPr>
          <w:rFonts w:ascii="微软雅黑" w:hAnsi="微软雅黑" w:eastAsia="微软雅黑" w:cs="微软雅黑"/>
          <w:color w:val="231F20"/>
          <w:spacing w:val="-6"/>
          <w:sz w:val="22"/>
          <w:szCs w:val="22"/>
        </w:rPr>
        <w:t>由于数据产生于业务，数据流转依赖于业务，因此，数据认责机制对于统筹协调数据资产管理、</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11"/>
          <w:sz w:val="22"/>
          <w:szCs w:val="22"/>
        </w:rPr>
        <w:t>加强各方对于数据资产管理的认可具有较强的积极作用。例如，</w:t>
      </w:r>
      <w:r>
        <w:rPr>
          <w:rFonts w:ascii="微软雅黑" w:hAnsi="微软雅黑" w:eastAsia="微软雅黑" w:cs="微软雅黑"/>
          <w:color w:val="231F20"/>
          <w:spacing w:val="-32"/>
          <w:sz w:val="22"/>
          <w:szCs w:val="22"/>
        </w:rPr>
        <w:t xml:space="preserve"> </w:t>
      </w:r>
      <w:r>
        <w:rPr>
          <w:rFonts w:ascii="微软雅黑" w:hAnsi="微软雅黑" w:eastAsia="微软雅黑" w:cs="微软雅黑"/>
          <w:color w:val="231F20"/>
          <w:spacing w:val="11"/>
          <w:sz w:val="22"/>
          <w:szCs w:val="22"/>
        </w:rPr>
        <w:t>华为基于数字化转</w:t>
      </w:r>
      <w:r>
        <w:rPr>
          <w:rFonts w:ascii="微软雅黑" w:hAnsi="微软雅黑" w:eastAsia="微软雅黑" w:cs="微软雅黑"/>
          <w:color w:val="231F20"/>
          <w:spacing w:val="10"/>
          <w:sz w:val="22"/>
          <w:szCs w:val="22"/>
        </w:rPr>
        <w:t xml:space="preserve">型早期 </w:t>
      </w:r>
      <w:r>
        <w:rPr>
          <w:rFonts w:ascii="微软雅黑" w:hAnsi="微软雅黑" w:eastAsia="微软雅黑" w:cs="微软雅黑"/>
          <w:color w:val="231F20"/>
          <w:sz w:val="22"/>
          <w:szCs w:val="22"/>
        </w:rPr>
        <w:t>IFS   （Integrated</w:t>
      </w:r>
      <w:r>
        <w:rPr>
          <w:rFonts w:ascii="微软雅黑" w:hAnsi="微软雅黑" w:eastAsia="微软雅黑" w:cs="微软雅黑"/>
          <w:color w:val="231F20"/>
          <w:spacing w:val="53"/>
          <w:sz w:val="22"/>
          <w:szCs w:val="22"/>
        </w:rPr>
        <w:t xml:space="preserve"> </w:t>
      </w:r>
      <w:r>
        <w:rPr>
          <w:rFonts w:ascii="微软雅黑" w:hAnsi="微软雅黑" w:eastAsia="微软雅黑" w:cs="微软雅黑"/>
          <w:color w:val="231F20"/>
          <w:sz w:val="22"/>
          <w:szCs w:val="22"/>
        </w:rPr>
        <w:t>Finance</w:t>
      </w:r>
      <w:r>
        <w:rPr>
          <w:rFonts w:ascii="微软雅黑" w:hAnsi="微软雅黑" w:eastAsia="微软雅黑" w:cs="微软雅黑"/>
          <w:color w:val="231F20"/>
          <w:spacing w:val="27"/>
          <w:sz w:val="22"/>
          <w:szCs w:val="22"/>
        </w:rPr>
        <w:t xml:space="preserve"> </w:t>
      </w:r>
      <w:r>
        <w:rPr>
          <w:rFonts w:ascii="微软雅黑" w:hAnsi="微软雅黑" w:eastAsia="微软雅黑" w:cs="微软雅黑"/>
          <w:color w:val="231F20"/>
          <w:sz w:val="22"/>
          <w:szCs w:val="22"/>
        </w:rPr>
        <w:t>Service，</w:t>
      </w:r>
      <w:r>
        <w:rPr>
          <w:rFonts w:ascii="微软雅黑" w:hAnsi="微软雅黑" w:eastAsia="微软雅黑" w:cs="微软雅黑"/>
          <w:color w:val="231F20"/>
          <w:spacing w:val="-16"/>
          <w:sz w:val="22"/>
          <w:szCs w:val="22"/>
        </w:rPr>
        <w:t xml:space="preserve"> </w:t>
      </w:r>
      <w:r>
        <w:rPr>
          <w:rFonts w:ascii="微软雅黑" w:hAnsi="微软雅黑" w:eastAsia="微软雅黑" w:cs="微软雅黑"/>
          <w:color w:val="231F20"/>
          <w:sz w:val="22"/>
          <w:szCs w:val="22"/>
        </w:rPr>
        <w:t>集成财务服务）、IPD（Integrated</w:t>
      </w:r>
      <w:r>
        <w:rPr>
          <w:rFonts w:ascii="微软雅黑" w:hAnsi="微软雅黑" w:eastAsia="微软雅黑" w:cs="微软雅黑"/>
          <w:color w:val="231F20"/>
          <w:spacing w:val="36"/>
          <w:sz w:val="22"/>
          <w:szCs w:val="22"/>
        </w:rPr>
        <w:t xml:space="preserve"> </w:t>
      </w:r>
      <w:r>
        <w:rPr>
          <w:rFonts w:ascii="微软雅黑" w:hAnsi="微软雅黑" w:eastAsia="微软雅黑" w:cs="微软雅黑"/>
          <w:color w:val="231F20"/>
          <w:sz w:val="22"/>
          <w:szCs w:val="22"/>
        </w:rPr>
        <w:t>Product</w:t>
      </w:r>
      <w:r>
        <w:rPr>
          <w:rFonts w:ascii="微软雅黑" w:hAnsi="微软雅黑" w:eastAsia="微软雅黑" w:cs="微软雅黑"/>
          <w:color w:val="231F20"/>
          <w:spacing w:val="34"/>
          <w:w w:val="101"/>
          <w:sz w:val="22"/>
          <w:szCs w:val="22"/>
        </w:rPr>
        <w:t xml:space="preserve"> </w:t>
      </w:r>
      <w:r>
        <w:rPr>
          <w:rFonts w:ascii="微软雅黑" w:hAnsi="微软雅黑" w:eastAsia="微软雅黑" w:cs="微软雅黑"/>
          <w:color w:val="231F20"/>
          <w:sz w:val="22"/>
          <w:szCs w:val="22"/>
        </w:rPr>
        <w:t>Dev</w:t>
      </w:r>
      <w:r>
        <w:rPr>
          <w:rFonts w:ascii="微软雅黑" w:hAnsi="微软雅黑" w:eastAsia="微软雅黑" w:cs="微软雅黑"/>
          <w:color w:val="231F20"/>
          <w:spacing w:val="-1"/>
          <w:sz w:val="22"/>
          <w:szCs w:val="22"/>
        </w:rPr>
        <w:t>elopment，</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集成产品开发）等项目成果，建立了相对成熟的流程数字化管理能力（包括业务流和数据流</w:t>
      </w:r>
      <w:r>
        <w:rPr>
          <w:rFonts w:ascii="微软雅黑" w:hAnsi="微软雅黑" w:eastAsia="微软雅黑" w:cs="微软雅黑"/>
          <w:color w:val="231F20"/>
          <w:spacing w:val="7"/>
          <w:sz w:val="22"/>
          <w:szCs w:val="22"/>
        </w:rPr>
        <w:t>）</w:t>
      </w:r>
      <w:r>
        <w:rPr>
          <w:rFonts w:ascii="微软雅黑" w:hAnsi="微软雅黑" w:eastAsia="微软雅黑" w:cs="微软雅黑"/>
          <w:color w:val="231F20"/>
          <w:spacing w:val="-15"/>
          <w:sz w:val="22"/>
          <w:szCs w:val="22"/>
        </w:rPr>
        <w:t xml:space="preserve"> </w:t>
      </w:r>
      <w:r>
        <w:rPr>
          <w:rFonts w:ascii="微软雅黑" w:hAnsi="微软雅黑" w:eastAsia="微软雅黑" w:cs="微软雅黑"/>
          <w:color w:val="231F20"/>
          <w:spacing w:val="7"/>
          <w:sz w:val="22"/>
          <w:szCs w:val="22"/>
        </w:rPr>
        <w:t>，</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将各级流程负责人作为该流程领域的数据负责人，确保每一个关键数据都有业务负责人，落实领</w:t>
      </w:r>
      <w:r>
        <w:rPr>
          <w:rFonts w:ascii="微软雅黑" w:hAnsi="微软雅黑" w:eastAsia="微软雅黑" w:cs="微软雅黑"/>
          <w:color w:val="231F20"/>
          <w:spacing w:val="3"/>
          <w:sz w:val="22"/>
          <w:szCs w:val="22"/>
        </w:rPr>
        <w:t xml:space="preserve">   </w:t>
      </w:r>
      <w:r>
        <w:rPr>
          <w:rFonts w:ascii="微软雅黑" w:hAnsi="微软雅黑" w:eastAsia="微软雅黑" w:cs="微软雅黑"/>
          <w:color w:val="231F20"/>
          <w:spacing w:val="-3"/>
          <w:sz w:val="22"/>
          <w:szCs w:val="22"/>
        </w:rPr>
        <w:t>域内各层级流程的数据资产管理责任。平安银行根据数据类别（基础数据、指标数据、外部数</w:t>
      </w:r>
      <w:r>
        <w:rPr>
          <w:rFonts w:ascii="微软雅黑" w:hAnsi="微软雅黑" w:eastAsia="微软雅黑" w:cs="微软雅黑"/>
          <w:color w:val="231F20"/>
          <w:spacing w:val="-4"/>
          <w:sz w:val="22"/>
          <w:szCs w:val="22"/>
        </w:rPr>
        <w:t>据等）</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设定数据认责原则，确定不同参与角色在数据生命周期各环节的责任，建立数据认责矩阵，并将</w:t>
      </w:r>
      <w:r>
        <w:rPr>
          <w:rFonts w:ascii="微软雅黑" w:hAnsi="微软雅黑" w:eastAsia="微软雅黑" w:cs="微软雅黑"/>
          <w:color w:val="231F20"/>
          <w:spacing w:val="5"/>
          <w:sz w:val="22"/>
          <w:szCs w:val="22"/>
        </w:rPr>
        <w:t xml:space="preserve">   </w:t>
      </w:r>
      <w:r>
        <w:rPr>
          <w:rFonts w:ascii="微软雅黑" w:hAnsi="微软雅黑" w:eastAsia="微软雅黑" w:cs="微软雅黑"/>
          <w:color w:val="231F20"/>
          <w:sz w:val="22"/>
          <w:szCs w:val="22"/>
        </w:rPr>
        <w:t>数据认责机制与考评激励措施相结合，进一步确保数据资产管理相关方的“责权利”对</w:t>
      </w:r>
      <w:r>
        <w:rPr>
          <w:rFonts w:ascii="微软雅黑" w:hAnsi="微软雅黑" w:eastAsia="微软雅黑" w:cs="微软雅黑"/>
          <w:color w:val="231F20"/>
          <w:spacing w:val="-1"/>
          <w:sz w:val="22"/>
          <w:szCs w:val="22"/>
        </w:rPr>
        <w:t>等。</w:t>
      </w:r>
    </w:p>
    <w:p w14:paraId="3B368E9C">
      <w:pPr>
        <w:spacing w:before="19" w:line="291" w:lineRule="auto"/>
        <w:ind w:left="247" w:right="119" w:firstLine="483"/>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此外，数据资产管理对于人才的复合型能力提出了更高的要求。首先，数据资产管理人员应</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4"/>
          <w:sz w:val="22"/>
          <w:szCs w:val="22"/>
        </w:rPr>
        <w:t>具备良好的数据架构、数据安全、法律法规相关技能，涉及数据架构师、数据安全人员、数据合</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规人员等角色。其次，数据资产管理人员应具备较高的业务理解能力，涉</w:t>
      </w:r>
      <w:r>
        <w:rPr>
          <w:rFonts w:ascii="微软雅黑" w:hAnsi="微软雅黑" w:eastAsia="微软雅黑" w:cs="微软雅黑"/>
          <w:color w:val="231F20"/>
          <w:spacing w:val="3"/>
          <w:sz w:val="22"/>
          <w:szCs w:val="22"/>
        </w:rPr>
        <w:t>及数据标准管理员、数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据质量管理员、主数据管理员等角色。再次，数据资产管理人员需具备基本的市场洞察与</w:t>
      </w:r>
      <w:r>
        <w:rPr>
          <w:rFonts w:ascii="微软雅黑" w:hAnsi="微软雅黑" w:eastAsia="微软雅黑" w:cs="微软雅黑"/>
          <w:color w:val="231F20"/>
          <w:spacing w:val="3"/>
          <w:sz w:val="22"/>
          <w:szCs w:val="22"/>
        </w:rPr>
        <w:t>运营能</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力，与数据生态多方、数据使用者建立良好的合作互动机制。</w:t>
      </w:r>
      <w:r>
        <w:rPr>
          <w:rFonts w:ascii="微软雅黑" w:hAnsi="微软雅黑" w:eastAsia="微软雅黑" w:cs="微软雅黑"/>
          <w:color w:val="231F20"/>
          <w:spacing w:val="-38"/>
          <w:sz w:val="22"/>
          <w:szCs w:val="22"/>
        </w:rPr>
        <w:t xml:space="preserve"> </w:t>
      </w:r>
      <w:r>
        <w:rPr>
          <w:rFonts w:ascii="微软雅黑" w:hAnsi="微软雅黑" w:eastAsia="微软雅黑" w:cs="微软雅黑"/>
          <w:color w:val="231F20"/>
          <w:spacing w:val="3"/>
          <w:sz w:val="22"/>
          <w:szCs w:val="22"/>
        </w:rPr>
        <w:t>最后，由于数据</w:t>
      </w:r>
      <w:r>
        <w:rPr>
          <w:rFonts w:ascii="微软雅黑" w:hAnsi="微软雅黑" w:eastAsia="微软雅黑" w:cs="微软雅黑"/>
          <w:color w:val="231F20"/>
          <w:spacing w:val="2"/>
          <w:sz w:val="22"/>
          <w:szCs w:val="22"/>
        </w:rPr>
        <w:t>资产在交易市场中</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5"/>
          <w:sz w:val="22"/>
          <w:szCs w:val="22"/>
        </w:rPr>
        <w:t>的产品设计、定价规则、流通技术需求增多，  数据资产管理人员需具备一定的产品经理、金融学、</w:t>
      </w:r>
      <w:r>
        <w:rPr>
          <w:rFonts w:ascii="微软雅黑" w:hAnsi="微软雅黑" w:eastAsia="微软雅黑" w:cs="微软雅黑"/>
          <w:color w:val="231F20"/>
          <w:spacing w:val="15"/>
          <w:sz w:val="22"/>
          <w:szCs w:val="22"/>
        </w:rPr>
        <w:t xml:space="preserve"> </w:t>
      </w:r>
      <w:r>
        <w:rPr>
          <w:rFonts w:ascii="微软雅黑" w:hAnsi="微软雅黑" w:eastAsia="微软雅黑" w:cs="微软雅黑"/>
          <w:color w:val="231F20"/>
          <w:spacing w:val="-2"/>
          <w:sz w:val="22"/>
          <w:szCs w:val="22"/>
        </w:rPr>
        <w:t>经济学、密码学知识。</w:t>
      </w:r>
    </w:p>
    <w:p w14:paraId="30854806">
      <w:pPr>
        <w:spacing w:before="63" w:line="204" w:lineRule="auto"/>
        <w:ind w:left="3397"/>
        <w:rPr>
          <w:rFonts w:ascii="微软雅黑" w:hAnsi="微软雅黑" w:eastAsia="微软雅黑" w:cs="微软雅黑"/>
          <w:sz w:val="20"/>
          <w:szCs w:val="20"/>
        </w:rPr>
      </w:pPr>
      <w:r>
        <w:rPr>
          <w:rFonts w:ascii="微软雅黑" w:hAnsi="微软雅黑" w:eastAsia="微软雅黑" w:cs="微软雅黑"/>
          <w:color w:val="231F20"/>
          <w:spacing w:val="4"/>
          <w:sz w:val="20"/>
          <w:szCs w:val="20"/>
        </w:rPr>
        <w:t>表 4 数据资产管理复合人才能力表</w:t>
      </w:r>
    </w:p>
    <w:p w14:paraId="39069793">
      <w:pPr>
        <w:spacing w:line="106" w:lineRule="exact"/>
      </w:pPr>
    </w:p>
    <w:tbl>
      <w:tblPr>
        <w:tblStyle w:val="5"/>
        <w:tblW w:w="9391" w:type="dxa"/>
        <w:tblInd w:w="252"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4815"/>
        <w:gridCol w:w="4576"/>
      </w:tblGrid>
      <w:tr w14:paraId="629569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83" w:hRule="atLeast"/>
        </w:trPr>
        <w:tc>
          <w:tcPr>
            <w:tcW w:w="4815" w:type="dxa"/>
            <w:tcBorders>
              <w:top w:val="single" w:color="FFFFFF" w:sz="4" w:space="0"/>
              <w:left w:val="single" w:color="FFFFFF" w:sz="4" w:space="0"/>
              <w:right w:val="single" w:color="FFFFFF" w:sz="4" w:space="0"/>
            </w:tcBorders>
            <w:shd w:val="clear" w:color="auto" w:fill="648676"/>
            <w:vAlign w:val="top"/>
          </w:tcPr>
          <w:p w14:paraId="0965CABB">
            <w:pPr>
              <w:pStyle w:val="6"/>
              <w:spacing w:before="74" w:line="190" w:lineRule="auto"/>
              <w:ind w:left="1628"/>
            </w:pPr>
            <w:r>
              <w:rPr>
                <w:color w:val="FFFFFF"/>
                <w:spacing w:val="-1"/>
              </w:rPr>
              <w:t>数据资产管理角色</w:t>
            </w:r>
          </w:p>
        </w:tc>
        <w:tc>
          <w:tcPr>
            <w:tcW w:w="4576" w:type="dxa"/>
            <w:tcBorders>
              <w:top w:val="single" w:color="FFFFFF" w:sz="4" w:space="0"/>
              <w:left w:val="single" w:color="FFFFFF" w:sz="4" w:space="0"/>
              <w:right w:val="single" w:color="FFFFFF" w:sz="4" w:space="0"/>
            </w:tcBorders>
            <w:shd w:val="clear" w:color="auto" w:fill="648676"/>
            <w:vAlign w:val="top"/>
          </w:tcPr>
          <w:p w14:paraId="721F4C16">
            <w:pPr>
              <w:pStyle w:val="6"/>
              <w:spacing w:before="86" w:line="178" w:lineRule="auto"/>
              <w:ind w:left="1730"/>
            </w:pPr>
            <w:r>
              <w:rPr>
                <w:color w:val="FFFFFF"/>
                <w:spacing w:val="-2"/>
              </w:rPr>
              <w:t>角色能力要求</w:t>
            </w:r>
          </w:p>
        </w:tc>
      </w:tr>
      <w:tr w14:paraId="7C88A3B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29" w:hRule="atLeast"/>
        </w:trPr>
        <w:tc>
          <w:tcPr>
            <w:tcW w:w="4815" w:type="dxa"/>
            <w:shd w:val="clear" w:color="auto" w:fill="EDF3F0"/>
            <w:vAlign w:val="top"/>
          </w:tcPr>
          <w:p w14:paraId="340F8FD2">
            <w:pPr>
              <w:pStyle w:val="6"/>
              <w:spacing w:before="103" w:line="206" w:lineRule="auto"/>
              <w:ind w:left="108"/>
              <w:rPr>
                <w:sz w:val="20"/>
                <w:szCs w:val="20"/>
              </w:rPr>
            </w:pPr>
            <w:r>
              <w:rPr>
                <w:spacing w:val="-1"/>
                <w:sz w:val="20"/>
                <w:szCs w:val="20"/>
              </w:rPr>
              <w:t>数据架构师、数据安全人员、数据合规人员</w:t>
            </w:r>
          </w:p>
        </w:tc>
        <w:tc>
          <w:tcPr>
            <w:tcW w:w="4576" w:type="dxa"/>
            <w:shd w:val="clear" w:color="auto" w:fill="E9E8E8"/>
            <w:vAlign w:val="top"/>
          </w:tcPr>
          <w:p w14:paraId="2DA85B3E">
            <w:pPr>
              <w:pStyle w:val="6"/>
              <w:spacing w:before="103" w:line="206" w:lineRule="auto"/>
              <w:ind w:left="108"/>
              <w:rPr>
                <w:sz w:val="20"/>
                <w:szCs w:val="20"/>
              </w:rPr>
            </w:pPr>
            <w:r>
              <w:rPr>
                <w:spacing w:val="-1"/>
                <w:sz w:val="20"/>
                <w:szCs w:val="20"/>
              </w:rPr>
              <w:t>数据架构、数据安全、法律法规相关技能</w:t>
            </w:r>
          </w:p>
        </w:tc>
      </w:tr>
      <w:tr w14:paraId="7C9482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03" w:hRule="atLeast"/>
        </w:trPr>
        <w:tc>
          <w:tcPr>
            <w:tcW w:w="4815" w:type="dxa"/>
            <w:shd w:val="clear" w:color="auto" w:fill="EDF3F0"/>
            <w:vAlign w:val="top"/>
          </w:tcPr>
          <w:p w14:paraId="1E20CA09">
            <w:pPr>
              <w:pStyle w:val="6"/>
              <w:spacing w:before="94" w:line="206" w:lineRule="auto"/>
              <w:ind w:left="108"/>
              <w:rPr>
                <w:sz w:val="20"/>
                <w:szCs w:val="20"/>
              </w:rPr>
            </w:pPr>
            <w:r>
              <w:rPr>
                <w:spacing w:val="-1"/>
                <w:sz w:val="20"/>
                <w:szCs w:val="20"/>
              </w:rPr>
              <w:t>数据标准管理员、数据质量管理员、主数据管理员</w:t>
            </w:r>
          </w:p>
        </w:tc>
        <w:tc>
          <w:tcPr>
            <w:tcW w:w="4576" w:type="dxa"/>
            <w:shd w:val="clear" w:color="auto" w:fill="E9E8E8"/>
            <w:vAlign w:val="top"/>
          </w:tcPr>
          <w:p w14:paraId="5469B20B">
            <w:pPr>
              <w:pStyle w:val="6"/>
              <w:spacing w:before="93" w:line="207" w:lineRule="auto"/>
              <w:ind w:left="108"/>
              <w:rPr>
                <w:sz w:val="20"/>
                <w:szCs w:val="20"/>
              </w:rPr>
            </w:pPr>
            <w:r>
              <w:rPr>
                <w:spacing w:val="-1"/>
                <w:sz w:val="20"/>
                <w:szCs w:val="20"/>
              </w:rPr>
              <w:t>业务理解能力</w:t>
            </w:r>
          </w:p>
        </w:tc>
      </w:tr>
      <w:tr w14:paraId="67A921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03" w:hRule="atLeast"/>
        </w:trPr>
        <w:tc>
          <w:tcPr>
            <w:tcW w:w="4815" w:type="dxa"/>
            <w:shd w:val="clear" w:color="auto" w:fill="EDF3F0"/>
            <w:vAlign w:val="top"/>
          </w:tcPr>
          <w:p w14:paraId="5BA1C4CE">
            <w:pPr>
              <w:pStyle w:val="6"/>
              <w:spacing w:before="98" w:line="206" w:lineRule="auto"/>
              <w:ind w:left="108"/>
              <w:rPr>
                <w:sz w:val="20"/>
                <w:szCs w:val="20"/>
              </w:rPr>
            </w:pPr>
            <w:r>
              <w:rPr>
                <w:spacing w:val="-1"/>
                <w:sz w:val="20"/>
                <w:szCs w:val="20"/>
              </w:rPr>
              <w:t>数据资产运营管理员</w:t>
            </w:r>
          </w:p>
        </w:tc>
        <w:tc>
          <w:tcPr>
            <w:tcW w:w="4576" w:type="dxa"/>
            <w:shd w:val="clear" w:color="auto" w:fill="E9E8E8"/>
            <w:vAlign w:val="top"/>
          </w:tcPr>
          <w:p w14:paraId="4E95475B">
            <w:pPr>
              <w:pStyle w:val="6"/>
              <w:spacing w:before="98" w:line="206" w:lineRule="auto"/>
              <w:ind w:left="108"/>
              <w:rPr>
                <w:sz w:val="20"/>
                <w:szCs w:val="20"/>
              </w:rPr>
            </w:pPr>
            <w:r>
              <w:rPr>
                <w:spacing w:val="-1"/>
                <w:sz w:val="20"/>
                <w:szCs w:val="20"/>
              </w:rPr>
              <w:t>生态运营能力、市场洞察能力</w:t>
            </w:r>
          </w:p>
        </w:tc>
      </w:tr>
      <w:tr w14:paraId="434090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12" w:hRule="atLeast"/>
        </w:trPr>
        <w:tc>
          <w:tcPr>
            <w:tcW w:w="4815" w:type="dxa"/>
            <w:shd w:val="clear" w:color="auto" w:fill="EDF3F0"/>
            <w:vAlign w:val="top"/>
          </w:tcPr>
          <w:p w14:paraId="2F56F0F6">
            <w:pPr>
              <w:pStyle w:val="6"/>
              <w:spacing w:before="101" w:line="207" w:lineRule="auto"/>
              <w:ind w:left="109"/>
              <w:rPr>
                <w:sz w:val="20"/>
                <w:szCs w:val="20"/>
              </w:rPr>
            </w:pPr>
            <w:r>
              <w:rPr>
                <w:spacing w:val="-2"/>
                <w:sz w:val="20"/>
                <w:szCs w:val="20"/>
              </w:rPr>
              <w:t>其他人员</w:t>
            </w:r>
          </w:p>
        </w:tc>
        <w:tc>
          <w:tcPr>
            <w:tcW w:w="4576" w:type="dxa"/>
            <w:shd w:val="clear" w:color="auto" w:fill="E9E8E8"/>
            <w:vAlign w:val="top"/>
          </w:tcPr>
          <w:p w14:paraId="3A41C7CE">
            <w:pPr>
              <w:pStyle w:val="6"/>
              <w:spacing w:before="101" w:line="208" w:lineRule="auto"/>
              <w:ind w:left="107"/>
              <w:rPr>
                <w:sz w:val="20"/>
                <w:szCs w:val="20"/>
              </w:rPr>
            </w:pPr>
            <w:r>
              <w:rPr>
                <w:spacing w:val="-1"/>
                <w:sz w:val="20"/>
                <w:szCs w:val="20"/>
              </w:rPr>
              <w:t>产品经理、金融学、经济学、密码学知识</w:t>
            </w:r>
          </w:p>
        </w:tc>
      </w:tr>
    </w:tbl>
    <w:p w14:paraId="086BE5EA">
      <w:pPr>
        <w:pStyle w:val="2"/>
        <w:spacing w:line="370" w:lineRule="auto"/>
      </w:pPr>
    </w:p>
    <w:p w14:paraId="45CF12AA">
      <w:pPr>
        <w:pStyle w:val="2"/>
        <w:spacing w:before="58" w:line="194" w:lineRule="auto"/>
        <w:ind w:left="4845"/>
        <w:rPr>
          <w:sz w:val="20"/>
          <w:szCs w:val="20"/>
        </w:rPr>
      </w:pPr>
      <w:r>
        <w:pict>
          <v:shape id="_x0000_s1263" o:spid="_x0000_s1263" o:spt="202" type="#_x0000_t202" style="position:absolute;left:0pt;margin-left:274.65pt;margin-top:6.55pt;height:15.95pt;width:199.4pt;z-index:251839488;mso-width-relative:page;mso-height-relative:page;" filled="f" stroked="f" coordsize="21600,21600">
            <v:path/>
            <v:fill on="f" focussize="0,0"/>
            <v:stroke on="f"/>
            <v:imagedata o:title=""/>
            <o:lock v:ext="edit" aspectratio="f"/>
            <v:textbox inset="0mm,0mm,0mm,0mm">
              <w:txbxContent>
                <w:p w14:paraId="1C4D0B85">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3"/>
          <w:sz w:val="20"/>
          <w:szCs w:val="20"/>
        </w:rPr>
        <w:t>30</w:t>
      </w:r>
    </w:p>
    <w:p w14:paraId="5886D1E9">
      <w:pPr>
        <w:spacing w:line="194" w:lineRule="auto"/>
        <w:rPr>
          <w:sz w:val="20"/>
          <w:szCs w:val="20"/>
        </w:rPr>
        <w:sectPr>
          <w:pgSz w:w="11906" w:h="16158"/>
          <w:pgMar w:top="400" w:right="1125" w:bottom="400" w:left="1004" w:header="0" w:footer="0" w:gutter="0"/>
          <w:cols w:space="720" w:num="1"/>
        </w:sectPr>
      </w:pPr>
    </w:p>
    <w:p w14:paraId="17214BF4">
      <w:pPr>
        <w:pStyle w:val="2"/>
        <w:spacing w:line="349" w:lineRule="auto"/>
      </w:pPr>
    </w:p>
    <w:p w14:paraId="6279B662">
      <w:pPr>
        <w:pStyle w:val="2"/>
        <w:spacing w:line="350" w:lineRule="auto"/>
      </w:pPr>
    </w:p>
    <w:p w14:paraId="3A4C8852">
      <w:pPr>
        <w:spacing w:before="80" w:line="182" w:lineRule="auto"/>
        <w:rPr>
          <w:rFonts w:ascii="Segoe UI" w:hAnsi="Segoe UI" w:eastAsia="Segoe UI" w:cs="Segoe UI"/>
          <w:sz w:val="24"/>
          <w:szCs w:val="24"/>
        </w:rPr>
      </w:pPr>
      <w:bookmarkStart w:id="41" w:name="bookmark43"/>
      <w:bookmarkEnd w:id="41"/>
      <w:r>
        <w:rPr>
          <w:rFonts w:ascii="Segoe UI" w:hAnsi="Segoe UI" w:eastAsia="Segoe UI" w:cs="Segoe UI"/>
          <w:b/>
          <w:bCs/>
          <w:color w:val="648676"/>
          <w:spacing w:val="27"/>
          <w:w w:val="110"/>
          <w:sz w:val="24"/>
          <w:szCs w:val="24"/>
        </w:rPr>
        <w:t>CHAPTER -3</w:t>
      </w:r>
    </w:p>
    <w:p w14:paraId="28AEFE1C">
      <w:pPr>
        <w:spacing w:before="55" w:line="178" w:lineRule="auto"/>
        <w:ind w:left="411"/>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数据资产管理保障措施</w:t>
      </w:r>
    </w:p>
    <w:p w14:paraId="1EFB77ED">
      <w:pPr>
        <w:pStyle w:val="2"/>
        <w:spacing w:line="283" w:lineRule="auto"/>
      </w:pPr>
    </w:p>
    <w:p w14:paraId="6425F575">
      <w:pPr>
        <w:pStyle w:val="2"/>
        <w:spacing w:line="283" w:lineRule="auto"/>
      </w:pPr>
    </w:p>
    <w:p w14:paraId="520DCE3F">
      <w:pPr>
        <w:pStyle w:val="2"/>
        <w:spacing w:line="284" w:lineRule="auto"/>
      </w:pPr>
    </w:p>
    <w:p w14:paraId="22D82CE7">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6"/>
          <w:sz w:val="28"/>
          <w:szCs w:val="28"/>
        </w:rPr>
        <w:t>( 三</w:t>
      </w:r>
      <w:r>
        <w:rPr>
          <w:rFonts w:ascii="微软雅黑" w:hAnsi="微软雅黑" w:eastAsia="微软雅黑" w:cs="微软雅黑"/>
          <w:color w:val="648676"/>
          <w:spacing w:val="12"/>
          <w:sz w:val="28"/>
          <w:szCs w:val="28"/>
        </w:rPr>
        <w:t xml:space="preserve"> </w:t>
      </w:r>
      <w:r>
        <w:rPr>
          <w:rFonts w:ascii="微软雅黑" w:hAnsi="微软雅黑" w:eastAsia="微软雅黑" w:cs="微软雅黑"/>
          <w:color w:val="648676"/>
          <w:spacing w:val="6"/>
          <w:sz w:val="28"/>
          <w:szCs w:val="28"/>
        </w:rPr>
        <w:t>)</w:t>
      </w:r>
      <w:r>
        <w:rPr>
          <w:rFonts w:ascii="微软雅黑" w:hAnsi="微软雅黑" w:eastAsia="微软雅黑" w:cs="微软雅黑"/>
          <w:color w:val="648676"/>
          <w:spacing w:val="30"/>
          <w:sz w:val="28"/>
          <w:szCs w:val="28"/>
        </w:rPr>
        <w:t xml:space="preserve"> </w:t>
      </w:r>
      <w:r>
        <w:rPr>
          <w:rFonts w:ascii="微软雅黑" w:hAnsi="微软雅黑" w:eastAsia="微软雅黑" w:cs="微软雅黑"/>
          <w:color w:val="648676"/>
          <w:spacing w:val="6"/>
          <w:sz w:val="28"/>
          <w:szCs w:val="28"/>
        </w:rPr>
        <w:t>制度体系</w:t>
      </w:r>
    </w:p>
    <w:p w14:paraId="025F6323">
      <w:pPr>
        <w:pStyle w:val="2"/>
        <w:spacing w:line="409" w:lineRule="auto"/>
      </w:pPr>
    </w:p>
    <w:p w14:paraId="6BBE2B89">
      <w:pPr>
        <w:spacing w:before="95" w:line="277" w:lineRule="auto"/>
        <w:ind w:left="248"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数据资产管理制度体系通常分层次设计，依据管理的颗粒度，制度体系可划分为组织级数据</w:t>
      </w:r>
      <w:r>
        <w:rPr>
          <w:rFonts w:ascii="微软雅黑" w:hAnsi="微软雅黑" w:eastAsia="微软雅黑" w:cs="微软雅黑"/>
          <w:color w:val="231F20"/>
          <w:spacing w:val="2"/>
          <w:sz w:val="22"/>
          <w:szCs w:val="22"/>
        </w:rPr>
        <w:t xml:space="preserve"> </w:t>
      </w:r>
      <w:r>
        <w:rPr>
          <w:rFonts w:ascii="微软雅黑" w:hAnsi="微软雅黑" w:eastAsia="微软雅黑" w:cs="微软雅黑"/>
          <w:color w:val="231F20"/>
          <w:spacing w:val="-1"/>
          <w:sz w:val="22"/>
          <w:szCs w:val="22"/>
        </w:rPr>
        <w:t>资产管理总体规定、管理办法、实施细则和操作规范四个</w:t>
      </w:r>
      <w:r>
        <w:rPr>
          <w:rFonts w:ascii="微软雅黑" w:hAnsi="微软雅黑" w:eastAsia="微软雅黑" w:cs="微软雅黑"/>
          <w:color w:val="231F20"/>
          <w:spacing w:val="-2"/>
          <w:sz w:val="22"/>
          <w:szCs w:val="22"/>
        </w:rPr>
        <w:t>层次。基本内容如下：</w:t>
      </w:r>
    </w:p>
    <w:p w14:paraId="34D5A93E">
      <w:pPr>
        <w:spacing w:before="50" w:line="287" w:lineRule="auto"/>
        <w:ind w:left="247" w:right="11" w:firstLine="571"/>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·总体规定从数据资产管理决策层和组织协调层视角出发，包含数据</w:t>
      </w:r>
      <w:r>
        <w:rPr>
          <w:rFonts w:ascii="微软雅黑" w:hAnsi="微软雅黑" w:eastAsia="微软雅黑" w:cs="微软雅黑"/>
          <w:color w:val="231F20"/>
          <w:spacing w:val="4"/>
          <w:sz w:val="22"/>
          <w:szCs w:val="22"/>
        </w:rPr>
        <w:t>战略、角色职责、认责</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体系等，阐述数据资产管理的目标、组织、</w:t>
      </w:r>
      <w:r>
        <w:rPr>
          <w:rFonts w:ascii="微软雅黑" w:hAnsi="微软雅黑" w:eastAsia="微软雅黑" w:cs="微软雅黑"/>
          <w:color w:val="231F20"/>
          <w:spacing w:val="-3"/>
          <w:sz w:val="22"/>
          <w:szCs w:val="22"/>
        </w:rPr>
        <w:t>责任等；</w:t>
      </w:r>
    </w:p>
    <w:p w14:paraId="4072FC11">
      <w:pPr>
        <w:spacing w:before="15" w:line="288" w:lineRule="auto"/>
        <w:ind w:left="247" w:right="7" w:firstLine="570"/>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w:t>
      </w:r>
      <w:r>
        <w:rPr>
          <w:rFonts w:ascii="微软雅黑" w:hAnsi="微软雅黑" w:eastAsia="微软雅黑" w:cs="微软雅黑"/>
          <w:color w:val="231F20"/>
          <w:spacing w:val="-30"/>
          <w:sz w:val="22"/>
          <w:szCs w:val="22"/>
        </w:rPr>
        <w:t xml:space="preserve"> </w:t>
      </w:r>
      <w:r>
        <w:rPr>
          <w:rFonts w:ascii="微软雅黑" w:hAnsi="微软雅黑" w:eastAsia="微软雅黑" w:cs="微软雅黑"/>
          <w:color w:val="231F20"/>
          <w:spacing w:val="4"/>
          <w:sz w:val="22"/>
          <w:szCs w:val="22"/>
        </w:rPr>
        <w:t>管理办法是从数据资产管理层视角出发，规定数据资产管理各活动职能的管理目标、管理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原则、管理流程、监督考核、评估优化等；</w:t>
      </w:r>
    </w:p>
    <w:p w14:paraId="527855B7">
      <w:pPr>
        <w:spacing w:before="13" w:line="288" w:lineRule="auto"/>
        <w:ind w:left="261" w:right="42" w:firstLine="556"/>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·实施细则是从数据资产管理层和数据资产管理执</w:t>
      </w:r>
      <w:r>
        <w:rPr>
          <w:rFonts w:ascii="微软雅黑" w:hAnsi="微软雅黑" w:eastAsia="微软雅黑" w:cs="微软雅黑"/>
          <w:color w:val="231F20"/>
          <w:spacing w:val="-2"/>
          <w:sz w:val="22"/>
          <w:szCs w:val="22"/>
        </w:rPr>
        <w:t>行层的视角出发，围绕管理办法相关要求，</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明确各项活动职能执行落实的标准、规范、流程等；</w:t>
      </w:r>
    </w:p>
    <w:p w14:paraId="580CD893">
      <w:pPr>
        <w:spacing w:before="15" w:line="288" w:lineRule="auto"/>
        <w:ind w:left="248" w:firstLine="569"/>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·操作规范是从数据资产管理执行层的视角出发，依据实施细则，进一步明确各项工作需遵</w:t>
      </w:r>
      <w:r>
        <w:rPr>
          <w:rFonts w:ascii="微软雅黑" w:hAnsi="微软雅黑" w:eastAsia="微软雅黑" w:cs="微软雅黑"/>
          <w:color w:val="231F20"/>
          <w:spacing w:val="2"/>
          <w:sz w:val="22"/>
          <w:szCs w:val="22"/>
        </w:rPr>
        <w:t xml:space="preserve"> </w:t>
      </w:r>
      <w:r>
        <w:rPr>
          <w:rFonts w:ascii="微软雅黑" w:hAnsi="微软雅黑" w:eastAsia="微软雅黑" w:cs="微软雅黑"/>
          <w:color w:val="231F20"/>
          <w:spacing w:val="-1"/>
          <w:sz w:val="22"/>
          <w:szCs w:val="22"/>
        </w:rPr>
        <w:t>循的工作规程、操作手册或模板类文件等。</w:t>
      </w:r>
    </w:p>
    <w:p w14:paraId="05413AAB">
      <w:pPr>
        <w:pStyle w:val="2"/>
        <w:spacing w:line="330" w:lineRule="auto"/>
      </w:pPr>
    </w:p>
    <w:p w14:paraId="521CB02A">
      <w:pPr>
        <w:spacing w:line="602" w:lineRule="exact"/>
        <w:ind w:firstLine="2627"/>
      </w:pPr>
      <w:r>
        <w:rPr>
          <w:position w:val="-12"/>
        </w:rPr>
        <w:drawing>
          <wp:inline distT="0" distB="0" distL="0" distR="0">
            <wp:extent cx="3172460" cy="382270"/>
            <wp:effectExtent l="0" t="0" r="0" b="0"/>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126"/>
                    <a:stretch>
                      <a:fillRect/>
                    </a:stretch>
                  </pic:blipFill>
                  <pic:spPr>
                    <a:xfrm>
                      <a:off x="0" y="0"/>
                      <a:ext cx="3172612" cy="382393"/>
                    </a:xfrm>
                    <a:prstGeom prst="rect">
                      <a:avLst/>
                    </a:prstGeom>
                  </pic:spPr>
                </pic:pic>
              </a:graphicData>
            </a:graphic>
          </wp:inline>
        </w:drawing>
      </w:r>
    </w:p>
    <w:p w14:paraId="10EE1F17">
      <w:pPr>
        <w:spacing w:line="291" w:lineRule="exact"/>
        <w:ind w:firstLine="2634"/>
      </w:pPr>
      <w:r>
        <w:rPr>
          <w:position w:val="-5"/>
        </w:rPr>
        <w:drawing>
          <wp:inline distT="0" distB="0" distL="0" distR="0">
            <wp:extent cx="3163570" cy="184150"/>
            <wp:effectExtent l="0" t="0" r="0" b="0"/>
            <wp:docPr id="196" name="IM 196"/>
            <wp:cNvGraphicFramePr/>
            <a:graphic xmlns:a="http://schemas.openxmlformats.org/drawingml/2006/main">
              <a:graphicData uri="http://schemas.openxmlformats.org/drawingml/2006/picture">
                <pic:pic xmlns:pic="http://schemas.openxmlformats.org/drawingml/2006/picture">
                  <pic:nvPicPr>
                    <pic:cNvPr id="196" name="IM 196"/>
                    <pic:cNvPicPr/>
                  </pic:nvPicPr>
                  <pic:blipFill>
                    <a:blip r:embed="rId127"/>
                    <a:stretch>
                      <a:fillRect/>
                    </a:stretch>
                  </pic:blipFill>
                  <pic:spPr>
                    <a:xfrm>
                      <a:off x="0" y="0"/>
                      <a:ext cx="3163824" cy="184465"/>
                    </a:xfrm>
                    <a:prstGeom prst="rect">
                      <a:avLst/>
                    </a:prstGeom>
                  </pic:spPr>
                </pic:pic>
              </a:graphicData>
            </a:graphic>
          </wp:inline>
        </w:drawing>
      </w:r>
    </w:p>
    <w:p w14:paraId="6095BA9B">
      <w:pPr>
        <w:spacing w:line="286" w:lineRule="exact"/>
        <w:ind w:left="4779"/>
        <w:rPr>
          <w:rFonts w:ascii="微软雅黑" w:hAnsi="微软雅黑" w:eastAsia="微软雅黑" w:cs="微软雅黑"/>
          <w:sz w:val="30"/>
          <w:szCs w:val="30"/>
        </w:rPr>
      </w:pPr>
      <w:r>
        <w:drawing>
          <wp:anchor distT="0" distB="0" distL="0" distR="0" simplePos="0" relativeHeight="251840512" behindDoc="1" locked="0" layoutInCell="1" allowOverlap="1">
            <wp:simplePos x="0" y="0"/>
            <wp:positionH relativeFrom="column">
              <wp:posOffset>1311910</wp:posOffset>
            </wp:positionH>
            <wp:positionV relativeFrom="paragraph">
              <wp:posOffset>100965</wp:posOffset>
            </wp:positionV>
            <wp:extent cx="1752600" cy="85725"/>
            <wp:effectExtent l="0" t="0" r="0" b="0"/>
            <wp:wrapNone/>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128"/>
                    <a:stretch>
                      <a:fillRect/>
                    </a:stretch>
                  </pic:blipFill>
                  <pic:spPr>
                    <a:xfrm>
                      <a:off x="0" y="0"/>
                      <a:ext cx="1752295" cy="85839"/>
                    </a:xfrm>
                    <a:prstGeom prst="rect">
                      <a:avLst/>
                    </a:prstGeom>
                  </pic:spPr>
                </pic:pic>
              </a:graphicData>
            </a:graphic>
          </wp:anchor>
        </w:drawing>
      </w:r>
      <w:r>
        <w:drawing>
          <wp:anchor distT="0" distB="0" distL="0" distR="0" simplePos="0" relativeHeight="251845632" behindDoc="0" locked="0" layoutInCell="1" allowOverlap="1">
            <wp:simplePos x="0" y="0"/>
            <wp:positionH relativeFrom="column">
              <wp:posOffset>3069590</wp:posOffset>
            </wp:positionH>
            <wp:positionV relativeFrom="paragraph">
              <wp:posOffset>92075</wp:posOffset>
            </wp:positionV>
            <wp:extent cx="1858645" cy="90170"/>
            <wp:effectExtent l="0" t="0" r="0" b="0"/>
            <wp:wrapNone/>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129"/>
                    <a:stretch>
                      <a:fillRect/>
                    </a:stretch>
                  </pic:blipFill>
                  <pic:spPr>
                    <a:xfrm>
                      <a:off x="0" y="0"/>
                      <a:ext cx="1858683" cy="90119"/>
                    </a:xfrm>
                    <a:prstGeom prst="rect">
                      <a:avLst/>
                    </a:prstGeom>
                  </pic:spPr>
                </pic:pic>
              </a:graphicData>
            </a:graphic>
          </wp:anchor>
        </w:drawing>
      </w:r>
      <w:r>
        <w:drawing>
          <wp:anchor distT="0" distB="0" distL="0" distR="0" simplePos="0" relativeHeight="251843584" behindDoc="0" locked="0" layoutInCell="1" allowOverlap="1">
            <wp:simplePos x="0" y="0"/>
            <wp:positionH relativeFrom="column">
              <wp:posOffset>3926840</wp:posOffset>
            </wp:positionH>
            <wp:positionV relativeFrom="paragraph">
              <wp:posOffset>179705</wp:posOffset>
            </wp:positionV>
            <wp:extent cx="1942465" cy="175895"/>
            <wp:effectExtent l="0" t="0" r="0" b="0"/>
            <wp:wrapNone/>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130"/>
                    <a:stretch>
                      <a:fillRect/>
                    </a:stretch>
                  </pic:blipFill>
                  <pic:spPr>
                    <a:xfrm>
                      <a:off x="0" y="0"/>
                      <a:ext cx="1942236" cy="175767"/>
                    </a:xfrm>
                    <a:prstGeom prst="rect">
                      <a:avLst/>
                    </a:prstGeom>
                  </pic:spPr>
                </pic:pic>
              </a:graphicData>
            </a:graphic>
          </wp:anchor>
        </w:drawing>
      </w:r>
      <w:r>
        <w:rPr>
          <w:rFonts w:ascii="微软雅黑" w:hAnsi="微软雅黑" w:eastAsia="微软雅黑" w:cs="微软雅黑"/>
          <w:color w:val="6B8F80"/>
          <w:position w:val="-3"/>
          <w:sz w:val="30"/>
          <w:szCs w:val="30"/>
        </w:rPr>
        <w:t>↓</w:t>
      </w:r>
    </w:p>
    <w:p w14:paraId="7A37F9AD">
      <w:pPr>
        <w:spacing w:line="274" w:lineRule="exact"/>
        <w:ind w:firstLine="792"/>
      </w:pPr>
      <w:r>
        <w:pict>
          <v:shape id="_x0000_s1264" o:spid="_x0000_s1264" o:spt="202" type="#_x0000_t202" style="position:absolute;left:0pt;margin-left:178.8pt;margin-top:15.45pt;height:198.55pt;width:123.1pt;z-index:251841536;mso-width-relative:page;mso-height-relative:page;" filled="f" stroked="f" coordsize="21600,21600">
            <v:path/>
            <v:fill on="f" focussize="0,0"/>
            <v:stroke on="f"/>
            <v:imagedata o:title=""/>
            <o:lock v:ext="edit" aspectratio="f"/>
            <v:textbox inset="0mm,0mm,0mm,0mm">
              <w:txbxContent>
                <w:p w14:paraId="217FD0C2">
                  <w:pPr>
                    <w:spacing w:line="20" w:lineRule="exact"/>
                  </w:pPr>
                </w:p>
                <w:tbl>
                  <w:tblPr>
                    <w:tblStyle w:val="5"/>
                    <w:tblW w:w="2411" w:type="dxa"/>
                    <w:tblInd w:w="25" w:type="dxa"/>
                    <w:tblBorders>
                      <w:top w:val="single" w:color="1A1A1A" w:sz="4" w:space="0"/>
                      <w:left w:val="single" w:color="1A1A1A" w:sz="4" w:space="0"/>
                      <w:bottom w:val="single" w:color="1A1A1A" w:sz="4" w:space="0"/>
                      <w:right w:val="single" w:color="1A1A1A" w:sz="4" w:space="0"/>
                      <w:insideH w:val="none" w:color="auto" w:sz="0" w:space="0"/>
                      <w:insideV w:val="none" w:color="auto" w:sz="0" w:space="0"/>
                    </w:tblBorders>
                    <w:tblLayout w:type="fixed"/>
                    <w:tblCellMar>
                      <w:top w:w="0" w:type="dxa"/>
                      <w:left w:w="0" w:type="dxa"/>
                      <w:bottom w:w="0" w:type="dxa"/>
                      <w:right w:w="0" w:type="dxa"/>
                    </w:tblCellMar>
                  </w:tblPr>
                  <w:tblGrid>
                    <w:gridCol w:w="2411"/>
                  </w:tblGrid>
                  <w:tr w14:paraId="09EA3C0D">
                    <w:tblPrEx>
                      <w:tblBorders>
                        <w:top w:val="single" w:color="1A1A1A" w:sz="4" w:space="0"/>
                        <w:left w:val="single" w:color="1A1A1A" w:sz="4" w:space="0"/>
                        <w:bottom w:val="single" w:color="1A1A1A" w:sz="4" w:space="0"/>
                        <w:right w:val="single" w:color="1A1A1A" w:sz="4" w:space="0"/>
                        <w:insideH w:val="none" w:color="auto" w:sz="0" w:space="0"/>
                        <w:insideV w:val="none" w:color="auto" w:sz="0" w:space="0"/>
                      </w:tblBorders>
                      <w:tblCellMar>
                        <w:top w:w="0" w:type="dxa"/>
                        <w:left w:w="0" w:type="dxa"/>
                        <w:bottom w:w="0" w:type="dxa"/>
                        <w:right w:w="0" w:type="dxa"/>
                      </w:tblCellMar>
                    </w:tblPrEx>
                    <w:trPr>
                      <w:trHeight w:val="3910" w:hRule="atLeast"/>
                    </w:trPr>
                    <w:tc>
                      <w:tcPr>
                        <w:tcW w:w="2411" w:type="dxa"/>
                        <w:vAlign w:val="top"/>
                      </w:tcPr>
                      <w:p w14:paraId="32571DFD">
                        <w:pPr>
                          <w:spacing w:before="80"/>
                        </w:pPr>
                      </w:p>
                      <w:tbl>
                        <w:tblPr>
                          <w:tblStyle w:val="5"/>
                          <w:tblW w:w="2218" w:type="dxa"/>
                          <w:tblInd w:w="50" w:type="dxa"/>
                          <w:tblBorders>
                            <w:top w:val="single" w:color="B0D4CC" w:sz="4" w:space="0"/>
                            <w:left w:val="single" w:color="B0D4CC" w:sz="4" w:space="0"/>
                            <w:bottom w:val="single" w:color="B0D4CC" w:sz="4" w:space="0"/>
                            <w:right w:val="single" w:color="B0D4CC" w:sz="4" w:space="0"/>
                            <w:insideH w:val="none" w:color="auto" w:sz="0" w:space="0"/>
                            <w:insideV w:val="none" w:color="auto" w:sz="0" w:space="0"/>
                          </w:tblBorders>
                          <w:tblLayout w:type="fixed"/>
                          <w:tblCellMar>
                            <w:top w:w="0" w:type="dxa"/>
                            <w:left w:w="0" w:type="dxa"/>
                            <w:bottom w:w="0" w:type="dxa"/>
                            <w:right w:w="0" w:type="dxa"/>
                          </w:tblCellMar>
                        </w:tblPr>
                        <w:tblGrid>
                          <w:gridCol w:w="2218"/>
                        </w:tblGrid>
                        <w:tr w14:paraId="1C2148F5">
                          <w:tblPrEx>
                            <w:tblBorders>
                              <w:top w:val="single" w:color="B0D4CC" w:sz="4" w:space="0"/>
                              <w:left w:val="single" w:color="B0D4CC" w:sz="4" w:space="0"/>
                              <w:bottom w:val="single" w:color="B0D4CC" w:sz="4" w:space="0"/>
                              <w:right w:val="single" w:color="B0D4CC" w:sz="4" w:space="0"/>
                              <w:insideH w:val="none" w:color="auto" w:sz="0" w:space="0"/>
                              <w:insideV w:val="none" w:color="auto" w:sz="0" w:space="0"/>
                            </w:tblBorders>
                            <w:tblCellMar>
                              <w:top w:w="0" w:type="dxa"/>
                              <w:left w:w="0" w:type="dxa"/>
                              <w:bottom w:w="0" w:type="dxa"/>
                              <w:right w:w="0" w:type="dxa"/>
                            </w:tblCellMar>
                          </w:tblPrEx>
                          <w:trPr>
                            <w:trHeight w:val="1363" w:hRule="atLeast"/>
                          </w:trPr>
                          <w:tc>
                            <w:tcPr>
                              <w:tcW w:w="2218" w:type="dxa"/>
                              <w:vAlign w:val="top"/>
                            </w:tcPr>
                            <w:p w14:paraId="623C647E">
                              <w:pPr>
                                <w:pStyle w:val="6"/>
                                <w:spacing w:before="31" w:line="136" w:lineRule="exact"/>
                                <w:ind w:left="93"/>
                                <w:rPr>
                                  <w:sz w:val="13"/>
                                  <w:szCs w:val="13"/>
                                </w:rPr>
                              </w:pPr>
                              <w:r>
                                <w:rPr>
                                  <w:spacing w:val="6"/>
                                  <w:sz w:val="13"/>
                                  <w:szCs w:val="13"/>
                                </w:rPr>
                                <w:t>数据架构/分布/模型实施细则</w:t>
                              </w:r>
                            </w:p>
                            <w:p w14:paraId="7A3075DD">
                              <w:pPr>
                                <w:pStyle w:val="6"/>
                                <w:spacing w:before="29" w:line="168" w:lineRule="auto"/>
                                <w:ind w:left="93" w:right="1019"/>
                                <w:jc w:val="both"/>
                                <w:rPr>
                                  <w:sz w:val="13"/>
                                  <w:szCs w:val="13"/>
                                </w:rPr>
                              </w:pPr>
                              <w:r>
                                <w:rPr>
                                  <w:spacing w:val="6"/>
                                  <w:sz w:val="13"/>
                                  <w:szCs w:val="13"/>
                                </w:rPr>
                                <w:t>数据标准实施细则 数据质量实施细则 主数据实施细则</w:t>
                              </w:r>
                            </w:p>
                            <w:p w14:paraId="5876540B">
                              <w:pPr>
                                <w:spacing w:before="29" w:line="137" w:lineRule="exact"/>
                                <w:ind w:left="93"/>
                              </w:pPr>
                              <w:r>
                                <w:rPr>
                                  <w:position w:val="-3"/>
                                </w:rPr>
                                <w:drawing>
                                  <wp:inline distT="0" distB="0" distL="0" distR="0">
                                    <wp:extent cx="958850" cy="86360"/>
                                    <wp:effectExtent l="0" t="0" r="0" b="0"/>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131"/>
                                            <a:stretch>
                                              <a:fillRect/>
                                            </a:stretch>
                                          </pic:blipFill>
                                          <pic:spPr>
                                            <a:xfrm>
                                              <a:off x="0" y="0"/>
                                              <a:ext cx="959342" cy="86677"/>
                                            </a:xfrm>
                                            <a:prstGeom prst="rect">
                                              <a:avLst/>
                                            </a:prstGeom>
                                          </pic:spPr>
                                        </pic:pic>
                                      </a:graphicData>
                                    </a:graphic>
                                  </wp:inline>
                                </w:drawing>
                              </w:r>
                            </w:p>
                            <w:p w14:paraId="3E04FD61">
                              <w:pPr>
                                <w:pStyle w:val="6"/>
                                <w:spacing w:before="29" w:line="137" w:lineRule="exact"/>
                                <w:ind w:left="93"/>
                                <w:rPr>
                                  <w:sz w:val="13"/>
                                  <w:szCs w:val="13"/>
                                </w:rPr>
                              </w:pPr>
                              <w:r>
                                <w:rPr>
                                  <w:spacing w:val="6"/>
                                  <w:sz w:val="13"/>
                                  <w:szCs w:val="13"/>
                                </w:rPr>
                                <w:t>元数据实施细则</w:t>
                              </w:r>
                            </w:p>
                            <w:p w14:paraId="1D554334">
                              <w:pPr>
                                <w:spacing w:before="29" w:line="137" w:lineRule="exact"/>
                                <w:ind w:left="93"/>
                              </w:pPr>
                              <w:r>
                                <w:rPr>
                                  <w:position w:val="-3"/>
                                </w:rPr>
                                <w:drawing>
                                  <wp:inline distT="0" distB="0" distL="0" distR="0">
                                    <wp:extent cx="1082040" cy="86360"/>
                                    <wp:effectExtent l="0" t="0" r="0" b="0"/>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132"/>
                                            <a:stretch>
                                              <a:fillRect/>
                                            </a:stretch>
                                          </pic:blipFill>
                                          <pic:spPr>
                                            <a:xfrm>
                                              <a:off x="0" y="0"/>
                                              <a:ext cx="1082370" cy="86931"/>
                                            </a:xfrm>
                                            <a:prstGeom prst="rect">
                                              <a:avLst/>
                                            </a:prstGeom>
                                          </pic:spPr>
                                        </pic:pic>
                                      </a:graphicData>
                                    </a:graphic>
                                  </wp:inline>
                                </w:drawing>
                              </w:r>
                            </w:p>
                            <w:p w14:paraId="698667D5">
                              <w:pPr>
                                <w:pStyle w:val="6"/>
                                <w:spacing w:before="29" w:line="137" w:lineRule="exact"/>
                                <w:ind w:left="93"/>
                                <w:rPr>
                                  <w:sz w:val="13"/>
                                  <w:szCs w:val="13"/>
                                </w:rPr>
                              </w:pPr>
                              <w:r>
                                <w:rPr>
                                  <w:spacing w:val="7"/>
                                  <w:sz w:val="13"/>
                                  <w:szCs w:val="13"/>
                                </w:rPr>
                                <w:t>数据生命周期管理细则</w:t>
                              </w:r>
                            </w:p>
                          </w:tc>
                        </w:tr>
                      </w:tbl>
                      <w:p w14:paraId="69D6B115">
                        <w:pPr>
                          <w:spacing w:before="7"/>
                        </w:pPr>
                      </w:p>
                      <w:tbl>
                        <w:tblPr>
                          <w:tblStyle w:val="5"/>
                          <w:tblW w:w="2218" w:type="dxa"/>
                          <w:tblInd w:w="50" w:type="dxa"/>
                          <w:tblBorders>
                            <w:top w:val="single" w:color="FFBF00" w:sz="4" w:space="0"/>
                            <w:left w:val="single" w:color="FFBF00" w:sz="4" w:space="0"/>
                            <w:bottom w:val="single" w:color="FFBF00" w:sz="4" w:space="0"/>
                            <w:right w:val="single" w:color="FFBF00" w:sz="4" w:space="0"/>
                            <w:insideH w:val="single" w:color="FFBF00" w:sz="4" w:space="0"/>
                            <w:insideV w:val="single" w:color="FFBF00" w:sz="4" w:space="0"/>
                          </w:tblBorders>
                          <w:tblLayout w:type="fixed"/>
                          <w:tblCellMar>
                            <w:top w:w="0" w:type="dxa"/>
                            <w:left w:w="0" w:type="dxa"/>
                            <w:bottom w:w="0" w:type="dxa"/>
                            <w:right w:w="0" w:type="dxa"/>
                          </w:tblCellMar>
                        </w:tblPr>
                        <w:tblGrid>
                          <w:gridCol w:w="2218"/>
                        </w:tblGrid>
                        <w:tr w14:paraId="42A1D329">
                          <w:tblPrEx>
                            <w:tblBorders>
                              <w:top w:val="single" w:color="FFBF00" w:sz="4" w:space="0"/>
                              <w:left w:val="single" w:color="FFBF00" w:sz="4" w:space="0"/>
                              <w:bottom w:val="single" w:color="FFBF00" w:sz="4" w:space="0"/>
                              <w:right w:val="single" w:color="FFBF00" w:sz="4" w:space="0"/>
                              <w:insideH w:val="single" w:color="FFBF00" w:sz="4" w:space="0"/>
                              <w:insideV w:val="single" w:color="FFBF00" w:sz="4" w:space="0"/>
                            </w:tblBorders>
                            <w:tblCellMar>
                              <w:top w:w="0" w:type="dxa"/>
                              <w:left w:w="0" w:type="dxa"/>
                              <w:bottom w:w="0" w:type="dxa"/>
                              <w:right w:w="0" w:type="dxa"/>
                            </w:tblCellMar>
                          </w:tblPrEx>
                          <w:trPr>
                            <w:trHeight w:val="357" w:hRule="atLeast"/>
                          </w:trPr>
                          <w:tc>
                            <w:tcPr>
                              <w:tcW w:w="2218" w:type="dxa"/>
                              <w:tcBorders>
                                <w:bottom w:val="nil"/>
                              </w:tcBorders>
                              <w:vAlign w:val="top"/>
                            </w:tcPr>
                            <w:p w14:paraId="45F18668">
                              <w:pPr>
                                <w:spacing w:before="57" w:line="289" w:lineRule="exact"/>
                                <w:ind w:left="93"/>
                              </w:pPr>
                              <w:r>
                                <w:rPr>
                                  <w:position w:val="-6"/>
                                </w:rPr>
                                <w:drawing>
                                  <wp:inline distT="0" distB="0" distL="0" distR="0">
                                    <wp:extent cx="1116965" cy="183515"/>
                                    <wp:effectExtent l="0" t="0" r="0" b="0"/>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133"/>
                                            <a:stretch>
                                              <a:fillRect/>
                                            </a:stretch>
                                          </pic:blipFill>
                                          <pic:spPr>
                                            <a:xfrm>
                                              <a:off x="0" y="0"/>
                                              <a:ext cx="1117524" cy="183611"/>
                                            </a:xfrm>
                                            <a:prstGeom prst="rect">
                                              <a:avLst/>
                                            </a:prstGeom>
                                          </pic:spPr>
                                        </pic:pic>
                                      </a:graphicData>
                                    </a:graphic>
                                  </wp:inline>
                                </w:drawing>
                              </w:r>
                            </w:p>
                          </w:tc>
                        </w:tr>
                        <w:tr w14:paraId="36926FAD">
                          <w:tblPrEx>
                            <w:tblBorders>
                              <w:top w:val="single" w:color="FFBF00" w:sz="4" w:space="0"/>
                              <w:left w:val="single" w:color="FFBF00" w:sz="4" w:space="0"/>
                              <w:bottom w:val="single" w:color="FFBF00" w:sz="4" w:space="0"/>
                              <w:right w:val="single" w:color="FFBF00" w:sz="4" w:space="0"/>
                              <w:insideH w:val="single" w:color="FFBF00" w:sz="4" w:space="0"/>
                              <w:insideV w:val="single" w:color="FFBF00" w:sz="4" w:space="0"/>
                            </w:tblBorders>
                            <w:tblCellMar>
                              <w:top w:w="0" w:type="dxa"/>
                              <w:left w:w="0" w:type="dxa"/>
                              <w:bottom w:w="0" w:type="dxa"/>
                              <w:right w:w="0" w:type="dxa"/>
                            </w:tblCellMar>
                          </w:tblPrEx>
                          <w:trPr>
                            <w:trHeight w:val="564" w:hRule="atLeast"/>
                          </w:trPr>
                          <w:tc>
                            <w:tcPr>
                              <w:tcW w:w="2218" w:type="dxa"/>
                              <w:tcBorders>
                                <w:top w:val="nil"/>
                              </w:tcBorders>
                              <w:vAlign w:val="top"/>
                            </w:tcPr>
                            <w:p w14:paraId="0EAADE85">
                              <w:pPr>
                                <w:pStyle w:val="6"/>
                                <w:spacing w:before="32" w:line="163" w:lineRule="auto"/>
                                <w:ind w:left="93" w:right="327"/>
                                <w:rPr>
                                  <w:sz w:val="13"/>
                                  <w:szCs w:val="13"/>
                                </w:rPr>
                              </w:pPr>
                              <w:r>
                                <w:rPr>
                                  <w:spacing w:val="7"/>
                                  <w:sz w:val="13"/>
                                  <w:szCs w:val="13"/>
                                </w:rPr>
                                <w:t>数据交易和外部数据实施细则</w:t>
                              </w:r>
                              <w:r>
                                <w:rPr>
                                  <w:spacing w:val="5"/>
                                  <w:sz w:val="13"/>
                                  <w:szCs w:val="13"/>
                                </w:rPr>
                                <w:t xml:space="preserve"> </w:t>
                              </w:r>
                              <w:r>
                                <w:rPr>
                                  <w:spacing w:val="7"/>
                                  <w:sz w:val="13"/>
                                  <w:szCs w:val="13"/>
                                </w:rPr>
                                <w:t>数据资产价值评估实施细则</w:t>
                              </w:r>
                            </w:p>
                            <w:p w14:paraId="04C9F3D2">
                              <w:pPr>
                                <w:pStyle w:val="6"/>
                                <w:spacing w:before="29" w:line="137" w:lineRule="exact"/>
                                <w:ind w:left="93"/>
                                <w:rPr>
                                  <w:sz w:val="13"/>
                                  <w:szCs w:val="13"/>
                                </w:rPr>
                              </w:pPr>
                              <w:r>
                                <w:rPr>
                                  <w:spacing w:val="7"/>
                                  <w:sz w:val="13"/>
                                  <w:szCs w:val="13"/>
                                </w:rPr>
                                <w:t>数据资产运营实施细则</w:t>
                              </w:r>
                            </w:p>
                          </w:tc>
                        </w:tr>
                      </w:tbl>
                      <w:p w14:paraId="103E6C9A">
                        <w:pPr>
                          <w:spacing w:line="166" w:lineRule="exact"/>
                        </w:pPr>
                      </w:p>
                      <w:tbl>
                        <w:tblPr>
                          <w:tblStyle w:val="5"/>
                          <w:tblW w:w="2232" w:type="dxa"/>
                          <w:tblInd w:w="50" w:type="dxa"/>
                          <w:tblBorders>
                            <w:top w:val="single" w:color="3D3D3D" w:sz="4" w:space="0"/>
                            <w:left w:val="single" w:color="3D3D3D" w:sz="4" w:space="0"/>
                            <w:bottom w:val="single" w:color="3D3D3D" w:sz="4" w:space="0"/>
                            <w:right w:val="single" w:color="3D3D3D" w:sz="4" w:space="0"/>
                            <w:insideH w:val="none" w:color="auto" w:sz="0" w:space="0"/>
                            <w:insideV w:val="none" w:color="auto" w:sz="0" w:space="0"/>
                          </w:tblBorders>
                          <w:tblLayout w:type="fixed"/>
                          <w:tblCellMar>
                            <w:top w:w="0" w:type="dxa"/>
                            <w:left w:w="0" w:type="dxa"/>
                            <w:bottom w:w="0" w:type="dxa"/>
                            <w:right w:w="0" w:type="dxa"/>
                          </w:tblCellMar>
                        </w:tblPr>
                        <w:tblGrid>
                          <w:gridCol w:w="2232"/>
                        </w:tblGrid>
                        <w:tr w14:paraId="31F2A6E5">
                          <w:tblPrEx>
                            <w:tblBorders>
                              <w:top w:val="single" w:color="3D3D3D" w:sz="4" w:space="0"/>
                              <w:left w:val="single" w:color="3D3D3D" w:sz="4" w:space="0"/>
                              <w:bottom w:val="single" w:color="3D3D3D" w:sz="4" w:space="0"/>
                              <w:right w:val="single" w:color="3D3D3D" w:sz="4" w:space="0"/>
                              <w:insideH w:val="none" w:color="auto" w:sz="0" w:space="0"/>
                              <w:insideV w:val="none" w:color="auto" w:sz="0" w:space="0"/>
                            </w:tblBorders>
                            <w:tblCellMar>
                              <w:top w:w="0" w:type="dxa"/>
                              <w:left w:w="0" w:type="dxa"/>
                              <w:bottom w:w="0" w:type="dxa"/>
                              <w:right w:w="0" w:type="dxa"/>
                            </w:tblCellMar>
                          </w:tblPrEx>
                          <w:trPr>
                            <w:trHeight w:val="782" w:hRule="atLeast"/>
                          </w:trPr>
                          <w:tc>
                            <w:tcPr>
                              <w:tcW w:w="2232" w:type="dxa"/>
                              <w:vAlign w:val="top"/>
                            </w:tcPr>
                            <w:p w14:paraId="18F72B92">
                              <w:pPr>
                                <w:pStyle w:val="6"/>
                                <w:spacing w:before="72" w:line="163" w:lineRule="auto"/>
                                <w:ind w:left="97" w:right="60"/>
                                <w:rPr>
                                  <w:sz w:val="13"/>
                                  <w:szCs w:val="13"/>
                                </w:rPr>
                              </w:pPr>
                              <w:r>
                                <w:rPr>
                                  <w:spacing w:val="7"/>
                                  <w:sz w:val="13"/>
                                  <w:szCs w:val="13"/>
                                </w:rPr>
                                <w:t>数据资产管理考核与问责实施细则</w:t>
                              </w:r>
                              <w:r>
                                <w:rPr>
                                  <w:spacing w:val="8"/>
                                  <w:sz w:val="13"/>
                                  <w:szCs w:val="13"/>
                                </w:rPr>
                                <w:t xml:space="preserve"> </w:t>
                              </w:r>
                              <w:r>
                                <w:rPr>
                                  <w:spacing w:val="7"/>
                                  <w:sz w:val="13"/>
                                  <w:szCs w:val="13"/>
                                </w:rPr>
                                <w:t>数据资产管理自评估实施细则</w:t>
                              </w:r>
                            </w:p>
                            <w:p w14:paraId="4BDE5DE7">
                              <w:pPr>
                                <w:pStyle w:val="6"/>
                                <w:spacing w:before="29" w:line="137" w:lineRule="exact"/>
                                <w:ind w:left="97"/>
                                <w:rPr>
                                  <w:sz w:val="13"/>
                                  <w:szCs w:val="13"/>
                                </w:rPr>
                              </w:pPr>
                              <w:r>
                                <w:rPr>
                                  <w:spacing w:val="7"/>
                                  <w:sz w:val="13"/>
                                  <w:szCs w:val="13"/>
                                </w:rPr>
                                <w:t>数据资产管理审计实施细则</w:t>
                              </w:r>
                            </w:p>
                            <w:p w14:paraId="3D63AD22">
                              <w:pPr>
                                <w:pStyle w:val="6"/>
                                <w:spacing w:before="29" w:line="137" w:lineRule="exact"/>
                                <w:ind w:left="97"/>
                                <w:rPr>
                                  <w:sz w:val="13"/>
                                  <w:szCs w:val="13"/>
                                </w:rPr>
                              </w:pPr>
                              <w:r>
                                <w:rPr>
                                  <w:spacing w:val="7"/>
                                  <w:sz w:val="13"/>
                                  <w:szCs w:val="13"/>
                                </w:rPr>
                                <w:t>数据素养与数字技能提升实施细则</w:t>
                              </w:r>
                            </w:p>
                          </w:tc>
                        </w:tr>
                      </w:tbl>
                      <w:p w14:paraId="1D68E646">
                        <w:pPr>
                          <w:spacing w:line="34" w:lineRule="exact"/>
                          <w:rPr>
                            <w:rFonts w:ascii="Arial"/>
                            <w:sz w:val="3"/>
                          </w:rPr>
                        </w:pPr>
                      </w:p>
                    </w:tc>
                  </w:tr>
                </w:tbl>
                <w:p w14:paraId="01811CB6">
                  <w:pPr>
                    <w:pStyle w:val="2"/>
                  </w:pPr>
                </w:p>
              </w:txbxContent>
            </v:textbox>
          </v:shape>
        </w:pict>
      </w:r>
      <w:r>
        <w:rPr>
          <w:position w:val="-5"/>
        </w:rPr>
        <w:drawing>
          <wp:inline distT="0" distB="0" distL="0" distR="0">
            <wp:extent cx="3309620" cy="173990"/>
            <wp:effectExtent l="0" t="0" r="0" b="0"/>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134"/>
                    <a:stretch>
                      <a:fillRect/>
                    </a:stretch>
                  </pic:blipFill>
                  <pic:spPr>
                    <a:xfrm>
                      <a:off x="0" y="0"/>
                      <a:ext cx="3309696" cy="174147"/>
                    </a:xfrm>
                    <a:prstGeom prst="rect">
                      <a:avLst/>
                    </a:prstGeom>
                  </pic:spPr>
                </pic:pic>
              </a:graphicData>
            </a:graphic>
          </wp:inline>
        </w:drawing>
      </w:r>
    </w:p>
    <w:p w14:paraId="24BCE269">
      <w:pPr>
        <w:spacing w:line="56" w:lineRule="exact"/>
      </w:pPr>
    </w:p>
    <w:p w14:paraId="7C7A807A">
      <w:pPr>
        <w:spacing w:line="56" w:lineRule="exact"/>
        <w:sectPr>
          <w:pgSz w:w="11906" w:h="16158"/>
          <w:pgMar w:top="400" w:right="1246" w:bottom="400" w:left="1004" w:header="0" w:footer="0" w:gutter="0"/>
          <w:cols w:equalWidth="0" w:num="1">
            <w:col w:w="9655"/>
          </w:cols>
        </w:sectPr>
      </w:pPr>
    </w:p>
    <w:tbl>
      <w:tblPr>
        <w:tblStyle w:val="5"/>
        <w:tblW w:w="2627" w:type="dxa"/>
        <w:tblInd w:w="797" w:type="dxa"/>
        <w:tblBorders>
          <w:top w:val="single" w:color="1A1A1A" w:sz="4" w:space="0"/>
          <w:left w:val="single" w:color="1A1A1A" w:sz="4" w:space="0"/>
          <w:bottom w:val="single" w:color="1A1A1A" w:sz="4" w:space="0"/>
          <w:right w:val="single" w:color="1A1A1A" w:sz="4" w:space="0"/>
          <w:insideH w:val="none" w:color="auto" w:sz="0" w:space="0"/>
          <w:insideV w:val="none" w:color="auto" w:sz="0" w:space="0"/>
        </w:tblBorders>
        <w:tblLayout w:type="fixed"/>
        <w:tblCellMar>
          <w:top w:w="0" w:type="dxa"/>
          <w:left w:w="0" w:type="dxa"/>
          <w:bottom w:w="0" w:type="dxa"/>
          <w:right w:w="0" w:type="dxa"/>
        </w:tblCellMar>
      </w:tblPr>
      <w:tblGrid>
        <w:gridCol w:w="2627"/>
      </w:tblGrid>
      <w:tr w14:paraId="1B27C3CE">
        <w:tblPrEx>
          <w:tblBorders>
            <w:top w:val="single" w:color="1A1A1A" w:sz="4" w:space="0"/>
            <w:left w:val="single" w:color="1A1A1A" w:sz="4" w:space="0"/>
            <w:bottom w:val="single" w:color="1A1A1A" w:sz="4" w:space="0"/>
            <w:right w:val="single" w:color="1A1A1A" w:sz="4" w:space="0"/>
            <w:insideH w:val="none" w:color="auto" w:sz="0" w:space="0"/>
            <w:insideV w:val="none" w:color="auto" w:sz="0" w:space="0"/>
          </w:tblBorders>
          <w:tblCellMar>
            <w:top w:w="0" w:type="dxa"/>
            <w:left w:w="0" w:type="dxa"/>
            <w:bottom w:w="0" w:type="dxa"/>
            <w:right w:w="0" w:type="dxa"/>
          </w:tblCellMar>
        </w:tblPrEx>
        <w:trPr>
          <w:trHeight w:val="3910" w:hRule="atLeast"/>
        </w:trPr>
        <w:tc>
          <w:tcPr>
            <w:tcW w:w="2627" w:type="dxa"/>
            <w:vAlign w:val="top"/>
          </w:tcPr>
          <w:p w14:paraId="242362C4">
            <w:pPr>
              <w:spacing w:before="66"/>
            </w:pPr>
          </w:p>
          <w:tbl>
            <w:tblPr>
              <w:tblStyle w:val="5"/>
              <w:tblW w:w="2370" w:type="dxa"/>
              <w:tblInd w:w="86" w:type="dxa"/>
              <w:tblBorders>
                <w:top w:val="single" w:color="B0D4CC" w:sz="4" w:space="0"/>
                <w:left w:val="single" w:color="B0D4CC" w:sz="4" w:space="0"/>
                <w:bottom w:val="single" w:color="B0D4CC" w:sz="4" w:space="0"/>
                <w:right w:val="single" w:color="B0D4CC" w:sz="4" w:space="0"/>
                <w:insideH w:val="none" w:color="auto" w:sz="0" w:space="0"/>
                <w:insideV w:val="none" w:color="auto" w:sz="0" w:space="0"/>
              </w:tblBorders>
              <w:tblLayout w:type="fixed"/>
              <w:tblCellMar>
                <w:top w:w="0" w:type="dxa"/>
                <w:left w:w="0" w:type="dxa"/>
                <w:bottom w:w="0" w:type="dxa"/>
                <w:right w:w="0" w:type="dxa"/>
              </w:tblCellMar>
            </w:tblPr>
            <w:tblGrid>
              <w:gridCol w:w="2370"/>
            </w:tblGrid>
            <w:tr w14:paraId="15EC02EB">
              <w:tblPrEx>
                <w:tblBorders>
                  <w:top w:val="single" w:color="B0D4CC" w:sz="4" w:space="0"/>
                  <w:left w:val="single" w:color="B0D4CC" w:sz="4" w:space="0"/>
                  <w:bottom w:val="single" w:color="B0D4CC" w:sz="4" w:space="0"/>
                  <w:right w:val="single" w:color="B0D4CC" w:sz="4" w:space="0"/>
                  <w:insideH w:val="none" w:color="auto" w:sz="0" w:space="0"/>
                  <w:insideV w:val="none" w:color="auto" w:sz="0" w:space="0"/>
                </w:tblBorders>
                <w:tblCellMar>
                  <w:top w:w="0" w:type="dxa"/>
                  <w:left w:w="0" w:type="dxa"/>
                  <w:bottom w:w="0" w:type="dxa"/>
                  <w:right w:w="0" w:type="dxa"/>
                </w:tblCellMar>
              </w:tblPrEx>
              <w:trPr>
                <w:trHeight w:val="1377" w:hRule="atLeast"/>
              </w:trPr>
              <w:tc>
                <w:tcPr>
                  <w:tcW w:w="2370" w:type="dxa"/>
                  <w:vAlign w:val="top"/>
                </w:tcPr>
                <w:p w14:paraId="661F9008">
                  <w:pPr>
                    <w:pStyle w:val="6"/>
                    <w:spacing w:before="35" w:line="171" w:lineRule="auto"/>
                    <w:ind w:left="95" w:right="1161"/>
                    <w:jc w:val="both"/>
                    <w:rPr>
                      <w:sz w:val="13"/>
                      <w:szCs w:val="13"/>
                    </w:rPr>
                  </w:pPr>
                  <w:r>
                    <w:rPr>
                      <w:spacing w:val="7"/>
                      <w:sz w:val="13"/>
                      <w:szCs w:val="13"/>
                    </w:rPr>
                    <w:t>数据模型管理办法</w:t>
                  </w:r>
                  <w:r>
                    <w:rPr>
                      <w:spacing w:val="6"/>
                      <w:sz w:val="13"/>
                      <w:szCs w:val="13"/>
                    </w:rPr>
                    <w:t xml:space="preserve"> </w:t>
                  </w:r>
                  <w:r>
                    <w:rPr>
                      <w:spacing w:val="7"/>
                      <w:sz w:val="13"/>
                      <w:szCs w:val="13"/>
                    </w:rPr>
                    <w:t>数据标准管理办法</w:t>
                  </w:r>
                  <w:r>
                    <w:rPr>
                      <w:spacing w:val="6"/>
                      <w:sz w:val="13"/>
                      <w:szCs w:val="13"/>
                    </w:rPr>
                    <w:t xml:space="preserve"> </w:t>
                  </w:r>
                  <w:r>
                    <w:rPr>
                      <w:spacing w:val="7"/>
                      <w:sz w:val="13"/>
                      <w:szCs w:val="13"/>
                    </w:rPr>
                    <w:t>数据质量管理办法</w:t>
                  </w:r>
                  <w:r>
                    <w:rPr>
                      <w:spacing w:val="6"/>
                      <w:sz w:val="13"/>
                      <w:szCs w:val="13"/>
                    </w:rPr>
                    <w:t xml:space="preserve"> </w:t>
                  </w:r>
                  <w:r>
                    <w:rPr>
                      <w:spacing w:val="7"/>
                      <w:sz w:val="13"/>
                      <w:szCs w:val="13"/>
                    </w:rPr>
                    <w:t>主数据管理办法</w:t>
                  </w:r>
                </w:p>
                <w:p w14:paraId="3EF5034E">
                  <w:pPr>
                    <w:spacing w:before="29" w:line="137" w:lineRule="exact"/>
                    <w:ind w:left="95"/>
                  </w:pPr>
                  <w:r>
                    <w:rPr>
                      <w:position w:val="-3"/>
                    </w:rPr>
                    <w:drawing>
                      <wp:inline distT="0" distB="0" distL="0" distR="0">
                        <wp:extent cx="963930" cy="86360"/>
                        <wp:effectExtent l="0" t="0" r="0"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135"/>
                                <a:stretch>
                                  <a:fillRect/>
                                </a:stretch>
                              </pic:blipFill>
                              <pic:spPr>
                                <a:xfrm>
                                  <a:off x="0" y="0"/>
                                  <a:ext cx="964399" cy="86677"/>
                                </a:xfrm>
                                <a:prstGeom prst="rect">
                                  <a:avLst/>
                                </a:prstGeom>
                              </pic:spPr>
                            </pic:pic>
                          </a:graphicData>
                        </a:graphic>
                      </wp:inline>
                    </w:drawing>
                  </w:r>
                </w:p>
                <w:p w14:paraId="07C3FAF1">
                  <w:pPr>
                    <w:pStyle w:val="6"/>
                    <w:spacing w:before="30" w:line="136" w:lineRule="exact"/>
                    <w:ind w:left="96"/>
                    <w:rPr>
                      <w:sz w:val="13"/>
                      <w:szCs w:val="13"/>
                    </w:rPr>
                  </w:pPr>
                  <w:r>
                    <w:rPr>
                      <w:spacing w:val="7"/>
                      <w:sz w:val="13"/>
                      <w:szCs w:val="13"/>
                    </w:rPr>
                    <w:t>元数据管理办法</w:t>
                  </w:r>
                </w:p>
                <w:p w14:paraId="4D6A7909">
                  <w:pPr>
                    <w:pStyle w:val="6"/>
                    <w:spacing w:before="30" w:line="136" w:lineRule="exact"/>
                    <w:ind w:left="95"/>
                    <w:rPr>
                      <w:sz w:val="13"/>
                      <w:szCs w:val="13"/>
                    </w:rPr>
                  </w:pPr>
                  <w:r>
                    <w:rPr>
                      <w:spacing w:val="7"/>
                      <w:sz w:val="13"/>
                      <w:szCs w:val="13"/>
                    </w:rPr>
                    <w:t>数据开发管理办法</w:t>
                  </w:r>
                </w:p>
                <w:p w14:paraId="4CC3817C">
                  <w:pPr>
                    <w:pStyle w:val="6"/>
                    <w:spacing w:before="30" w:line="136" w:lineRule="exact"/>
                    <w:ind w:left="95"/>
                    <w:rPr>
                      <w:sz w:val="13"/>
                      <w:szCs w:val="13"/>
                    </w:rPr>
                  </w:pPr>
                  <w:r>
                    <w:rPr>
                      <w:spacing w:val="8"/>
                      <w:sz w:val="13"/>
                      <w:szCs w:val="13"/>
                    </w:rPr>
                    <w:t>数据生命周期管理办法</w:t>
                  </w:r>
                </w:p>
              </w:tc>
            </w:tr>
          </w:tbl>
          <w:p w14:paraId="08F8FCE4">
            <w:pPr>
              <w:spacing w:line="152" w:lineRule="exact"/>
            </w:pPr>
          </w:p>
          <w:tbl>
            <w:tblPr>
              <w:tblStyle w:val="5"/>
              <w:tblW w:w="2384" w:type="dxa"/>
              <w:tblInd w:w="86" w:type="dxa"/>
              <w:tblBorders>
                <w:top w:val="single" w:color="FFBF00" w:sz="4" w:space="0"/>
                <w:left w:val="single" w:color="FFBF00" w:sz="4" w:space="0"/>
                <w:bottom w:val="single" w:color="FFBF00" w:sz="4" w:space="0"/>
                <w:right w:val="single" w:color="FFBF00" w:sz="4" w:space="0"/>
                <w:insideH w:val="none" w:color="auto" w:sz="0" w:space="0"/>
                <w:insideV w:val="none" w:color="auto" w:sz="0" w:space="0"/>
              </w:tblBorders>
              <w:tblLayout w:type="fixed"/>
              <w:tblCellMar>
                <w:top w:w="0" w:type="dxa"/>
                <w:left w:w="0" w:type="dxa"/>
                <w:bottom w:w="0" w:type="dxa"/>
                <w:right w:w="0" w:type="dxa"/>
              </w:tblCellMar>
            </w:tblPr>
            <w:tblGrid>
              <w:gridCol w:w="2384"/>
            </w:tblGrid>
            <w:tr w14:paraId="678664CF">
              <w:tblPrEx>
                <w:tblBorders>
                  <w:top w:val="single" w:color="FFBF00" w:sz="4" w:space="0"/>
                  <w:left w:val="single" w:color="FFBF00" w:sz="4" w:space="0"/>
                  <w:bottom w:val="single" w:color="FFBF00" w:sz="4" w:space="0"/>
                  <w:right w:val="single" w:color="FFBF00" w:sz="4" w:space="0"/>
                  <w:insideH w:val="none" w:color="auto" w:sz="0" w:space="0"/>
                  <w:insideV w:val="none" w:color="auto" w:sz="0" w:space="0"/>
                </w:tblBorders>
                <w:tblCellMar>
                  <w:top w:w="0" w:type="dxa"/>
                  <w:left w:w="0" w:type="dxa"/>
                  <w:bottom w:w="0" w:type="dxa"/>
                  <w:right w:w="0" w:type="dxa"/>
                </w:tblCellMar>
              </w:tblPrEx>
              <w:trPr>
                <w:trHeight w:val="1059" w:hRule="atLeast"/>
              </w:trPr>
              <w:tc>
                <w:tcPr>
                  <w:tcW w:w="2384" w:type="dxa"/>
                  <w:vAlign w:val="top"/>
                </w:tcPr>
                <w:p w14:paraId="5B410CE5">
                  <w:pPr>
                    <w:pStyle w:val="6"/>
                    <w:spacing w:before="50" w:line="135" w:lineRule="exact"/>
                    <w:ind w:left="97"/>
                    <w:rPr>
                      <w:sz w:val="13"/>
                      <w:szCs w:val="13"/>
                    </w:rPr>
                  </w:pPr>
                  <w:r>
                    <w:rPr>
                      <w:spacing w:val="7"/>
                      <w:sz w:val="13"/>
                      <w:szCs w:val="13"/>
                    </w:rPr>
                    <w:t>数据需求管理办法</w:t>
                  </w:r>
                </w:p>
                <w:p w14:paraId="1D63BF48">
                  <w:pPr>
                    <w:pStyle w:val="6"/>
                    <w:spacing w:before="29" w:line="163" w:lineRule="auto"/>
                    <w:ind w:left="97" w:right="508"/>
                    <w:rPr>
                      <w:sz w:val="13"/>
                      <w:szCs w:val="13"/>
                    </w:rPr>
                  </w:pPr>
                  <w:r>
                    <w:rPr>
                      <w:spacing w:val="6"/>
                      <w:sz w:val="13"/>
                      <w:szCs w:val="13"/>
                    </w:rPr>
                    <w:t>数据服务/应用/产品管理办法</w:t>
                  </w:r>
                  <w:r>
                    <w:rPr>
                      <w:spacing w:val="11"/>
                      <w:w w:val="102"/>
                      <w:sz w:val="13"/>
                      <w:szCs w:val="13"/>
                    </w:rPr>
                    <w:t xml:space="preserve"> </w:t>
                  </w:r>
                  <w:r>
                    <w:rPr>
                      <w:spacing w:val="7"/>
                      <w:sz w:val="13"/>
                      <w:szCs w:val="13"/>
                    </w:rPr>
                    <w:t>数据共享/开放管理办法</w:t>
                  </w:r>
                </w:p>
                <w:p w14:paraId="7291A7BA">
                  <w:pPr>
                    <w:pStyle w:val="6"/>
                    <w:spacing w:before="31" w:line="162" w:lineRule="auto"/>
                    <w:ind w:left="97" w:right="481"/>
                    <w:rPr>
                      <w:sz w:val="13"/>
                      <w:szCs w:val="13"/>
                    </w:rPr>
                  </w:pPr>
                  <w:r>
                    <w:rPr>
                      <w:spacing w:val="8"/>
                      <w:sz w:val="13"/>
                      <w:szCs w:val="13"/>
                    </w:rPr>
                    <w:t>数据交易和外部数据管理办法</w:t>
                  </w:r>
                  <w:r>
                    <w:rPr>
                      <w:sz w:val="13"/>
                      <w:szCs w:val="13"/>
                    </w:rPr>
                    <w:t xml:space="preserve"> </w:t>
                  </w:r>
                  <w:r>
                    <w:rPr>
                      <w:spacing w:val="8"/>
                      <w:sz w:val="13"/>
                      <w:szCs w:val="13"/>
                    </w:rPr>
                    <w:t>数据资产价值管理办法</w:t>
                  </w:r>
                </w:p>
                <w:p w14:paraId="3D8C7AC3">
                  <w:pPr>
                    <w:pStyle w:val="6"/>
                    <w:spacing w:before="29" w:line="137" w:lineRule="exact"/>
                    <w:ind w:left="97"/>
                    <w:rPr>
                      <w:sz w:val="13"/>
                      <w:szCs w:val="13"/>
                    </w:rPr>
                  </w:pPr>
                  <w:r>
                    <w:rPr>
                      <w:spacing w:val="8"/>
                      <w:sz w:val="13"/>
                      <w:szCs w:val="13"/>
                    </w:rPr>
                    <w:t>数据资产运营管理办法</w:t>
                  </w:r>
                </w:p>
              </w:tc>
            </w:tr>
          </w:tbl>
          <w:p w14:paraId="6D6A4B98">
            <w:pPr>
              <w:spacing w:line="124" w:lineRule="exact"/>
            </w:pPr>
          </w:p>
          <w:tbl>
            <w:tblPr>
              <w:tblStyle w:val="5"/>
              <w:tblW w:w="2384" w:type="dxa"/>
              <w:tblInd w:w="86" w:type="dxa"/>
              <w:tblBorders>
                <w:top w:val="single" w:color="3D3D3D" w:sz="4" w:space="0"/>
                <w:left w:val="single" w:color="3D3D3D" w:sz="4" w:space="0"/>
                <w:bottom w:val="single" w:color="3D3D3D" w:sz="4" w:space="0"/>
                <w:right w:val="single" w:color="3D3D3D" w:sz="4" w:space="0"/>
                <w:insideH w:val="none" w:color="auto" w:sz="0" w:space="0"/>
                <w:insideV w:val="none" w:color="auto" w:sz="0" w:space="0"/>
              </w:tblBorders>
              <w:tblLayout w:type="fixed"/>
              <w:tblCellMar>
                <w:top w:w="0" w:type="dxa"/>
                <w:left w:w="0" w:type="dxa"/>
                <w:bottom w:w="0" w:type="dxa"/>
                <w:right w:w="0" w:type="dxa"/>
              </w:tblCellMar>
            </w:tblPr>
            <w:tblGrid>
              <w:gridCol w:w="2384"/>
            </w:tblGrid>
            <w:tr w14:paraId="6A915CD7">
              <w:tblPrEx>
                <w:tblBorders>
                  <w:top w:val="single" w:color="3D3D3D" w:sz="4" w:space="0"/>
                  <w:left w:val="single" w:color="3D3D3D" w:sz="4" w:space="0"/>
                  <w:bottom w:val="single" w:color="3D3D3D" w:sz="4" w:space="0"/>
                  <w:right w:val="single" w:color="3D3D3D" w:sz="4" w:space="0"/>
                  <w:insideH w:val="none" w:color="auto" w:sz="0" w:space="0"/>
                  <w:insideV w:val="none" w:color="auto" w:sz="0" w:space="0"/>
                </w:tblBorders>
                <w:tblCellMar>
                  <w:top w:w="0" w:type="dxa"/>
                  <w:left w:w="0" w:type="dxa"/>
                  <w:bottom w:w="0" w:type="dxa"/>
                  <w:right w:w="0" w:type="dxa"/>
                </w:tblCellMar>
              </w:tblPrEx>
              <w:trPr>
                <w:trHeight w:val="782" w:hRule="atLeast"/>
              </w:trPr>
              <w:tc>
                <w:tcPr>
                  <w:tcW w:w="2384" w:type="dxa"/>
                  <w:vAlign w:val="top"/>
                </w:tcPr>
                <w:p w14:paraId="0003904E">
                  <w:pPr>
                    <w:pStyle w:val="6"/>
                    <w:spacing w:before="73" w:line="136" w:lineRule="exact"/>
                    <w:ind w:left="97"/>
                    <w:rPr>
                      <w:sz w:val="13"/>
                      <w:szCs w:val="13"/>
                    </w:rPr>
                  </w:pPr>
                  <w:r>
                    <w:rPr>
                      <w:spacing w:val="8"/>
                      <w:sz w:val="13"/>
                      <w:szCs w:val="13"/>
                    </w:rPr>
                    <w:t>数据资产管理考核与问责管理办法</w:t>
                  </w:r>
                </w:p>
                <w:p w14:paraId="45EA35B9">
                  <w:pPr>
                    <w:pStyle w:val="6"/>
                    <w:spacing w:before="29" w:line="163" w:lineRule="auto"/>
                    <w:ind w:left="97" w:right="481"/>
                    <w:rPr>
                      <w:sz w:val="13"/>
                      <w:szCs w:val="13"/>
                    </w:rPr>
                  </w:pPr>
                  <w:r>
                    <w:rPr>
                      <w:spacing w:val="8"/>
                      <w:sz w:val="13"/>
                      <w:szCs w:val="13"/>
                    </w:rPr>
                    <w:t>数据资产管理自评估管理办法</w:t>
                  </w:r>
                  <w:r>
                    <w:rPr>
                      <w:sz w:val="13"/>
                      <w:szCs w:val="13"/>
                    </w:rPr>
                    <w:t xml:space="preserve"> </w:t>
                  </w:r>
                  <w:r>
                    <w:rPr>
                      <w:spacing w:val="8"/>
                      <w:sz w:val="13"/>
                      <w:szCs w:val="13"/>
                    </w:rPr>
                    <w:t>数据资产管理审计管理办法</w:t>
                  </w:r>
                </w:p>
                <w:p w14:paraId="7BBCABC1">
                  <w:pPr>
                    <w:pStyle w:val="6"/>
                    <w:spacing w:before="29" w:line="137" w:lineRule="exact"/>
                    <w:ind w:left="97"/>
                    <w:rPr>
                      <w:sz w:val="13"/>
                      <w:szCs w:val="13"/>
                    </w:rPr>
                  </w:pPr>
                  <w:r>
                    <w:rPr>
                      <w:spacing w:val="8"/>
                      <w:sz w:val="13"/>
                      <w:szCs w:val="13"/>
                    </w:rPr>
                    <w:t>数据素养与数字技能管理办法</w:t>
                  </w:r>
                </w:p>
              </w:tc>
            </w:tr>
          </w:tbl>
          <w:p w14:paraId="5E778BA1">
            <w:pPr>
              <w:spacing w:line="34" w:lineRule="exact"/>
              <w:rPr>
                <w:rFonts w:ascii="Arial"/>
                <w:sz w:val="3"/>
              </w:rPr>
            </w:pPr>
          </w:p>
        </w:tc>
      </w:tr>
    </w:tbl>
    <w:p w14:paraId="72FBDDB7">
      <w:pPr>
        <w:pStyle w:val="2"/>
        <w:spacing w:before="97"/>
        <w:ind w:left="2018"/>
      </w:pPr>
      <w:r>
        <w:rPr>
          <w:position w:val="-8"/>
        </w:rPr>
        <w:drawing>
          <wp:inline distT="0" distB="0" distL="0" distR="0">
            <wp:extent cx="394970" cy="105410"/>
            <wp:effectExtent l="0" t="0" r="0" b="0"/>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136"/>
                    <a:stretch>
                      <a:fillRect/>
                    </a:stretch>
                  </pic:blipFill>
                  <pic:spPr>
                    <a:xfrm>
                      <a:off x="0" y="0"/>
                      <a:ext cx="395477" cy="105460"/>
                    </a:xfrm>
                    <a:prstGeom prst="rect">
                      <a:avLst/>
                    </a:prstGeom>
                  </pic:spPr>
                </pic:pic>
              </a:graphicData>
            </a:graphic>
          </wp:inline>
        </w:drawing>
      </w:r>
      <w:r>
        <w:rPr>
          <w:spacing w:val="5"/>
          <w:position w:val="-8"/>
        </w:rPr>
        <w:t xml:space="preserve">  </w:t>
      </w:r>
      <w:r>
        <w:rPr>
          <w:position w:val="-8"/>
        </w:rPr>
        <w:drawing>
          <wp:inline distT="0" distB="0" distL="0" distR="0">
            <wp:extent cx="436880" cy="86360"/>
            <wp:effectExtent l="0" t="0" r="0" b="0"/>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137"/>
                    <a:stretch>
                      <a:fillRect/>
                    </a:stretch>
                  </pic:blipFill>
                  <pic:spPr>
                    <a:xfrm>
                      <a:off x="0" y="0"/>
                      <a:ext cx="437438" cy="86677"/>
                    </a:xfrm>
                    <a:prstGeom prst="rect">
                      <a:avLst/>
                    </a:prstGeom>
                  </pic:spPr>
                </pic:pic>
              </a:graphicData>
            </a:graphic>
          </wp:inline>
        </w:drawing>
      </w:r>
      <w:r>
        <w:rPr>
          <w:spacing w:val="1"/>
          <w:position w:val="-8"/>
        </w:rPr>
        <w:t xml:space="preserve">            </w:t>
      </w:r>
      <w:r>
        <w:rPr>
          <w:position w:val="-8"/>
        </w:rPr>
        <w:drawing>
          <wp:inline distT="0" distB="0" distL="0" distR="0">
            <wp:extent cx="403860" cy="105410"/>
            <wp:effectExtent l="0" t="0" r="0" b="0"/>
            <wp:docPr id="218" name="IM 218"/>
            <wp:cNvGraphicFramePr/>
            <a:graphic xmlns:a="http://schemas.openxmlformats.org/drawingml/2006/main">
              <a:graphicData uri="http://schemas.openxmlformats.org/drawingml/2006/picture">
                <pic:pic xmlns:pic="http://schemas.openxmlformats.org/drawingml/2006/picture">
                  <pic:nvPicPr>
                    <pic:cNvPr id="218" name="IM 218"/>
                    <pic:cNvPicPr/>
                  </pic:nvPicPr>
                  <pic:blipFill>
                    <a:blip r:embed="rId138"/>
                    <a:stretch>
                      <a:fillRect/>
                    </a:stretch>
                  </pic:blipFill>
                  <pic:spPr>
                    <a:xfrm>
                      <a:off x="0" y="0"/>
                      <a:ext cx="404266" cy="105460"/>
                    </a:xfrm>
                    <a:prstGeom prst="rect">
                      <a:avLst/>
                    </a:prstGeom>
                  </pic:spPr>
                </pic:pic>
              </a:graphicData>
            </a:graphic>
          </wp:inline>
        </w:drawing>
      </w:r>
      <w:r>
        <w:rPr>
          <w:spacing w:val="55"/>
          <w:w w:val="101"/>
          <w:position w:val="-8"/>
        </w:rPr>
        <w:t xml:space="preserve"> </w:t>
      </w:r>
      <w:r>
        <w:rPr>
          <w:position w:val="-8"/>
        </w:rPr>
        <w:drawing>
          <wp:inline distT="0" distB="0" distL="0" distR="0">
            <wp:extent cx="436880" cy="86360"/>
            <wp:effectExtent l="0" t="0" r="0" b="0"/>
            <wp:docPr id="220" name="IM 220"/>
            <wp:cNvGraphicFramePr/>
            <a:graphic xmlns:a="http://schemas.openxmlformats.org/drawingml/2006/main">
              <a:graphicData uri="http://schemas.openxmlformats.org/drawingml/2006/picture">
                <pic:pic xmlns:pic="http://schemas.openxmlformats.org/drawingml/2006/picture">
                  <pic:nvPicPr>
                    <pic:cNvPr id="220" name="IM 220"/>
                    <pic:cNvPicPr/>
                  </pic:nvPicPr>
                  <pic:blipFill>
                    <a:blip r:embed="rId139"/>
                    <a:stretch>
                      <a:fillRect/>
                    </a:stretch>
                  </pic:blipFill>
                  <pic:spPr>
                    <a:xfrm>
                      <a:off x="0" y="0"/>
                      <a:ext cx="437438" cy="86677"/>
                    </a:xfrm>
                    <a:prstGeom prst="rect">
                      <a:avLst/>
                    </a:prstGeom>
                  </pic:spPr>
                </pic:pic>
              </a:graphicData>
            </a:graphic>
          </wp:inline>
        </w:drawing>
      </w:r>
    </w:p>
    <w:p w14:paraId="4668D1BA">
      <w:pPr>
        <w:pStyle w:val="2"/>
        <w:spacing w:line="14" w:lineRule="auto"/>
        <w:rPr>
          <w:sz w:val="2"/>
        </w:rPr>
      </w:pPr>
      <w:r>
        <w:rPr>
          <w:sz w:val="2"/>
          <w:szCs w:val="2"/>
        </w:rPr>
        <w:br w:type="column"/>
      </w:r>
      <w:r>
        <w:drawing>
          <wp:anchor distT="0" distB="0" distL="0" distR="0" simplePos="0" relativeHeight="251844608" behindDoc="0" locked="0" layoutInCell="1" allowOverlap="1">
            <wp:simplePos x="0" y="0"/>
            <wp:positionH relativeFrom="column">
              <wp:posOffset>60960</wp:posOffset>
            </wp:positionH>
            <wp:positionV relativeFrom="paragraph">
              <wp:posOffset>2557145</wp:posOffset>
            </wp:positionV>
            <wp:extent cx="404495" cy="105410"/>
            <wp:effectExtent l="0" t="0" r="0" b="0"/>
            <wp:wrapNone/>
            <wp:docPr id="222" name="IM 222"/>
            <wp:cNvGraphicFramePr/>
            <a:graphic xmlns:a="http://schemas.openxmlformats.org/drawingml/2006/main">
              <a:graphicData uri="http://schemas.openxmlformats.org/drawingml/2006/picture">
                <pic:pic xmlns:pic="http://schemas.openxmlformats.org/drawingml/2006/picture">
                  <pic:nvPicPr>
                    <pic:cNvPr id="222" name="IM 222"/>
                    <pic:cNvPicPr/>
                  </pic:nvPicPr>
                  <pic:blipFill>
                    <a:blip r:embed="rId140"/>
                    <a:stretch>
                      <a:fillRect/>
                    </a:stretch>
                  </pic:blipFill>
                  <pic:spPr>
                    <a:xfrm>
                      <a:off x="0" y="0"/>
                      <a:ext cx="404266" cy="105460"/>
                    </a:xfrm>
                    <a:prstGeom prst="rect">
                      <a:avLst/>
                    </a:prstGeom>
                  </pic:spPr>
                </pic:pic>
              </a:graphicData>
            </a:graphic>
          </wp:anchor>
        </w:drawing>
      </w:r>
    </w:p>
    <w:tbl>
      <w:tblPr>
        <w:tblStyle w:val="5"/>
        <w:tblW w:w="3062" w:type="dxa"/>
        <w:tblInd w:w="5" w:type="dxa"/>
        <w:tblBorders>
          <w:top w:val="single" w:color="1A1A1A" w:sz="2" w:space="0"/>
          <w:left w:val="single" w:color="1A1A1A" w:sz="4" w:space="0"/>
          <w:bottom w:val="single" w:color="1A1A1A" w:sz="2" w:space="0"/>
          <w:right w:val="single" w:color="1A1A1A" w:sz="4" w:space="0"/>
          <w:insideH w:val="none" w:color="auto" w:sz="0" w:space="0"/>
          <w:insideV w:val="none" w:color="auto" w:sz="0" w:space="0"/>
        </w:tblBorders>
        <w:tblLayout w:type="fixed"/>
        <w:tblCellMar>
          <w:top w:w="0" w:type="dxa"/>
          <w:left w:w="0" w:type="dxa"/>
          <w:bottom w:w="0" w:type="dxa"/>
          <w:right w:w="0" w:type="dxa"/>
        </w:tblCellMar>
      </w:tblPr>
      <w:tblGrid>
        <w:gridCol w:w="3062"/>
      </w:tblGrid>
      <w:tr w14:paraId="010A305D">
        <w:tblPrEx>
          <w:tblBorders>
            <w:top w:val="single" w:color="1A1A1A" w:sz="2" w:space="0"/>
            <w:left w:val="single" w:color="1A1A1A" w:sz="4" w:space="0"/>
            <w:bottom w:val="single" w:color="1A1A1A" w:sz="2" w:space="0"/>
            <w:right w:val="single" w:color="1A1A1A" w:sz="4" w:space="0"/>
            <w:insideH w:val="none" w:color="auto" w:sz="0" w:space="0"/>
            <w:insideV w:val="none" w:color="auto" w:sz="0" w:space="0"/>
          </w:tblBorders>
          <w:tblCellMar>
            <w:top w:w="0" w:type="dxa"/>
            <w:left w:w="0" w:type="dxa"/>
            <w:bottom w:w="0" w:type="dxa"/>
            <w:right w:w="0" w:type="dxa"/>
          </w:tblCellMar>
        </w:tblPrEx>
        <w:trPr>
          <w:trHeight w:val="3919" w:hRule="atLeast"/>
        </w:trPr>
        <w:tc>
          <w:tcPr>
            <w:tcW w:w="3062" w:type="dxa"/>
            <w:vAlign w:val="top"/>
          </w:tcPr>
          <w:p w14:paraId="136FDDA2">
            <w:pPr>
              <w:spacing w:line="78" w:lineRule="exact"/>
            </w:pPr>
          </w:p>
          <w:tbl>
            <w:tblPr>
              <w:tblStyle w:val="5"/>
              <w:tblW w:w="2827" w:type="dxa"/>
              <w:tblInd w:w="105" w:type="dxa"/>
              <w:tblBorders>
                <w:top w:val="single" w:color="B0D4CC" w:sz="2" w:space="0"/>
                <w:left w:val="single" w:color="B0D4CC" w:sz="4" w:space="0"/>
                <w:bottom w:val="single" w:color="B0D4CC" w:sz="2" w:space="0"/>
                <w:right w:val="single" w:color="B0D4CC" w:sz="4" w:space="0"/>
                <w:insideH w:val="none" w:color="auto" w:sz="0" w:space="0"/>
                <w:insideV w:val="none" w:color="auto" w:sz="0" w:space="0"/>
              </w:tblBorders>
              <w:tblLayout w:type="fixed"/>
              <w:tblCellMar>
                <w:top w:w="0" w:type="dxa"/>
                <w:left w:w="0" w:type="dxa"/>
                <w:bottom w:w="0" w:type="dxa"/>
                <w:right w:w="0" w:type="dxa"/>
              </w:tblCellMar>
            </w:tblPr>
            <w:tblGrid>
              <w:gridCol w:w="2827"/>
            </w:tblGrid>
            <w:tr w14:paraId="2659DAEA">
              <w:tblPrEx>
                <w:tblBorders>
                  <w:top w:val="single" w:color="B0D4CC" w:sz="2" w:space="0"/>
                  <w:left w:val="single" w:color="B0D4CC" w:sz="4" w:space="0"/>
                  <w:bottom w:val="single" w:color="B0D4CC" w:sz="2" w:space="0"/>
                  <w:right w:val="single" w:color="B0D4CC" w:sz="4" w:space="0"/>
                  <w:insideH w:val="none" w:color="auto" w:sz="0" w:space="0"/>
                  <w:insideV w:val="none" w:color="auto" w:sz="0" w:space="0"/>
                </w:tblBorders>
                <w:tblCellMar>
                  <w:top w:w="0" w:type="dxa"/>
                  <w:left w:w="0" w:type="dxa"/>
                  <w:bottom w:w="0" w:type="dxa"/>
                  <w:right w:w="0" w:type="dxa"/>
                </w:tblCellMar>
              </w:tblPrEx>
              <w:trPr>
                <w:trHeight w:val="1774" w:hRule="atLeast"/>
              </w:trPr>
              <w:tc>
                <w:tcPr>
                  <w:tcW w:w="2827" w:type="dxa"/>
                  <w:vAlign w:val="top"/>
                </w:tcPr>
                <w:p w14:paraId="7FF86CAA">
                  <w:pPr>
                    <w:pStyle w:val="6"/>
                    <w:spacing w:before="74" w:line="136" w:lineRule="exact"/>
                    <w:ind w:left="94"/>
                    <w:rPr>
                      <w:sz w:val="13"/>
                      <w:szCs w:val="13"/>
                    </w:rPr>
                  </w:pPr>
                  <w:r>
                    <w:rPr>
                      <w:spacing w:val="7"/>
                      <w:sz w:val="13"/>
                      <w:szCs w:val="13"/>
                    </w:rPr>
                    <w:t>组织级数据模型</w:t>
                  </w:r>
                </w:p>
                <w:p w14:paraId="7CBD1B68">
                  <w:pPr>
                    <w:pStyle w:val="6"/>
                    <w:spacing w:before="29" w:line="137" w:lineRule="exact"/>
                    <w:ind w:left="93"/>
                    <w:rPr>
                      <w:sz w:val="13"/>
                      <w:szCs w:val="13"/>
                    </w:rPr>
                  </w:pPr>
                  <w:r>
                    <w:rPr>
                      <w:spacing w:val="7"/>
                      <w:sz w:val="13"/>
                      <w:szCs w:val="13"/>
                    </w:rPr>
                    <w:t>数据架构/分布/模型设计与开发标准</w:t>
                  </w:r>
                </w:p>
                <w:p w14:paraId="384F8EC9">
                  <w:pPr>
                    <w:pStyle w:val="6"/>
                    <w:spacing w:before="29" w:line="163" w:lineRule="auto"/>
                    <w:ind w:left="93" w:right="234"/>
                    <w:rPr>
                      <w:sz w:val="13"/>
                      <w:szCs w:val="13"/>
                    </w:rPr>
                  </w:pPr>
                  <w:r>
                    <w:rPr>
                      <w:spacing w:val="5"/>
                      <w:sz w:val="13"/>
                      <w:szCs w:val="13"/>
                    </w:rPr>
                    <w:t>数据标准需求表、</w:t>
                  </w:r>
                  <w:r>
                    <w:rPr>
                      <w:spacing w:val="18"/>
                      <w:w w:val="102"/>
                      <w:sz w:val="13"/>
                      <w:szCs w:val="13"/>
                    </w:rPr>
                    <w:t xml:space="preserve"> </w:t>
                  </w:r>
                  <w:r>
                    <w:rPr>
                      <w:spacing w:val="5"/>
                      <w:sz w:val="13"/>
                      <w:szCs w:val="13"/>
                    </w:rPr>
                    <w:t>数据元目录与开发模板</w:t>
                  </w:r>
                  <w:r>
                    <w:rPr>
                      <w:sz w:val="13"/>
                      <w:szCs w:val="13"/>
                    </w:rPr>
                    <w:t xml:space="preserve"> </w:t>
                  </w:r>
                  <w:r>
                    <w:rPr>
                      <w:spacing w:val="1"/>
                      <w:sz w:val="13"/>
                      <w:szCs w:val="13"/>
                    </w:rPr>
                    <w:t>数据质量规则需求表、  过程管理、 质量分</w:t>
                  </w:r>
                </w:p>
                <w:p w14:paraId="46B92732">
                  <w:pPr>
                    <w:pStyle w:val="6"/>
                    <w:spacing w:before="29" w:line="136" w:lineRule="exact"/>
                    <w:ind w:left="93"/>
                    <w:rPr>
                      <w:sz w:val="13"/>
                      <w:szCs w:val="13"/>
                    </w:rPr>
                  </w:pPr>
                  <w:r>
                    <w:rPr>
                      <w:spacing w:val="3"/>
                      <w:sz w:val="13"/>
                      <w:szCs w:val="13"/>
                    </w:rPr>
                    <w:t>析模板、 专项提升方案</w:t>
                  </w:r>
                </w:p>
                <w:p w14:paraId="52018A09">
                  <w:pPr>
                    <w:pStyle w:val="6"/>
                    <w:spacing w:before="29" w:line="137" w:lineRule="exact"/>
                    <w:ind w:left="95"/>
                    <w:rPr>
                      <w:sz w:val="13"/>
                      <w:szCs w:val="13"/>
                    </w:rPr>
                  </w:pPr>
                  <w:r>
                    <w:rPr>
                      <w:spacing w:val="2"/>
                      <w:sz w:val="13"/>
                      <w:szCs w:val="13"/>
                    </w:rPr>
                    <w:t>主数据分布表、</w:t>
                  </w:r>
                  <w:r>
                    <w:rPr>
                      <w:spacing w:val="24"/>
                      <w:w w:val="102"/>
                      <w:sz w:val="13"/>
                      <w:szCs w:val="13"/>
                    </w:rPr>
                    <w:t xml:space="preserve"> </w:t>
                  </w:r>
                  <w:r>
                    <w:rPr>
                      <w:spacing w:val="2"/>
                      <w:sz w:val="13"/>
                      <w:szCs w:val="13"/>
                    </w:rPr>
                    <w:t>开发标准</w:t>
                  </w:r>
                </w:p>
                <w:p w14:paraId="6AE84900">
                  <w:pPr>
                    <w:pStyle w:val="6"/>
                    <w:spacing w:before="29" w:line="163" w:lineRule="auto"/>
                    <w:ind w:left="93" w:right="790"/>
                    <w:rPr>
                      <w:sz w:val="13"/>
                      <w:szCs w:val="13"/>
                    </w:rPr>
                  </w:pPr>
                  <w:r>
                    <w:rPr>
                      <w:spacing w:val="3"/>
                      <w:sz w:val="13"/>
                      <w:szCs w:val="13"/>
                    </w:rPr>
                    <w:t>数据安全需求表、</w:t>
                  </w:r>
                  <w:r>
                    <w:rPr>
                      <w:spacing w:val="32"/>
                      <w:sz w:val="13"/>
                      <w:szCs w:val="13"/>
                    </w:rPr>
                    <w:t xml:space="preserve"> </w:t>
                  </w:r>
                  <w:r>
                    <w:rPr>
                      <w:spacing w:val="3"/>
                      <w:sz w:val="13"/>
                      <w:szCs w:val="13"/>
                    </w:rPr>
                    <w:t>分类分级清单</w:t>
                  </w:r>
                  <w:r>
                    <w:rPr>
                      <w:sz w:val="13"/>
                      <w:szCs w:val="13"/>
                    </w:rPr>
                    <w:t xml:space="preserve"> </w:t>
                  </w:r>
                  <w:r>
                    <w:rPr>
                      <w:spacing w:val="6"/>
                      <w:sz w:val="13"/>
                      <w:szCs w:val="13"/>
                    </w:rPr>
                    <w:t>元模型、</w:t>
                  </w:r>
                  <w:r>
                    <w:rPr>
                      <w:spacing w:val="-18"/>
                      <w:sz w:val="13"/>
                      <w:szCs w:val="13"/>
                    </w:rPr>
                    <w:t xml:space="preserve"> </w:t>
                  </w:r>
                  <w:r>
                    <w:rPr>
                      <w:spacing w:val="6"/>
                      <w:sz w:val="13"/>
                      <w:szCs w:val="13"/>
                    </w:rPr>
                    <w:t>元数据开发规范</w:t>
                  </w:r>
                </w:p>
                <w:p w14:paraId="2BA6D524">
                  <w:pPr>
                    <w:pStyle w:val="6"/>
                    <w:spacing w:before="29" w:line="163" w:lineRule="auto"/>
                    <w:ind w:left="93" w:right="236"/>
                    <w:rPr>
                      <w:sz w:val="13"/>
                      <w:szCs w:val="13"/>
                    </w:rPr>
                  </w:pPr>
                  <w:r>
                    <w:rPr>
                      <w:spacing w:val="3"/>
                      <w:sz w:val="13"/>
                      <w:szCs w:val="13"/>
                    </w:rPr>
                    <w:t>数据开发操作规范、  数据仓库运维检查单</w:t>
                  </w:r>
                  <w:r>
                    <w:rPr>
                      <w:spacing w:val="9"/>
                      <w:sz w:val="13"/>
                      <w:szCs w:val="13"/>
                    </w:rPr>
                    <w:t xml:space="preserve"> </w:t>
                  </w:r>
                  <w:r>
                    <w:rPr>
                      <w:spacing w:val="8"/>
                      <w:sz w:val="13"/>
                      <w:szCs w:val="13"/>
                    </w:rPr>
                    <w:t>数据资产管理平台用户手册</w:t>
                  </w:r>
                </w:p>
              </w:tc>
            </w:tr>
          </w:tbl>
          <w:p w14:paraId="7E6C7AC1">
            <w:pPr>
              <w:spacing w:line="96" w:lineRule="exact"/>
            </w:pPr>
          </w:p>
          <w:tbl>
            <w:tblPr>
              <w:tblStyle w:val="5"/>
              <w:tblW w:w="2841" w:type="dxa"/>
              <w:tblInd w:w="105" w:type="dxa"/>
              <w:tblBorders>
                <w:top w:val="single" w:color="FFBF00" w:sz="2" w:space="0"/>
                <w:left w:val="single" w:color="FFBF00" w:sz="4" w:space="0"/>
                <w:bottom w:val="single" w:color="FFBF00" w:sz="2" w:space="0"/>
                <w:right w:val="single" w:color="FFBF00" w:sz="4" w:space="0"/>
                <w:insideH w:val="none" w:color="auto" w:sz="0" w:space="0"/>
                <w:insideV w:val="none" w:color="auto" w:sz="0" w:space="0"/>
              </w:tblBorders>
              <w:tblLayout w:type="fixed"/>
              <w:tblCellMar>
                <w:top w:w="0" w:type="dxa"/>
                <w:left w:w="0" w:type="dxa"/>
                <w:bottom w:w="0" w:type="dxa"/>
                <w:right w:w="0" w:type="dxa"/>
              </w:tblCellMar>
            </w:tblPr>
            <w:tblGrid>
              <w:gridCol w:w="2841"/>
            </w:tblGrid>
            <w:tr w14:paraId="1C359148">
              <w:tblPrEx>
                <w:tblBorders>
                  <w:top w:val="single" w:color="FFBF00" w:sz="2" w:space="0"/>
                  <w:left w:val="single" w:color="FFBF00" w:sz="4" w:space="0"/>
                  <w:bottom w:val="single" w:color="FFBF00" w:sz="2" w:space="0"/>
                  <w:right w:val="single" w:color="FFBF00" w:sz="4" w:space="0"/>
                  <w:insideH w:val="none" w:color="auto" w:sz="0" w:space="0"/>
                  <w:insideV w:val="none" w:color="auto" w:sz="0" w:space="0"/>
                </w:tblBorders>
                <w:tblCellMar>
                  <w:top w:w="0" w:type="dxa"/>
                  <w:left w:w="0" w:type="dxa"/>
                  <w:bottom w:w="0" w:type="dxa"/>
                  <w:right w:w="0" w:type="dxa"/>
                </w:tblCellMar>
              </w:tblPrEx>
              <w:trPr>
                <w:trHeight w:val="930" w:hRule="atLeast"/>
              </w:trPr>
              <w:tc>
                <w:tcPr>
                  <w:tcW w:w="2841" w:type="dxa"/>
                  <w:vAlign w:val="top"/>
                </w:tcPr>
                <w:p w14:paraId="6527E644">
                  <w:pPr>
                    <w:spacing w:before="64" w:line="136" w:lineRule="exact"/>
                    <w:ind w:left="93"/>
                  </w:pPr>
                  <w:r>
                    <w:rPr>
                      <w:position w:val="-3"/>
                    </w:rPr>
                    <w:drawing>
                      <wp:inline distT="0" distB="0" distL="0" distR="0">
                        <wp:extent cx="1474470" cy="86360"/>
                        <wp:effectExtent l="0" t="0" r="0" b="0"/>
                        <wp:docPr id="224" name="IM 224"/>
                        <wp:cNvGraphicFramePr/>
                        <a:graphic xmlns:a="http://schemas.openxmlformats.org/drawingml/2006/main">
                          <a:graphicData uri="http://schemas.openxmlformats.org/drawingml/2006/picture">
                            <pic:pic xmlns:pic="http://schemas.openxmlformats.org/drawingml/2006/picture">
                              <pic:nvPicPr>
                                <pic:cNvPr id="224" name="IM 224"/>
                                <pic:cNvPicPr/>
                              </pic:nvPicPr>
                              <pic:blipFill>
                                <a:blip r:embed="rId141"/>
                                <a:stretch>
                                  <a:fillRect/>
                                </a:stretch>
                              </pic:blipFill>
                              <pic:spPr>
                                <a:xfrm>
                                  <a:off x="0" y="0"/>
                                  <a:ext cx="1474470" cy="86735"/>
                                </a:xfrm>
                                <a:prstGeom prst="rect">
                                  <a:avLst/>
                                </a:prstGeom>
                              </pic:spPr>
                            </pic:pic>
                          </a:graphicData>
                        </a:graphic>
                      </wp:inline>
                    </w:drawing>
                  </w:r>
                </w:p>
                <w:p w14:paraId="1A043074">
                  <w:pPr>
                    <w:pStyle w:val="6"/>
                    <w:spacing w:before="29" w:line="137" w:lineRule="exact"/>
                    <w:ind w:left="93"/>
                    <w:rPr>
                      <w:sz w:val="13"/>
                      <w:szCs w:val="13"/>
                    </w:rPr>
                  </w:pPr>
                  <w:r>
                    <w:rPr>
                      <w:spacing w:val="8"/>
                      <w:sz w:val="13"/>
                      <w:szCs w:val="13"/>
                    </w:rPr>
                    <w:t>外部数据需求申请表</w:t>
                  </w:r>
                </w:p>
                <w:p w14:paraId="79D4C1DB">
                  <w:pPr>
                    <w:pStyle w:val="6"/>
                    <w:spacing w:before="29" w:line="163" w:lineRule="auto"/>
                    <w:ind w:left="93" w:right="803"/>
                    <w:rPr>
                      <w:sz w:val="13"/>
                      <w:szCs w:val="13"/>
                    </w:rPr>
                  </w:pPr>
                  <w:r>
                    <w:rPr>
                      <w:spacing w:val="8"/>
                      <w:sz w:val="13"/>
                      <w:szCs w:val="13"/>
                    </w:rPr>
                    <w:t>数据交易供应商与过程管理标准</w:t>
                  </w:r>
                  <w:r>
                    <w:rPr>
                      <w:sz w:val="13"/>
                      <w:szCs w:val="13"/>
                    </w:rPr>
                    <w:t xml:space="preserve"> </w:t>
                  </w:r>
                  <w:r>
                    <w:rPr>
                      <w:spacing w:val="8"/>
                      <w:sz w:val="13"/>
                      <w:szCs w:val="13"/>
                    </w:rPr>
                    <w:t>数据资产价值评估表</w:t>
                  </w:r>
                </w:p>
                <w:p w14:paraId="64F1EB91">
                  <w:pPr>
                    <w:pStyle w:val="6"/>
                    <w:spacing w:before="29" w:line="137" w:lineRule="exact"/>
                    <w:ind w:left="93"/>
                    <w:rPr>
                      <w:sz w:val="13"/>
                      <w:szCs w:val="13"/>
                    </w:rPr>
                  </w:pPr>
                  <w:r>
                    <w:rPr>
                      <w:spacing w:val="8"/>
                      <w:sz w:val="13"/>
                      <w:szCs w:val="13"/>
                    </w:rPr>
                    <w:t>数据资产运营指标表</w:t>
                  </w:r>
                </w:p>
              </w:tc>
            </w:tr>
          </w:tbl>
          <w:p w14:paraId="19263B68">
            <w:pPr>
              <w:spacing w:line="96" w:lineRule="exact"/>
            </w:pPr>
          </w:p>
          <w:tbl>
            <w:tblPr>
              <w:tblStyle w:val="5"/>
              <w:tblW w:w="2841" w:type="dxa"/>
              <w:tblInd w:w="105" w:type="dxa"/>
              <w:tblBorders>
                <w:top w:val="single" w:color="3D3D3D" w:sz="2" w:space="0"/>
                <w:left w:val="single" w:color="3D3D3D" w:sz="4" w:space="0"/>
                <w:bottom w:val="single" w:color="3D3D3D" w:sz="2" w:space="0"/>
                <w:right w:val="single" w:color="3D3D3D" w:sz="4" w:space="0"/>
                <w:insideH w:val="none" w:color="auto" w:sz="0" w:space="0"/>
                <w:insideV w:val="none" w:color="auto" w:sz="0" w:space="0"/>
              </w:tblBorders>
              <w:tblLayout w:type="fixed"/>
              <w:tblCellMar>
                <w:top w:w="0" w:type="dxa"/>
                <w:left w:w="0" w:type="dxa"/>
                <w:bottom w:w="0" w:type="dxa"/>
                <w:right w:w="0" w:type="dxa"/>
              </w:tblCellMar>
            </w:tblPr>
            <w:tblGrid>
              <w:gridCol w:w="2841"/>
            </w:tblGrid>
            <w:tr w14:paraId="7AFD27D2">
              <w:tblPrEx>
                <w:tblBorders>
                  <w:top w:val="single" w:color="3D3D3D" w:sz="2" w:space="0"/>
                  <w:left w:val="single" w:color="3D3D3D" w:sz="4" w:space="0"/>
                  <w:bottom w:val="single" w:color="3D3D3D" w:sz="2" w:space="0"/>
                  <w:right w:val="single" w:color="3D3D3D" w:sz="4" w:space="0"/>
                  <w:insideH w:val="none" w:color="auto" w:sz="0" w:space="0"/>
                  <w:insideV w:val="none" w:color="auto" w:sz="0" w:space="0"/>
                </w:tblBorders>
                <w:tblCellMar>
                  <w:top w:w="0" w:type="dxa"/>
                  <w:left w:w="0" w:type="dxa"/>
                  <w:bottom w:w="0" w:type="dxa"/>
                  <w:right w:w="0" w:type="dxa"/>
                </w:tblCellMar>
              </w:tblPrEx>
              <w:trPr>
                <w:trHeight w:val="861" w:hRule="atLeast"/>
              </w:trPr>
              <w:tc>
                <w:tcPr>
                  <w:tcW w:w="2841" w:type="dxa"/>
                  <w:vAlign w:val="top"/>
                </w:tcPr>
                <w:p w14:paraId="73E35042">
                  <w:pPr>
                    <w:pStyle w:val="6"/>
                    <w:spacing w:before="30" w:line="163" w:lineRule="auto"/>
                    <w:ind w:left="93" w:right="526"/>
                    <w:rPr>
                      <w:sz w:val="13"/>
                      <w:szCs w:val="13"/>
                    </w:rPr>
                  </w:pPr>
                  <w:r>
                    <w:rPr>
                      <w:spacing w:val="3"/>
                      <w:sz w:val="13"/>
                      <w:szCs w:val="13"/>
                    </w:rPr>
                    <w:t>数据资产管理责任清单、  考核计分表</w:t>
                  </w:r>
                  <w:r>
                    <w:rPr>
                      <w:sz w:val="13"/>
                      <w:szCs w:val="13"/>
                    </w:rPr>
                    <w:t xml:space="preserve"> </w:t>
                  </w:r>
                  <w:r>
                    <w:rPr>
                      <w:spacing w:val="8"/>
                      <w:sz w:val="13"/>
                      <w:szCs w:val="13"/>
                    </w:rPr>
                    <w:t>数据资产管理自评估模板</w:t>
                  </w:r>
                </w:p>
                <w:p w14:paraId="70401867">
                  <w:pPr>
                    <w:spacing w:before="28" w:line="138" w:lineRule="exact"/>
                    <w:ind w:left="93"/>
                  </w:pPr>
                  <w:r>
                    <w:rPr>
                      <w:position w:val="-3"/>
                    </w:rPr>
                    <w:drawing>
                      <wp:inline distT="0" distB="0" distL="0" distR="0">
                        <wp:extent cx="964565" cy="86995"/>
                        <wp:effectExtent l="0" t="0" r="0" b="0"/>
                        <wp:docPr id="226" name="IM 226"/>
                        <wp:cNvGraphicFramePr/>
                        <a:graphic xmlns:a="http://schemas.openxmlformats.org/drawingml/2006/main">
                          <a:graphicData uri="http://schemas.openxmlformats.org/drawingml/2006/picture">
                            <pic:pic xmlns:pic="http://schemas.openxmlformats.org/drawingml/2006/picture">
                              <pic:nvPicPr>
                                <pic:cNvPr id="226" name="IM 226"/>
                                <pic:cNvPicPr/>
                              </pic:nvPicPr>
                              <pic:blipFill>
                                <a:blip r:embed="rId142"/>
                                <a:stretch>
                                  <a:fillRect/>
                                </a:stretch>
                              </pic:blipFill>
                              <pic:spPr>
                                <a:xfrm>
                                  <a:off x="0" y="0"/>
                                  <a:ext cx="964921" cy="87161"/>
                                </a:xfrm>
                                <a:prstGeom prst="rect">
                                  <a:avLst/>
                                </a:prstGeom>
                              </pic:spPr>
                            </pic:pic>
                          </a:graphicData>
                        </a:graphic>
                      </wp:inline>
                    </w:drawing>
                  </w:r>
                </w:p>
                <w:p w14:paraId="10E66B59">
                  <w:pPr>
                    <w:pStyle w:val="6"/>
                    <w:spacing w:before="29" w:line="137" w:lineRule="exact"/>
                    <w:ind w:left="93"/>
                    <w:rPr>
                      <w:sz w:val="13"/>
                      <w:szCs w:val="13"/>
                    </w:rPr>
                  </w:pPr>
                  <w:r>
                    <w:rPr>
                      <w:spacing w:val="8"/>
                      <w:sz w:val="13"/>
                      <w:szCs w:val="13"/>
                    </w:rPr>
                    <w:t>数据治理审计模板</w:t>
                  </w:r>
                </w:p>
                <w:p w14:paraId="694FC519">
                  <w:pPr>
                    <w:pStyle w:val="6"/>
                    <w:spacing w:before="29" w:line="137" w:lineRule="exact"/>
                    <w:ind w:left="93"/>
                    <w:rPr>
                      <w:sz w:val="13"/>
                      <w:szCs w:val="13"/>
                    </w:rPr>
                  </w:pPr>
                  <w:r>
                    <w:rPr>
                      <w:spacing w:val="8"/>
                      <w:sz w:val="13"/>
                      <w:szCs w:val="13"/>
                    </w:rPr>
                    <w:t>数据素养与数字技能提升对比分析表</w:t>
                  </w:r>
                </w:p>
              </w:tc>
            </w:tr>
          </w:tbl>
          <w:p w14:paraId="19C88B79">
            <w:pPr>
              <w:spacing w:line="40" w:lineRule="exact"/>
              <w:rPr>
                <w:rFonts w:ascii="Arial"/>
                <w:sz w:val="3"/>
              </w:rPr>
            </w:pPr>
          </w:p>
        </w:tc>
      </w:tr>
    </w:tbl>
    <w:p w14:paraId="3E8431A7">
      <w:pPr>
        <w:spacing w:before="127" w:line="134" w:lineRule="exact"/>
        <w:ind w:left="932"/>
        <w:rPr>
          <w:rFonts w:ascii="微软雅黑" w:hAnsi="微软雅黑" w:eastAsia="微软雅黑" w:cs="微软雅黑"/>
          <w:sz w:val="13"/>
          <w:szCs w:val="13"/>
        </w:rPr>
      </w:pPr>
      <w:r>
        <w:rPr>
          <w:rFonts w:ascii="微软雅黑" w:hAnsi="微软雅黑" w:eastAsia="微软雅黑" w:cs="微软雅黑"/>
          <w:spacing w:val="7"/>
          <w:sz w:val="13"/>
          <w:szCs w:val="13"/>
        </w:rPr>
        <w:t>考核评估</w:t>
      </w:r>
    </w:p>
    <w:p w14:paraId="3B74442E">
      <w:pPr>
        <w:spacing w:line="134" w:lineRule="exact"/>
        <w:rPr>
          <w:rFonts w:ascii="微软雅黑" w:hAnsi="微软雅黑" w:eastAsia="微软雅黑" w:cs="微软雅黑"/>
          <w:sz w:val="13"/>
          <w:szCs w:val="13"/>
        </w:rPr>
        <w:sectPr>
          <w:type w:val="continuous"/>
          <w:pgSz w:w="11906" w:h="16158"/>
          <w:pgMar w:top="400" w:right="1246" w:bottom="400" w:left="1004" w:header="0" w:footer="0" w:gutter="0"/>
          <w:cols w:equalWidth="0" w:num="2">
            <w:col w:w="6085" w:space="100"/>
            <w:col w:w="3471"/>
          </w:cols>
        </w:sectPr>
      </w:pPr>
    </w:p>
    <w:p w14:paraId="2C388784">
      <w:pPr>
        <w:pStyle w:val="2"/>
        <w:spacing w:line="279" w:lineRule="auto"/>
      </w:pPr>
    </w:p>
    <w:p w14:paraId="746138A1">
      <w:pPr>
        <w:spacing w:before="86" w:line="204" w:lineRule="auto"/>
        <w:ind w:left="3452"/>
        <w:rPr>
          <w:rFonts w:ascii="微软雅黑" w:hAnsi="微软雅黑" w:eastAsia="微软雅黑" w:cs="微软雅黑"/>
          <w:sz w:val="20"/>
          <w:szCs w:val="20"/>
        </w:rPr>
      </w:pPr>
      <w:r>
        <w:rPr>
          <w:rFonts w:ascii="微软雅黑" w:hAnsi="微软雅黑" w:eastAsia="微软雅黑" w:cs="微软雅黑"/>
          <w:color w:val="231F20"/>
          <w:spacing w:val="1"/>
          <w:sz w:val="20"/>
          <w:szCs w:val="20"/>
        </w:rPr>
        <w:t>图</w:t>
      </w:r>
      <w:r>
        <w:rPr>
          <w:rFonts w:ascii="微软雅黑" w:hAnsi="微软雅黑" w:eastAsia="微软雅黑" w:cs="微软雅黑"/>
          <w:color w:val="231F20"/>
          <w:spacing w:val="37"/>
          <w:w w:val="101"/>
          <w:sz w:val="20"/>
          <w:szCs w:val="20"/>
        </w:rPr>
        <w:t xml:space="preserve"> </w:t>
      </w:r>
      <w:r>
        <w:rPr>
          <w:rFonts w:ascii="微软雅黑" w:hAnsi="微软雅黑" w:eastAsia="微软雅黑" w:cs="微软雅黑"/>
          <w:color w:val="231F20"/>
          <w:spacing w:val="1"/>
          <w:sz w:val="20"/>
          <w:szCs w:val="20"/>
        </w:rPr>
        <w:t>14 数据资产管理制度体系架构</w:t>
      </w:r>
    </w:p>
    <w:p w14:paraId="734AF575">
      <w:pPr>
        <w:pStyle w:val="2"/>
        <w:spacing w:line="405" w:lineRule="auto"/>
      </w:pPr>
    </w:p>
    <w:p w14:paraId="147832B1">
      <w:pPr>
        <w:pStyle w:val="2"/>
        <w:spacing w:before="58" w:line="147" w:lineRule="exact"/>
        <w:ind w:left="4845"/>
        <w:rPr>
          <w:sz w:val="20"/>
          <w:szCs w:val="20"/>
        </w:rPr>
      </w:pPr>
      <w:r>
        <w:pict>
          <v:shape id="_x0000_s1265" o:spid="_x0000_s1265" o:spt="202" type="#_x0000_t202" style="position:absolute;left:0pt;margin-left:274.65pt;margin-top:6.6pt;height:15.95pt;width:199.4pt;z-index:251842560;mso-width-relative:page;mso-height-relative:page;" filled="f" stroked="f" coordsize="21600,21600">
            <v:path/>
            <v:fill on="f" focussize="0,0"/>
            <v:stroke on="f"/>
            <v:imagedata o:title=""/>
            <o:lock v:ext="edit" aspectratio="f"/>
            <v:textbox inset="0mm,0mm,0mm,0mm">
              <w:txbxContent>
                <w:p w14:paraId="2B3E4D21">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3"/>
          <w:position w:val="-3"/>
          <w:sz w:val="20"/>
          <w:szCs w:val="20"/>
        </w:rPr>
        <w:t>31</w:t>
      </w:r>
    </w:p>
    <w:p w14:paraId="3D99210E">
      <w:pPr>
        <w:spacing w:line="147" w:lineRule="exact"/>
        <w:rPr>
          <w:sz w:val="20"/>
          <w:szCs w:val="20"/>
        </w:rPr>
        <w:sectPr>
          <w:type w:val="continuous"/>
          <w:pgSz w:w="11906" w:h="16158"/>
          <w:pgMar w:top="400" w:right="1246" w:bottom="400" w:left="1004" w:header="0" w:footer="0" w:gutter="0"/>
          <w:cols w:equalWidth="0" w:num="1">
            <w:col w:w="9655"/>
          </w:cols>
        </w:sectPr>
      </w:pPr>
    </w:p>
    <w:p w14:paraId="3AA6B2FF">
      <w:pPr>
        <w:pStyle w:val="2"/>
        <w:spacing w:line="349" w:lineRule="auto"/>
      </w:pPr>
    </w:p>
    <w:p w14:paraId="50361A5E">
      <w:pPr>
        <w:pStyle w:val="2"/>
        <w:spacing w:line="350" w:lineRule="auto"/>
      </w:pPr>
    </w:p>
    <w:p w14:paraId="646BB444">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-3</w:t>
      </w:r>
    </w:p>
    <w:p w14:paraId="136585CC">
      <w:pPr>
        <w:spacing w:before="55" w:line="178" w:lineRule="auto"/>
        <w:ind w:left="411"/>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数据资产管理保障措施</w:t>
      </w:r>
    </w:p>
    <w:p w14:paraId="7950590F">
      <w:pPr>
        <w:pStyle w:val="2"/>
        <w:spacing w:line="296" w:lineRule="auto"/>
      </w:pPr>
    </w:p>
    <w:p w14:paraId="150DF90D">
      <w:pPr>
        <w:pStyle w:val="2"/>
        <w:spacing w:line="296" w:lineRule="auto"/>
      </w:pPr>
    </w:p>
    <w:p w14:paraId="5FFD84DC">
      <w:pPr>
        <w:pStyle w:val="2"/>
        <w:spacing w:line="297" w:lineRule="auto"/>
      </w:pPr>
    </w:p>
    <w:p w14:paraId="47EDBE06">
      <w:pPr>
        <w:spacing w:before="94" w:line="181" w:lineRule="auto"/>
        <w:ind w:left="732"/>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业务案例从实际项目出发，为数据资产管理</w:t>
      </w:r>
      <w:r>
        <w:rPr>
          <w:rFonts w:ascii="微软雅黑" w:hAnsi="微软雅黑" w:eastAsia="微软雅黑" w:cs="微软雅黑"/>
          <w:color w:val="231F20"/>
          <w:spacing w:val="-3"/>
          <w:sz w:val="22"/>
          <w:szCs w:val="22"/>
        </w:rPr>
        <w:t>提供了实践视角，是对制度体系架构的有效补充。</w:t>
      </w:r>
    </w:p>
    <w:p w14:paraId="2BF06702">
      <w:pPr>
        <w:spacing w:before="160" w:line="286" w:lineRule="auto"/>
        <w:ind w:left="247" w:firstLine="1"/>
        <w:rPr>
          <w:rFonts w:ascii="微软雅黑" w:hAnsi="微软雅黑" w:eastAsia="微软雅黑" w:cs="微软雅黑"/>
          <w:sz w:val="22"/>
          <w:szCs w:val="22"/>
        </w:rPr>
      </w:pPr>
      <w:r>
        <w:rPr>
          <w:rFonts w:ascii="微软雅黑" w:hAnsi="微软雅黑" w:eastAsia="微软雅黑" w:cs="微软雅黑"/>
          <w:color w:val="231F20"/>
          <w:spacing w:val="-6"/>
          <w:sz w:val="22"/>
          <w:szCs w:val="22"/>
        </w:rPr>
        <w:t>交通银行为响应理论本地化、实践策略化需求，在总体规定、管理办法的基础上，建立</w:t>
      </w:r>
      <w:r>
        <w:rPr>
          <w:rFonts w:ascii="微软雅黑" w:hAnsi="微软雅黑" w:eastAsia="微软雅黑" w:cs="微软雅黑"/>
          <w:color w:val="231F20"/>
          <w:spacing w:val="-7"/>
          <w:sz w:val="22"/>
          <w:szCs w:val="22"/>
        </w:rPr>
        <w:t>了“工作手册”</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机制，作为数据资产管理工作落地的重要抓手和关键突破口。工作手册覆盖</w:t>
      </w:r>
      <w:r>
        <w:rPr>
          <w:rFonts w:ascii="微软雅黑" w:hAnsi="微软雅黑" w:eastAsia="微软雅黑" w:cs="微软雅黑"/>
          <w:color w:val="231F20"/>
          <w:spacing w:val="3"/>
          <w:sz w:val="22"/>
          <w:szCs w:val="22"/>
        </w:rPr>
        <w:t>数据资产管理多项活</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动职能，主要从各项活动实施的需求背景、方案策略、执行过程等方面着</w:t>
      </w:r>
      <w:r>
        <w:rPr>
          <w:rFonts w:ascii="微软雅黑" w:hAnsi="微软雅黑" w:eastAsia="微软雅黑" w:cs="微软雅黑"/>
          <w:color w:val="231F20"/>
          <w:spacing w:val="3"/>
          <w:sz w:val="22"/>
          <w:szCs w:val="22"/>
        </w:rPr>
        <w:t>手，对自身实践项目进</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行客观陈述、深入分析，总结问题与经验。工作手册不仅沉淀为内部培训的</w:t>
      </w:r>
      <w:r>
        <w:rPr>
          <w:rFonts w:ascii="微软雅黑" w:hAnsi="微软雅黑" w:eastAsia="微软雅黑" w:cs="微软雅黑"/>
          <w:color w:val="231F20"/>
          <w:spacing w:val="3"/>
          <w:sz w:val="22"/>
          <w:szCs w:val="22"/>
        </w:rPr>
        <w:t>实战材料，形成团队</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的共有知识和经验，更重要的是作为典型业务案例，对于长期指导和</w:t>
      </w:r>
      <w:r>
        <w:rPr>
          <w:rFonts w:ascii="微软雅黑" w:hAnsi="微软雅黑" w:eastAsia="微软雅黑" w:cs="微软雅黑"/>
          <w:color w:val="231F20"/>
          <w:spacing w:val="3"/>
          <w:sz w:val="22"/>
          <w:szCs w:val="22"/>
        </w:rPr>
        <w:t>优化数据资产管理工作具有</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指导意义。</w:t>
      </w:r>
    </w:p>
    <w:p w14:paraId="1071F911">
      <w:pPr>
        <w:pStyle w:val="2"/>
        <w:spacing w:line="399" w:lineRule="auto"/>
      </w:pPr>
    </w:p>
    <w:p w14:paraId="4AC0C443">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4"/>
          <w:sz w:val="28"/>
          <w:szCs w:val="28"/>
        </w:rPr>
        <w:t>(</w:t>
      </w:r>
      <w:r>
        <w:rPr>
          <w:rFonts w:ascii="微软雅黑" w:hAnsi="微软雅黑" w:eastAsia="微软雅黑" w:cs="微软雅黑"/>
          <w:color w:val="648676"/>
          <w:spacing w:val="26"/>
          <w:sz w:val="28"/>
          <w:szCs w:val="28"/>
        </w:rPr>
        <w:t xml:space="preserve"> </w:t>
      </w:r>
      <w:r>
        <w:rPr>
          <w:rFonts w:ascii="微软雅黑" w:hAnsi="微软雅黑" w:eastAsia="微软雅黑" w:cs="微软雅黑"/>
          <w:color w:val="648676"/>
          <w:spacing w:val="4"/>
          <w:sz w:val="28"/>
          <w:szCs w:val="28"/>
        </w:rPr>
        <w:t>四 )</w:t>
      </w:r>
      <w:r>
        <w:rPr>
          <w:rFonts w:ascii="微软雅黑" w:hAnsi="微软雅黑" w:eastAsia="微软雅黑" w:cs="微软雅黑"/>
          <w:color w:val="648676"/>
          <w:spacing w:val="32"/>
          <w:sz w:val="28"/>
          <w:szCs w:val="28"/>
        </w:rPr>
        <w:t xml:space="preserve"> </w:t>
      </w:r>
      <w:r>
        <w:rPr>
          <w:rFonts w:ascii="微软雅黑" w:hAnsi="微软雅黑" w:eastAsia="微软雅黑" w:cs="微软雅黑"/>
          <w:color w:val="648676"/>
          <w:spacing w:val="4"/>
          <w:sz w:val="28"/>
          <w:szCs w:val="28"/>
        </w:rPr>
        <w:t>平台工具</w:t>
      </w:r>
    </w:p>
    <w:p w14:paraId="6173A899">
      <w:pPr>
        <w:pStyle w:val="2"/>
        <w:spacing w:line="410" w:lineRule="auto"/>
      </w:pPr>
    </w:p>
    <w:p w14:paraId="242B9629">
      <w:pPr>
        <w:spacing w:before="96" w:line="288" w:lineRule="auto"/>
        <w:ind w:left="247" w:right="220" w:firstLine="482"/>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数据资产管理平台工具位于大数据平台上层，为各项数据资产管理活动职能的执行提供技术</w:t>
      </w:r>
      <w:r>
        <w:rPr>
          <w:rFonts w:ascii="微软雅黑" w:hAnsi="微软雅黑" w:eastAsia="微软雅黑" w:cs="微软雅黑"/>
          <w:color w:val="231F20"/>
          <w:spacing w:val="2"/>
          <w:sz w:val="22"/>
          <w:szCs w:val="22"/>
        </w:rPr>
        <w:t xml:space="preserve"> </w:t>
      </w:r>
      <w:r>
        <w:rPr>
          <w:rFonts w:ascii="微软雅黑" w:hAnsi="微软雅黑" w:eastAsia="微软雅黑" w:cs="微软雅黑"/>
          <w:color w:val="231F20"/>
          <w:spacing w:val="-5"/>
          <w:sz w:val="22"/>
          <w:szCs w:val="22"/>
        </w:rPr>
        <w:t>保障。</w:t>
      </w:r>
    </w:p>
    <w:p w14:paraId="7A1E2261">
      <w:pPr>
        <w:spacing w:before="12" w:line="291" w:lineRule="auto"/>
        <w:ind w:left="246" w:right="217" w:firstLine="482"/>
        <w:rPr>
          <w:rFonts w:ascii="微软雅黑" w:hAnsi="微软雅黑" w:eastAsia="微软雅黑" w:cs="微软雅黑"/>
          <w:sz w:val="22"/>
          <w:szCs w:val="22"/>
        </w:rPr>
      </w:pPr>
      <w:r>
        <w:rPr>
          <w:rFonts w:ascii="微软雅黑" w:hAnsi="微软雅黑" w:eastAsia="微软雅黑" w:cs="微软雅黑"/>
          <w:color w:val="231F20"/>
          <w:spacing w:val="7"/>
          <w:sz w:val="22"/>
          <w:szCs w:val="22"/>
        </w:rPr>
        <w:t xml:space="preserve">从管理视角出发，数据资产管理平台工具支持 </w:t>
      </w:r>
      <w:r>
        <w:rPr>
          <w:rFonts w:ascii="微软雅黑" w:hAnsi="微软雅黑" w:eastAsia="微软雅黑" w:cs="微软雅黑"/>
          <w:color w:val="231F20"/>
          <w:sz w:val="22"/>
          <w:szCs w:val="22"/>
        </w:rPr>
        <w:t>PDCA</w:t>
      </w:r>
      <w:r>
        <w:rPr>
          <w:rFonts w:ascii="微软雅黑" w:hAnsi="微软雅黑" w:eastAsia="微软雅黑" w:cs="微软雅黑"/>
          <w:color w:val="231F20"/>
          <w:spacing w:val="7"/>
          <w:sz w:val="22"/>
          <w:szCs w:val="22"/>
        </w:rPr>
        <w:t xml:space="preserve"> 流程。规划环节，通过角色分配和权</w:t>
      </w:r>
      <w:r>
        <w:rPr>
          <w:rFonts w:ascii="微软雅黑" w:hAnsi="微软雅黑" w:eastAsia="微软雅黑" w:cs="微软雅黑"/>
          <w:color w:val="231F20"/>
          <w:spacing w:val="3"/>
          <w:sz w:val="22"/>
          <w:szCs w:val="22"/>
        </w:rPr>
        <w:t xml:space="preserve"> </w:t>
      </w:r>
      <w:r>
        <w:rPr>
          <w:rFonts w:ascii="微软雅黑" w:hAnsi="微软雅黑" w:eastAsia="微软雅黑" w:cs="微软雅黑"/>
          <w:color w:val="231F20"/>
          <w:spacing w:val="4"/>
          <w:sz w:val="22"/>
          <w:szCs w:val="22"/>
        </w:rPr>
        <w:t>限管理落实数据认责体系，支持需求管理，以及对数据资产现状（包括数据资产规模、分布、可</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8"/>
          <w:sz w:val="22"/>
          <w:szCs w:val="22"/>
        </w:rPr>
        <w:t>信度、安全性等）</w:t>
      </w:r>
      <w:r>
        <w:rPr>
          <w:rFonts w:ascii="微软雅黑" w:hAnsi="微软雅黑" w:eastAsia="微软雅黑" w:cs="微软雅黑"/>
          <w:color w:val="231F20"/>
          <w:spacing w:val="41"/>
          <w:sz w:val="22"/>
          <w:szCs w:val="22"/>
        </w:rPr>
        <w:t xml:space="preserve"> </w:t>
      </w:r>
      <w:r>
        <w:rPr>
          <w:rFonts w:ascii="微软雅黑" w:hAnsi="微软雅黑" w:eastAsia="微软雅黑" w:cs="微软雅黑"/>
          <w:color w:val="231F20"/>
          <w:spacing w:val="-8"/>
          <w:sz w:val="22"/>
          <w:szCs w:val="22"/>
        </w:rPr>
        <w:t>进行评估；执行环节，支持标准规范的新增、修改，</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pacing w:val="-8"/>
          <w:sz w:val="22"/>
          <w:szCs w:val="22"/>
        </w:rPr>
        <w:t>以及数据开发、任务编排、</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4"/>
          <w:sz w:val="22"/>
          <w:szCs w:val="22"/>
        </w:rPr>
        <w:t>任务运维等；检查环节，支持对数据模型一致性、标准规范应用程度、问题数据处理情况、数据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安全响应结果等进行跟踪；改进环节，支持逐个标记问题并生成改进建议，统</w:t>
      </w:r>
      <w:r>
        <w:rPr>
          <w:rFonts w:ascii="微软雅黑" w:hAnsi="微软雅黑" w:eastAsia="微软雅黑" w:cs="微软雅黑"/>
          <w:color w:val="231F20"/>
          <w:spacing w:val="3"/>
          <w:sz w:val="22"/>
          <w:szCs w:val="22"/>
        </w:rPr>
        <w:t>计检查数据，形成</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知识库，量化改进过程，实现闭环管理。</w:t>
      </w:r>
    </w:p>
    <w:p w14:paraId="2968AC07">
      <w:pPr>
        <w:spacing w:before="16" w:line="290" w:lineRule="auto"/>
        <w:ind w:left="247" w:right="134" w:firstLine="481"/>
        <w:jc w:val="both"/>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从开发视角出发，数据资产管理平台呈现一体</w:t>
      </w:r>
      <w:r>
        <w:rPr>
          <w:rFonts w:ascii="微软雅黑" w:hAnsi="微软雅黑" w:eastAsia="微软雅黑" w:cs="微软雅黑"/>
          <w:color w:val="231F20"/>
          <w:spacing w:val="-6"/>
          <w:sz w:val="22"/>
          <w:szCs w:val="22"/>
        </w:rPr>
        <w:t>化形式。通过打通数据模型管理、数据标准管理、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数据质量管理、数据安全管理、元数据管理、数据开发相关平台工具，</w:t>
      </w:r>
      <w:r>
        <w:rPr>
          <w:rFonts w:ascii="微软雅黑" w:hAnsi="微软雅黑" w:eastAsia="微软雅黑" w:cs="微软雅黑"/>
          <w:color w:val="231F20"/>
          <w:spacing w:val="3"/>
          <w:sz w:val="22"/>
          <w:szCs w:val="22"/>
        </w:rPr>
        <w:t>支持数据模型设计与开发</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遵循标准规范，实现数据质量源头管理，并对数据资产开发全流程进</w:t>
      </w:r>
      <w:r>
        <w:rPr>
          <w:rFonts w:ascii="微软雅黑" w:hAnsi="微软雅黑" w:eastAsia="微软雅黑" w:cs="微软雅黑"/>
          <w:color w:val="231F20"/>
          <w:spacing w:val="-5"/>
          <w:sz w:val="22"/>
          <w:szCs w:val="22"/>
        </w:rPr>
        <w:t>行监控，确保开发过程的流畅，</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提升开发过程的规范性。</w:t>
      </w:r>
    </w:p>
    <w:p w14:paraId="34CA961E">
      <w:pPr>
        <w:pStyle w:val="2"/>
        <w:spacing w:line="350" w:lineRule="auto"/>
      </w:pPr>
    </w:p>
    <w:p w14:paraId="53DC409B">
      <w:pPr>
        <w:spacing w:before="121"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5"/>
          <w:sz w:val="28"/>
          <w:szCs w:val="28"/>
        </w:rPr>
        <w:t>( 五</w:t>
      </w:r>
      <w:r>
        <w:rPr>
          <w:rFonts w:ascii="微软雅黑" w:hAnsi="微软雅黑" w:eastAsia="微软雅黑" w:cs="微软雅黑"/>
          <w:color w:val="648676"/>
          <w:spacing w:val="16"/>
          <w:sz w:val="28"/>
          <w:szCs w:val="28"/>
        </w:rPr>
        <w:t xml:space="preserve"> </w:t>
      </w:r>
      <w:r>
        <w:rPr>
          <w:rFonts w:ascii="微软雅黑" w:hAnsi="微软雅黑" w:eastAsia="微软雅黑" w:cs="微软雅黑"/>
          <w:color w:val="648676"/>
          <w:spacing w:val="5"/>
          <w:sz w:val="28"/>
          <w:szCs w:val="28"/>
        </w:rPr>
        <w:t>)</w:t>
      </w:r>
      <w:r>
        <w:rPr>
          <w:rFonts w:ascii="微软雅黑" w:hAnsi="微软雅黑" w:eastAsia="微软雅黑" w:cs="微软雅黑"/>
          <w:color w:val="648676"/>
          <w:spacing w:val="34"/>
          <w:sz w:val="28"/>
          <w:szCs w:val="28"/>
        </w:rPr>
        <w:t xml:space="preserve"> </w:t>
      </w:r>
      <w:r>
        <w:rPr>
          <w:rFonts w:ascii="微软雅黑" w:hAnsi="微软雅黑" w:eastAsia="微软雅黑" w:cs="微软雅黑"/>
          <w:color w:val="648676"/>
          <w:spacing w:val="5"/>
          <w:sz w:val="28"/>
          <w:szCs w:val="28"/>
        </w:rPr>
        <w:t>长效机制</w:t>
      </w:r>
    </w:p>
    <w:p w14:paraId="409E9917">
      <w:pPr>
        <w:pStyle w:val="2"/>
        <w:spacing w:line="411" w:lineRule="auto"/>
      </w:pPr>
    </w:p>
    <w:p w14:paraId="038EE893">
      <w:pPr>
        <w:spacing w:before="95" w:line="287" w:lineRule="auto"/>
        <w:ind w:left="248" w:right="134" w:firstLine="481"/>
        <w:rPr>
          <w:rFonts w:ascii="微软雅黑" w:hAnsi="微软雅黑" w:eastAsia="微软雅黑" w:cs="微软雅黑"/>
          <w:sz w:val="22"/>
          <w:szCs w:val="22"/>
        </w:rPr>
      </w:pPr>
      <w:r>
        <w:rPr>
          <w:rFonts w:ascii="微软雅黑" w:hAnsi="微软雅黑" w:eastAsia="微软雅黑" w:cs="微软雅黑"/>
          <w:color w:val="231F20"/>
          <w:spacing w:val="-7"/>
          <w:sz w:val="22"/>
          <w:szCs w:val="22"/>
        </w:rPr>
        <w:t>在数据战略规划、组织架构和制度体系的基础上， 培训宣贯、绩效考核、激励机制、审计机制、</w:t>
      </w:r>
      <w:r>
        <w:rPr>
          <w:rFonts w:ascii="微软雅黑" w:hAnsi="微软雅黑" w:eastAsia="微软雅黑" w:cs="微软雅黑"/>
          <w:color w:val="231F20"/>
          <w:spacing w:val="3"/>
          <w:sz w:val="22"/>
          <w:szCs w:val="22"/>
        </w:rPr>
        <w:t xml:space="preserve"> </w:t>
      </w:r>
      <w:r>
        <w:rPr>
          <w:rFonts w:ascii="微软雅黑" w:hAnsi="微软雅黑" w:eastAsia="微软雅黑" w:cs="微软雅黑"/>
          <w:color w:val="231F20"/>
          <w:spacing w:val="-1"/>
          <w:sz w:val="22"/>
          <w:szCs w:val="22"/>
        </w:rPr>
        <w:t>数据文化培养等长效机制，是数据资产管理活动持续高效运行的重要保障。</w:t>
      </w:r>
    </w:p>
    <w:p w14:paraId="2D94475C">
      <w:pPr>
        <w:pStyle w:val="2"/>
        <w:spacing w:line="275" w:lineRule="auto"/>
      </w:pPr>
    </w:p>
    <w:p w14:paraId="76DFEE38">
      <w:pPr>
        <w:spacing w:before="78" w:line="212" w:lineRule="auto"/>
        <w:ind w:left="5513"/>
        <w:rPr>
          <w:rFonts w:hint="eastAsia" w:ascii="宋体" w:hAnsi="宋体" w:eastAsia="宋体" w:cs="宋体"/>
          <w:sz w:val="24"/>
          <w:szCs w:val="24"/>
          <w:lang w:eastAsia="zh-CN"/>
        </w:rPr>
      </w:pPr>
      <w:r>
        <w:pict>
          <v:shape id="_x0000_s1266" o:spid="_x0000_s1266" o:spt="202" type="#_x0000_t202" style="position:absolute;left:0pt;margin-left:241.25pt;margin-top:-1.75pt;height:11.35pt;width:12.7pt;z-index:251846656;mso-width-relative:page;mso-height-relative:page;" filled="f" stroked="f" coordsize="21600,21600">
            <v:path/>
            <v:fill on="f" focussize="0,0"/>
            <v:stroke on="f"/>
            <v:imagedata o:title=""/>
            <o:lock v:ext="edit" aspectratio="f"/>
            <v:textbox inset="0mm,0mm,0mm,0mm">
              <w:txbxContent>
                <w:p w14:paraId="25C2FEBC">
                  <w:pPr>
                    <w:pStyle w:val="2"/>
                    <w:spacing w:before="20" w:line="194" w:lineRule="auto"/>
                    <w:ind w:left="20"/>
                    <w:rPr>
                      <w:sz w:val="20"/>
                      <w:szCs w:val="20"/>
                    </w:rPr>
                  </w:pPr>
                  <w:r>
                    <w:rPr>
                      <w:color w:val="231F20"/>
                      <w:spacing w:val="-3"/>
                      <w:sz w:val="20"/>
                      <w:szCs w:val="20"/>
                    </w:rPr>
                    <w:t>32</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4FD3DBD5">
      <w:pPr>
        <w:spacing w:line="212" w:lineRule="auto"/>
        <w:rPr>
          <w:rFonts w:ascii="宋体" w:hAnsi="宋体" w:eastAsia="宋体" w:cs="宋体"/>
          <w:sz w:val="24"/>
          <w:szCs w:val="24"/>
        </w:rPr>
        <w:sectPr>
          <w:pgSz w:w="11906" w:h="16158"/>
          <w:pgMar w:top="400" w:right="1027" w:bottom="400" w:left="1004" w:header="0" w:footer="0" w:gutter="0"/>
          <w:cols w:space="720" w:num="1"/>
        </w:sectPr>
      </w:pPr>
    </w:p>
    <w:p w14:paraId="134EB9FD">
      <w:pPr>
        <w:pStyle w:val="2"/>
        <w:spacing w:line="349" w:lineRule="auto"/>
      </w:pPr>
    </w:p>
    <w:p w14:paraId="67FF841D">
      <w:pPr>
        <w:pStyle w:val="2"/>
        <w:spacing w:line="350" w:lineRule="auto"/>
      </w:pPr>
    </w:p>
    <w:p w14:paraId="47FB363A">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-3</w:t>
      </w:r>
    </w:p>
    <w:p w14:paraId="18A485DA">
      <w:pPr>
        <w:spacing w:before="55" w:line="178" w:lineRule="auto"/>
        <w:ind w:left="411"/>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数据资产管理保障措施</w:t>
      </w:r>
    </w:p>
    <w:p w14:paraId="7BC5D0C4">
      <w:pPr>
        <w:pStyle w:val="2"/>
        <w:spacing w:line="257" w:lineRule="auto"/>
      </w:pPr>
    </w:p>
    <w:p w14:paraId="574ACC5A">
      <w:pPr>
        <w:pStyle w:val="2"/>
        <w:spacing w:line="258" w:lineRule="auto"/>
      </w:pPr>
    </w:p>
    <w:p w14:paraId="657C0493">
      <w:pPr>
        <w:pStyle w:val="2"/>
        <w:spacing w:line="258" w:lineRule="auto"/>
      </w:pPr>
    </w:p>
    <w:p w14:paraId="7348B74F">
      <w:pPr>
        <w:pStyle w:val="2"/>
        <w:spacing w:line="258" w:lineRule="auto"/>
      </w:pPr>
    </w:p>
    <w:p w14:paraId="3E9F2B5B">
      <w:pPr>
        <w:pStyle w:val="2"/>
        <w:spacing w:line="258" w:lineRule="auto"/>
      </w:pPr>
    </w:p>
    <w:p w14:paraId="29907B59">
      <w:pPr>
        <w:spacing w:line="3178" w:lineRule="exact"/>
        <w:ind w:firstLine="549"/>
      </w:pPr>
      <w:r>
        <w:rPr>
          <w:position w:val="-63"/>
        </w:rPr>
        <w:drawing>
          <wp:inline distT="0" distB="0" distL="0" distR="0">
            <wp:extent cx="5586095" cy="2017395"/>
            <wp:effectExtent l="0" t="0" r="0" b="0"/>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143"/>
                    <a:stretch>
                      <a:fillRect/>
                    </a:stretch>
                  </pic:blipFill>
                  <pic:spPr>
                    <a:xfrm>
                      <a:off x="0" y="0"/>
                      <a:ext cx="5586132" cy="2017801"/>
                    </a:xfrm>
                    <a:prstGeom prst="rect">
                      <a:avLst/>
                    </a:prstGeom>
                  </pic:spPr>
                </pic:pic>
              </a:graphicData>
            </a:graphic>
          </wp:inline>
        </w:drawing>
      </w:r>
    </w:p>
    <w:p w14:paraId="0E17486F">
      <w:pPr>
        <w:spacing w:before="207" w:line="204" w:lineRule="auto"/>
        <w:ind w:left="3652"/>
        <w:rPr>
          <w:rFonts w:ascii="微软雅黑" w:hAnsi="微软雅黑" w:eastAsia="微软雅黑" w:cs="微软雅黑"/>
          <w:sz w:val="20"/>
          <w:szCs w:val="20"/>
        </w:rPr>
      </w:pPr>
      <w:bookmarkStart w:id="42" w:name="bookmark44"/>
      <w:bookmarkEnd w:id="42"/>
      <w:r>
        <w:rPr>
          <w:rFonts w:ascii="微软雅黑" w:hAnsi="微软雅黑" w:eastAsia="微软雅黑" w:cs="微软雅黑"/>
          <w:color w:val="231F20"/>
          <w:spacing w:val="1"/>
          <w:sz w:val="20"/>
          <w:szCs w:val="20"/>
        </w:rPr>
        <w:t>图</w:t>
      </w:r>
      <w:r>
        <w:rPr>
          <w:rFonts w:ascii="微软雅黑" w:hAnsi="微软雅黑" w:eastAsia="微软雅黑" w:cs="微软雅黑"/>
          <w:color w:val="231F20"/>
          <w:spacing w:val="38"/>
          <w:w w:val="101"/>
          <w:sz w:val="20"/>
          <w:szCs w:val="20"/>
        </w:rPr>
        <w:t xml:space="preserve"> </w:t>
      </w:r>
      <w:r>
        <w:rPr>
          <w:rFonts w:ascii="微软雅黑" w:hAnsi="微软雅黑" w:eastAsia="微软雅黑" w:cs="微软雅黑"/>
          <w:color w:val="231F20"/>
          <w:spacing w:val="1"/>
          <w:sz w:val="20"/>
          <w:szCs w:val="20"/>
        </w:rPr>
        <w:t>15 数据资产管理长效机制</w:t>
      </w:r>
    </w:p>
    <w:p w14:paraId="287E89DF">
      <w:pPr>
        <w:pStyle w:val="2"/>
        <w:spacing w:line="244" w:lineRule="auto"/>
      </w:pPr>
    </w:p>
    <w:p w14:paraId="1E4BF6AB">
      <w:pPr>
        <w:pStyle w:val="2"/>
        <w:spacing w:line="245" w:lineRule="auto"/>
      </w:pPr>
    </w:p>
    <w:p w14:paraId="49C34CD8">
      <w:pPr>
        <w:spacing w:before="95" w:line="292" w:lineRule="auto"/>
        <w:ind w:left="247"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培训宣贯是数据资产管理理论落地实践、流程执行运作的基础。通过安排员工参与数</w:t>
      </w:r>
      <w:r>
        <w:rPr>
          <w:rFonts w:ascii="微软雅黑" w:hAnsi="微软雅黑" w:eastAsia="微软雅黑" w:cs="微软雅黑"/>
          <w:color w:val="231F20"/>
          <w:spacing w:val="2"/>
          <w:sz w:val="22"/>
          <w:szCs w:val="22"/>
        </w:rPr>
        <w:t>据资产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管理培训、课程，加深行业内、外部单位优秀经验沟通与交流，组织开展案例分享，促进员工提</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升技术水平。绩效考核是确保数据资产管理各项工作落实到位的关键</w:t>
      </w:r>
      <w:r>
        <w:rPr>
          <w:rFonts w:ascii="微软雅黑" w:hAnsi="微软雅黑" w:eastAsia="微软雅黑" w:cs="微软雅黑"/>
          <w:color w:val="231F20"/>
          <w:spacing w:val="3"/>
          <w:sz w:val="22"/>
          <w:szCs w:val="22"/>
        </w:rPr>
        <w:t>举措。建立数据资产管理考</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核机制，开展常态化、全面性问题巡检，将问题处理结果</w:t>
      </w:r>
      <w:r>
        <w:rPr>
          <w:rFonts w:ascii="微软雅黑" w:hAnsi="微软雅黑" w:eastAsia="微软雅黑" w:cs="微软雅黑"/>
          <w:color w:val="231F20"/>
          <w:spacing w:val="3"/>
          <w:sz w:val="22"/>
          <w:szCs w:val="22"/>
        </w:rPr>
        <w:t>与员工薪酬关联，确保数据认责体系的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有效执行。激励机制是提升组织数据资产管理部门工作积极性，推动数据资</w:t>
      </w:r>
      <w:r>
        <w:rPr>
          <w:rFonts w:ascii="微软雅黑" w:hAnsi="微软雅黑" w:eastAsia="微软雅黑" w:cs="微软雅黑"/>
          <w:color w:val="231F20"/>
          <w:spacing w:val="3"/>
          <w:sz w:val="22"/>
          <w:szCs w:val="22"/>
        </w:rPr>
        <w:t>产管理良性发展的重</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要手段。建立员工职业发展通道，设立数据资产管理相关奖项，将数据资产管理纳入现有晋升、</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pacing w:val="4"/>
          <w:sz w:val="22"/>
          <w:szCs w:val="22"/>
        </w:rPr>
        <w:t>薪酬、职位资格等体系范畴。审计机制是保障数据资产管按既定规划和规范执行的有效方</w:t>
      </w:r>
      <w:r>
        <w:rPr>
          <w:rFonts w:ascii="微软雅黑" w:hAnsi="微软雅黑" w:eastAsia="微软雅黑" w:cs="微软雅黑"/>
          <w:color w:val="231F20"/>
          <w:spacing w:val="3"/>
          <w:sz w:val="22"/>
          <w:szCs w:val="22"/>
        </w:rPr>
        <w:t>式。组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建审计团队（由审计部门、监管部门牵头，数据资产管理部门、技</w:t>
      </w:r>
      <w:r>
        <w:rPr>
          <w:rFonts w:ascii="微软雅黑" w:hAnsi="微软雅黑" w:eastAsia="微软雅黑" w:cs="微软雅黑"/>
          <w:color w:val="231F20"/>
          <w:spacing w:val="3"/>
          <w:sz w:val="22"/>
          <w:szCs w:val="22"/>
        </w:rPr>
        <w:t>术部门、业务部门参与</w:t>
      </w:r>
      <w:r>
        <w:rPr>
          <w:rFonts w:ascii="微软雅黑" w:hAnsi="微软雅黑" w:eastAsia="微软雅黑" w:cs="微软雅黑"/>
          <w:color w:val="231F20"/>
          <w:spacing w:val="-5"/>
          <w:sz w:val="22"/>
          <w:szCs w:val="22"/>
        </w:rPr>
        <w:t>），</w:t>
      </w:r>
      <w:r>
        <w:rPr>
          <w:rFonts w:ascii="微软雅黑" w:hAnsi="微软雅黑" w:eastAsia="微软雅黑" w:cs="微软雅黑"/>
          <w:color w:val="231F20"/>
          <w:spacing w:val="3"/>
          <w:sz w:val="22"/>
          <w:szCs w:val="22"/>
        </w:rPr>
        <w:t>引</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4"/>
          <w:sz w:val="22"/>
          <w:szCs w:val="22"/>
        </w:rPr>
        <w:t>入第三方审计机构，依托相关审计平台，对岗位职责、制度体系、管理活动开展审计。数</w:t>
      </w:r>
      <w:r>
        <w:rPr>
          <w:rFonts w:ascii="微软雅黑" w:hAnsi="微软雅黑" w:eastAsia="微软雅黑" w:cs="微软雅黑"/>
          <w:color w:val="231F20"/>
          <w:spacing w:val="3"/>
          <w:sz w:val="22"/>
          <w:szCs w:val="22"/>
        </w:rPr>
        <w:t>据文化</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是组织开展数据资产管理的核心价值观和最终驱动力。优化数据服务方式，</w:t>
      </w:r>
      <w:r>
        <w:rPr>
          <w:rFonts w:ascii="微软雅黑" w:hAnsi="微软雅黑" w:eastAsia="微软雅黑" w:cs="微软雅黑"/>
          <w:color w:val="231F20"/>
          <w:spacing w:val="3"/>
          <w:sz w:val="22"/>
          <w:szCs w:val="22"/>
        </w:rPr>
        <w:t>降低数据资产管理参</w:t>
      </w:r>
      <w:r>
        <w:rPr>
          <w:rFonts w:ascii="微软雅黑" w:hAnsi="微软雅黑" w:eastAsia="微软雅黑" w:cs="微软雅黑"/>
          <w:color w:val="231F20"/>
          <w:sz w:val="22"/>
          <w:szCs w:val="22"/>
        </w:rPr>
        <w:t xml:space="preserve"> 与门槛，开展多类型数据技能培训和比赛，加</w:t>
      </w:r>
      <w:r>
        <w:rPr>
          <w:rFonts w:ascii="微软雅黑" w:hAnsi="微软雅黑" w:eastAsia="微软雅黑" w:cs="微软雅黑"/>
          <w:color w:val="231F20"/>
          <w:spacing w:val="-1"/>
          <w:sz w:val="22"/>
          <w:szCs w:val="22"/>
        </w:rPr>
        <w:t>深员工的数据认识，提升员工的数据兴趣。</w:t>
      </w:r>
    </w:p>
    <w:p w14:paraId="5018FE4F">
      <w:pPr>
        <w:pStyle w:val="2"/>
        <w:spacing w:line="246" w:lineRule="auto"/>
      </w:pPr>
    </w:p>
    <w:p w14:paraId="7081437A">
      <w:pPr>
        <w:pStyle w:val="2"/>
        <w:spacing w:line="246" w:lineRule="auto"/>
      </w:pPr>
    </w:p>
    <w:p w14:paraId="0C24124A">
      <w:pPr>
        <w:pStyle w:val="2"/>
        <w:spacing w:line="246" w:lineRule="auto"/>
      </w:pPr>
    </w:p>
    <w:p w14:paraId="3A2EC595">
      <w:pPr>
        <w:pStyle w:val="2"/>
        <w:spacing w:line="246" w:lineRule="auto"/>
      </w:pPr>
    </w:p>
    <w:p w14:paraId="46B6BB28">
      <w:pPr>
        <w:pStyle w:val="2"/>
        <w:spacing w:line="246" w:lineRule="auto"/>
      </w:pPr>
    </w:p>
    <w:p w14:paraId="1AD9C425">
      <w:pPr>
        <w:pStyle w:val="2"/>
        <w:spacing w:line="246" w:lineRule="auto"/>
      </w:pPr>
    </w:p>
    <w:p w14:paraId="7C009824">
      <w:pPr>
        <w:pStyle w:val="2"/>
        <w:spacing w:line="246" w:lineRule="auto"/>
      </w:pPr>
    </w:p>
    <w:p w14:paraId="1972E888">
      <w:pPr>
        <w:pStyle w:val="2"/>
        <w:spacing w:line="246" w:lineRule="auto"/>
      </w:pPr>
    </w:p>
    <w:p w14:paraId="4E3F04F1">
      <w:pPr>
        <w:pStyle w:val="2"/>
        <w:spacing w:line="246" w:lineRule="auto"/>
      </w:pPr>
    </w:p>
    <w:p w14:paraId="3F7FFE7B">
      <w:pPr>
        <w:pStyle w:val="2"/>
        <w:spacing w:line="246" w:lineRule="auto"/>
      </w:pPr>
    </w:p>
    <w:p w14:paraId="12BDB5B9">
      <w:pPr>
        <w:pStyle w:val="2"/>
        <w:spacing w:line="246" w:lineRule="auto"/>
      </w:pPr>
    </w:p>
    <w:p w14:paraId="03544113">
      <w:pPr>
        <w:pStyle w:val="2"/>
        <w:spacing w:line="246" w:lineRule="auto"/>
      </w:pPr>
    </w:p>
    <w:p w14:paraId="5C25EDDF">
      <w:pPr>
        <w:pStyle w:val="2"/>
        <w:spacing w:before="58" w:line="194" w:lineRule="auto"/>
        <w:ind w:left="4845"/>
        <w:rPr>
          <w:sz w:val="20"/>
          <w:szCs w:val="20"/>
        </w:rPr>
      </w:pPr>
      <w:r>
        <w:pict>
          <v:shape id="_x0000_s1267" o:spid="_x0000_s1267" o:spt="202" type="#_x0000_t202" style="position:absolute;left:0pt;margin-left:274.65pt;margin-top:6.6pt;height:15.95pt;width:199.4pt;z-index:251847680;mso-width-relative:page;mso-height-relative:page;" filled="f" stroked="f" coordsize="21600,21600">
            <v:path/>
            <v:fill on="f" focussize="0,0"/>
            <v:stroke on="f"/>
            <v:imagedata o:title=""/>
            <o:lock v:ext="edit" aspectratio="f"/>
            <v:textbox inset="0mm,0mm,0mm,0mm">
              <w:txbxContent>
                <w:p w14:paraId="150548EE">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3"/>
          <w:sz w:val="20"/>
          <w:szCs w:val="20"/>
        </w:rPr>
        <w:t>33</w:t>
      </w:r>
    </w:p>
    <w:p w14:paraId="523AFD1B">
      <w:pPr>
        <w:spacing w:line="194" w:lineRule="auto"/>
        <w:rPr>
          <w:sz w:val="20"/>
          <w:szCs w:val="20"/>
        </w:rPr>
        <w:sectPr>
          <w:pgSz w:w="11906" w:h="16158"/>
          <w:pgMar w:top="400" w:right="1244" w:bottom="400" w:left="1004" w:header="0" w:footer="0" w:gutter="0"/>
          <w:cols w:space="720" w:num="1"/>
        </w:sectPr>
      </w:pPr>
    </w:p>
    <w:p w14:paraId="42DC64CF">
      <w:pPr>
        <w:pStyle w:val="2"/>
        <w:spacing w:line="349" w:lineRule="auto"/>
      </w:pPr>
    </w:p>
    <w:p w14:paraId="37A34226">
      <w:pPr>
        <w:pStyle w:val="2"/>
        <w:spacing w:line="350" w:lineRule="auto"/>
      </w:pPr>
    </w:p>
    <w:p w14:paraId="63487E1C">
      <w:pPr>
        <w:spacing w:before="80" w:line="182" w:lineRule="auto"/>
        <w:rPr>
          <w:rFonts w:ascii="Segoe UI" w:hAnsi="Segoe UI" w:eastAsia="Segoe UI" w:cs="Segoe UI"/>
          <w:sz w:val="24"/>
          <w:szCs w:val="24"/>
        </w:rPr>
      </w:pPr>
      <w:r>
        <w:rPr>
          <w:rFonts w:ascii="Segoe UI" w:hAnsi="Segoe UI" w:eastAsia="Segoe UI" w:cs="Segoe UI"/>
          <w:b/>
          <w:bCs/>
          <w:color w:val="648676"/>
          <w:spacing w:val="25"/>
          <w:w w:val="111"/>
          <w:sz w:val="24"/>
          <w:szCs w:val="24"/>
        </w:rPr>
        <w:t>CHAPTER -4</w:t>
      </w:r>
    </w:p>
    <w:p w14:paraId="0229F7C9">
      <w:pPr>
        <w:spacing w:before="55" w:line="178" w:lineRule="auto"/>
        <w:ind w:left="405"/>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数据资产管理实践步骤</w:t>
      </w:r>
    </w:p>
    <w:p w14:paraId="5FF910C1">
      <w:pPr>
        <w:pStyle w:val="2"/>
        <w:spacing w:line="255" w:lineRule="auto"/>
      </w:pPr>
    </w:p>
    <w:p w14:paraId="33F0E91F">
      <w:pPr>
        <w:pStyle w:val="2"/>
        <w:spacing w:line="255" w:lineRule="auto"/>
      </w:pPr>
    </w:p>
    <w:p w14:paraId="7FFE079A">
      <w:pPr>
        <w:pStyle w:val="2"/>
        <w:spacing w:line="255" w:lineRule="auto"/>
      </w:pPr>
    </w:p>
    <w:p w14:paraId="48F1439D">
      <w:pPr>
        <w:spacing w:before="223" w:line="179" w:lineRule="auto"/>
        <w:ind w:left="276"/>
        <w:rPr>
          <w:rFonts w:ascii="微软雅黑" w:hAnsi="微软雅黑" w:eastAsia="微软雅黑" w:cs="微软雅黑"/>
          <w:sz w:val="52"/>
          <w:szCs w:val="52"/>
        </w:rPr>
      </w:pPr>
      <w:r>
        <w:rPr>
          <w:rFonts w:ascii="微软雅黑" w:hAnsi="微软雅黑" w:eastAsia="微软雅黑" w:cs="微软雅黑"/>
          <w:color w:val="648676"/>
          <w:spacing w:val="-3"/>
          <w:sz w:val="52"/>
          <w:szCs w:val="52"/>
        </w:rPr>
        <w:t>四、数据资产管理实践步骤</w:t>
      </w:r>
    </w:p>
    <w:p w14:paraId="1BD3ADDB">
      <w:pPr>
        <w:pStyle w:val="2"/>
        <w:spacing w:line="264" w:lineRule="auto"/>
      </w:pPr>
    </w:p>
    <w:p w14:paraId="2DCDA60F">
      <w:pPr>
        <w:pStyle w:val="2"/>
        <w:spacing w:line="265" w:lineRule="auto"/>
      </w:pPr>
    </w:p>
    <w:p w14:paraId="07AB8CCB">
      <w:pPr>
        <w:pStyle w:val="2"/>
        <w:spacing w:line="265" w:lineRule="auto"/>
      </w:pPr>
    </w:p>
    <w:p w14:paraId="719E0F8D">
      <w:pPr>
        <w:pStyle w:val="2"/>
        <w:spacing w:line="265" w:lineRule="auto"/>
      </w:pPr>
    </w:p>
    <w:p w14:paraId="311F4B05">
      <w:pPr>
        <w:spacing w:before="94" w:line="289" w:lineRule="auto"/>
        <w:ind w:left="249" w:right="1" w:firstLine="481"/>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本章定义了一种数据资产管理实践的通用步骤：“统筹规划→管理实施→稽核检查→资产运</w:t>
      </w:r>
      <w:r>
        <w:rPr>
          <w:rFonts w:ascii="微软雅黑" w:hAnsi="微软雅黑" w:eastAsia="微软雅黑" w:cs="微软雅黑"/>
          <w:color w:val="231F20"/>
          <w:spacing w:val="2"/>
          <w:sz w:val="22"/>
          <w:szCs w:val="22"/>
        </w:rPr>
        <w:t xml:space="preserve"> </w:t>
      </w:r>
      <w:r>
        <w:rPr>
          <w:rFonts w:ascii="微软雅黑" w:hAnsi="微软雅黑" w:eastAsia="微软雅黑" w:cs="微软雅黑"/>
          <w:color w:val="231F20"/>
          <w:spacing w:val="4"/>
          <w:sz w:val="22"/>
          <w:szCs w:val="22"/>
        </w:rPr>
        <w:t>营”。需要说明的是，各步骤之间并无严格的先后顺序，组织可结合自身情</w:t>
      </w:r>
      <w:r>
        <w:rPr>
          <w:rFonts w:ascii="微软雅黑" w:hAnsi="微软雅黑" w:eastAsia="微软雅黑" w:cs="微软雅黑"/>
          <w:color w:val="231F20"/>
          <w:spacing w:val="3"/>
          <w:sz w:val="22"/>
          <w:szCs w:val="22"/>
        </w:rPr>
        <w:t>况在各阶段制定合理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的实施方案。</w:t>
      </w:r>
    </w:p>
    <w:p w14:paraId="22989DE8">
      <w:pPr>
        <w:pStyle w:val="2"/>
        <w:spacing w:line="394" w:lineRule="auto"/>
      </w:pPr>
      <w:r>
        <w:drawing>
          <wp:anchor distT="0" distB="0" distL="0" distR="0" simplePos="0" relativeHeight="251850752" behindDoc="0" locked="0" layoutInCell="1" allowOverlap="1">
            <wp:simplePos x="0" y="0"/>
            <wp:positionH relativeFrom="column">
              <wp:posOffset>1694815</wp:posOffset>
            </wp:positionH>
            <wp:positionV relativeFrom="paragraph">
              <wp:posOffset>237490</wp:posOffset>
            </wp:positionV>
            <wp:extent cx="1179830" cy="330200"/>
            <wp:effectExtent l="0" t="0" r="0" b="0"/>
            <wp:wrapNone/>
            <wp:docPr id="230" name="IM 230"/>
            <wp:cNvGraphicFramePr/>
            <a:graphic xmlns:a="http://schemas.openxmlformats.org/drawingml/2006/main">
              <a:graphicData uri="http://schemas.openxmlformats.org/drawingml/2006/picture">
                <pic:pic xmlns:pic="http://schemas.openxmlformats.org/drawingml/2006/picture">
                  <pic:nvPicPr>
                    <pic:cNvPr id="230" name="IM 230"/>
                    <pic:cNvPicPr/>
                  </pic:nvPicPr>
                  <pic:blipFill>
                    <a:blip r:embed="rId144"/>
                    <a:stretch>
                      <a:fillRect/>
                    </a:stretch>
                  </pic:blipFill>
                  <pic:spPr>
                    <a:xfrm>
                      <a:off x="0" y="0"/>
                      <a:ext cx="1179880" cy="330085"/>
                    </a:xfrm>
                    <a:prstGeom prst="rect">
                      <a:avLst/>
                    </a:prstGeom>
                  </pic:spPr>
                </pic:pic>
              </a:graphicData>
            </a:graphic>
          </wp:anchor>
        </w:drawing>
      </w:r>
      <w:r>
        <w:drawing>
          <wp:anchor distT="0" distB="0" distL="0" distR="0" simplePos="0" relativeHeight="251854848" behindDoc="0" locked="0" layoutInCell="1" allowOverlap="1">
            <wp:simplePos x="0" y="0"/>
            <wp:positionH relativeFrom="column">
              <wp:posOffset>3260725</wp:posOffset>
            </wp:positionH>
            <wp:positionV relativeFrom="paragraph">
              <wp:posOffset>251460</wp:posOffset>
            </wp:positionV>
            <wp:extent cx="1095375" cy="330200"/>
            <wp:effectExtent l="0" t="0" r="0" b="0"/>
            <wp:wrapNone/>
            <wp:docPr id="232" name="IM 232"/>
            <wp:cNvGraphicFramePr/>
            <a:graphic xmlns:a="http://schemas.openxmlformats.org/drawingml/2006/main">
              <a:graphicData uri="http://schemas.openxmlformats.org/drawingml/2006/picture">
                <pic:pic xmlns:pic="http://schemas.openxmlformats.org/drawingml/2006/picture">
                  <pic:nvPicPr>
                    <pic:cNvPr id="232" name="IM 232"/>
                    <pic:cNvPicPr/>
                  </pic:nvPicPr>
                  <pic:blipFill>
                    <a:blip r:embed="rId145"/>
                    <a:stretch>
                      <a:fillRect/>
                    </a:stretch>
                  </pic:blipFill>
                  <pic:spPr>
                    <a:xfrm>
                      <a:off x="0" y="0"/>
                      <a:ext cx="1095603" cy="330085"/>
                    </a:xfrm>
                    <a:prstGeom prst="rect">
                      <a:avLst/>
                    </a:prstGeom>
                  </pic:spPr>
                </pic:pic>
              </a:graphicData>
            </a:graphic>
          </wp:anchor>
        </w:drawing>
      </w:r>
    </w:p>
    <w:p w14:paraId="4C3FCAEF">
      <w:pPr>
        <w:spacing w:line="498" w:lineRule="exact"/>
        <w:ind w:firstLine="7469"/>
      </w:pPr>
      <w:r>
        <w:drawing>
          <wp:anchor distT="0" distB="0" distL="0" distR="0" simplePos="0" relativeHeight="251867136" behindDoc="0" locked="0" layoutInCell="1" allowOverlap="1">
            <wp:simplePos x="0" y="0"/>
            <wp:positionH relativeFrom="column">
              <wp:posOffset>473075</wp:posOffset>
            </wp:positionH>
            <wp:positionV relativeFrom="paragraph">
              <wp:posOffset>136525</wp:posOffset>
            </wp:positionV>
            <wp:extent cx="66675" cy="107950"/>
            <wp:effectExtent l="0" t="0" r="0" b="0"/>
            <wp:wrapNone/>
            <wp:docPr id="234" name="IM 234"/>
            <wp:cNvGraphicFramePr/>
            <a:graphic xmlns:a="http://schemas.openxmlformats.org/drawingml/2006/main">
              <a:graphicData uri="http://schemas.openxmlformats.org/drawingml/2006/picture">
                <pic:pic xmlns:pic="http://schemas.openxmlformats.org/drawingml/2006/picture">
                  <pic:nvPicPr>
                    <pic:cNvPr id="234" name="IM 234"/>
                    <pic:cNvPicPr/>
                  </pic:nvPicPr>
                  <pic:blipFill>
                    <a:blip r:embed="rId146"/>
                    <a:stretch>
                      <a:fillRect/>
                    </a:stretch>
                  </pic:blipFill>
                  <pic:spPr>
                    <a:xfrm>
                      <a:off x="0" y="0"/>
                      <a:ext cx="66941" cy="108089"/>
                    </a:xfrm>
                    <a:prstGeom prst="rect">
                      <a:avLst/>
                    </a:prstGeom>
                  </pic:spPr>
                </pic:pic>
              </a:graphicData>
            </a:graphic>
          </wp:anchor>
        </w:drawing>
      </w:r>
      <w:r>
        <w:drawing>
          <wp:anchor distT="0" distB="0" distL="0" distR="0" simplePos="0" relativeHeight="251862016" behindDoc="0" locked="0" layoutInCell="1" allowOverlap="1">
            <wp:simplePos x="0" y="0"/>
            <wp:positionH relativeFrom="column">
              <wp:posOffset>605790</wp:posOffset>
            </wp:positionH>
            <wp:positionV relativeFrom="paragraph">
              <wp:posOffset>13970</wp:posOffset>
            </wp:positionV>
            <wp:extent cx="989965" cy="287655"/>
            <wp:effectExtent l="0" t="0" r="0" b="0"/>
            <wp:wrapNone/>
            <wp:docPr id="236" name="IM 236"/>
            <wp:cNvGraphicFramePr/>
            <a:graphic xmlns:a="http://schemas.openxmlformats.org/drawingml/2006/main">
              <a:graphicData uri="http://schemas.openxmlformats.org/drawingml/2006/picture">
                <pic:pic xmlns:pic="http://schemas.openxmlformats.org/drawingml/2006/picture">
                  <pic:nvPicPr>
                    <pic:cNvPr id="236" name="IM 236"/>
                    <pic:cNvPicPr/>
                  </pic:nvPicPr>
                  <pic:blipFill>
                    <a:blip r:embed="rId147"/>
                    <a:stretch>
                      <a:fillRect/>
                    </a:stretch>
                  </pic:blipFill>
                  <pic:spPr>
                    <a:xfrm>
                      <a:off x="0" y="0"/>
                      <a:ext cx="990256" cy="287947"/>
                    </a:xfrm>
                    <a:prstGeom prst="rect">
                      <a:avLst/>
                    </a:prstGeom>
                  </pic:spPr>
                </pic:pic>
              </a:graphicData>
            </a:graphic>
          </wp:anchor>
        </w:drawing>
      </w:r>
      <w:r>
        <w:drawing>
          <wp:anchor distT="0" distB="0" distL="0" distR="0" simplePos="0" relativeHeight="251865088" behindDoc="0" locked="0" layoutInCell="1" allowOverlap="1">
            <wp:simplePos x="0" y="0"/>
            <wp:positionH relativeFrom="column">
              <wp:posOffset>2987040</wp:posOffset>
            </wp:positionH>
            <wp:positionV relativeFrom="paragraph">
              <wp:posOffset>112395</wp:posOffset>
            </wp:positionV>
            <wp:extent cx="161290" cy="1460500"/>
            <wp:effectExtent l="0" t="0" r="0" b="0"/>
            <wp:wrapNone/>
            <wp:docPr id="238" name="IM 238"/>
            <wp:cNvGraphicFramePr/>
            <a:graphic xmlns:a="http://schemas.openxmlformats.org/drawingml/2006/main">
              <a:graphicData uri="http://schemas.openxmlformats.org/drawingml/2006/picture">
                <pic:pic xmlns:pic="http://schemas.openxmlformats.org/drawingml/2006/picture">
                  <pic:nvPicPr>
                    <pic:cNvPr id="238" name="IM 238"/>
                    <pic:cNvPicPr/>
                  </pic:nvPicPr>
                  <pic:blipFill>
                    <a:blip r:embed="rId148"/>
                    <a:stretch>
                      <a:fillRect/>
                    </a:stretch>
                  </pic:blipFill>
                  <pic:spPr>
                    <a:xfrm>
                      <a:off x="0" y="0"/>
                      <a:ext cx="161531" cy="1460806"/>
                    </a:xfrm>
                    <a:prstGeom prst="rect">
                      <a:avLst/>
                    </a:prstGeom>
                  </pic:spPr>
                </pic:pic>
              </a:graphicData>
            </a:graphic>
          </wp:anchor>
        </w:drawing>
      </w:r>
      <w:r>
        <w:drawing>
          <wp:anchor distT="0" distB="0" distL="0" distR="0" simplePos="0" relativeHeight="251866112" behindDoc="0" locked="0" layoutInCell="1" allowOverlap="1">
            <wp:simplePos x="0" y="0"/>
            <wp:positionH relativeFrom="column">
              <wp:posOffset>4461510</wp:posOffset>
            </wp:positionH>
            <wp:positionV relativeFrom="paragraph">
              <wp:posOffset>112395</wp:posOffset>
            </wp:positionV>
            <wp:extent cx="161290" cy="1460500"/>
            <wp:effectExtent l="0" t="0" r="0" b="0"/>
            <wp:wrapNone/>
            <wp:docPr id="240" name="IM 240"/>
            <wp:cNvGraphicFramePr/>
            <a:graphic xmlns:a="http://schemas.openxmlformats.org/drawingml/2006/main">
              <a:graphicData uri="http://schemas.openxmlformats.org/drawingml/2006/picture">
                <pic:pic xmlns:pic="http://schemas.openxmlformats.org/drawingml/2006/picture">
                  <pic:nvPicPr>
                    <pic:cNvPr id="240" name="IM 240"/>
                    <pic:cNvPicPr/>
                  </pic:nvPicPr>
                  <pic:blipFill>
                    <a:blip r:embed="rId149"/>
                    <a:stretch>
                      <a:fillRect/>
                    </a:stretch>
                  </pic:blipFill>
                  <pic:spPr>
                    <a:xfrm>
                      <a:off x="0" y="0"/>
                      <a:ext cx="161531" cy="1460806"/>
                    </a:xfrm>
                    <a:prstGeom prst="rect">
                      <a:avLst/>
                    </a:prstGeom>
                  </pic:spPr>
                </pic:pic>
              </a:graphicData>
            </a:graphic>
          </wp:anchor>
        </w:drawing>
      </w:r>
      <w:r>
        <w:rPr>
          <w:position w:val="-9"/>
        </w:rPr>
        <w:pict>
          <v:group id="_x0000_s1268" o:spid="_x0000_s1268" o:spt="203" style="height:24.9pt;width:90.7pt;" coordsize="1813,497">
            <o:lock v:ext="edit"/>
            <v:shape id="_x0000_s1269" o:spid="_x0000_s1269" o:spt="75" type="#_x0000_t75" style="position:absolute;left:0;top:0;height:497;width:1813;" filled="f" stroked="f" coordsize="21600,21600">
              <v:path/>
              <v:fill on="f" focussize="0,0"/>
              <v:stroke on="f"/>
              <v:imagedata r:id="rId150" o:title=""/>
              <o:lock v:ext="edit" aspectratio="t"/>
            </v:shape>
            <v:shape id="_x0000_s1270" o:spid="_x0000_s1270" o:spt="202" type="#_x0000_t202" style="position:absolute;left:-20;top:-20;height:537;width:1853;" filled="f" stroked="f" coordsize="21600,21600">
              <v:path/>
              <v:fill on="f" focussize="0,0"/>
              <v:stroke on="f"/>
              <v:imagedata o:title=""/>
              <o:lock v:ext="edit" aspectratio="f"/>
              <v:textbox inset="0mm,0mm,0mm,0mm">
                <w:txbxContent>
                  <w:p w14:paraId="53EAF876">
                    <w:pPr>
                      <w:spacing w:before="300" w:line="150" w:lineRule="exact"/>
                      <w:ind w:left="1086"/>
                      <w:rPr>
                        <w:rFonts w:ascii="微软雅黑" w:hAnsi="微软雅黑" w:eastAsia="微软雅黑" w:cs="微软雅黑"/>
                        <w:sz w:val="15"/>
                        <w:szCs w:val="15"/>
                      </w:rPr>
                    </w:pPr>
                    <w:r>
                      <w:rPr>
                        <w:rFonts w:ascii="微软雅黑" w:hAnsi="微软雅黑" w:eastAsia="微软雅黑" w:cs="微软雅黑"/>
                        <w:spacing w:val="2"/>
                        <w:position w:val="-1"/>
                        <w:sz w:val="15"/>
                        <w:szCs w:val="15"/>
                      </w:rPr>
                      <w:t>规范</w:t>
                    </w:r>
                  </w:p>
                </w:txbxContent>
              </v:textbox>
            </v:shape>
            <w10:wrap type="none"/>
            <w10:anchorlock/>
          </v:group>
        </w:pict>
      </w:r>
    </w:p>
    <w:p w14:paraId="2B7AFCCE">
      <w:pPr>
        <w:pStyle w:val="2"/>
        <w:spacing w:line="372" w:lineRule="auto"/>
      </w:pPr>
      <w:r>
        <w:drawing>
          <wp:anchor distT="0" distB="0" distL="0" distR="0" simplePos="0" relativeHeight="251856896" behindDoc="0" locked="0" layoutInCell="1" allowOverlap="1">
            <wp:simplePos x="0" y="0"/>
            <wp:positionH relativeFrom="column">
              <wp:posOffset>4742815</wp:posOffset>
            </wp:positionH>
            <wp:positionV relativeFrom="paragraph">
              <wp:posOffset>140335</wp:posOffset>
            </wp:positionV>
            <wp:extent cx="1158875" cy="302260"/>
            <wp:effectExtent l="0" t="0" r="0" b="0"/>
            <wp:wrapNone/>
            <wp:docPr id="242" name="IM 242"/>
            <wp:cNvGraphicFramePr/>
            <a:graphic xmlns:a="http://schemas.openxmlformats.org/drawingml/2006/main">
              <a:graphicData uri="http://schemas.openxmlformats.org/drawingml/2006/picture">
                <pic:pic xmlns:pic="http://schemas.openxmlformats.org/drawingml/2006/picture">
                  <pic:nvPicPr>
                    <pic:cNvPr id="242" name="IM 242"/>
                    <pic:cNvPicPr/>
                  </pic:nvPicPr>
                  <pic:blipFill>
                    <a:blip r:embed="rId151"/>
                    <a:stretch>
                      <a:fillRect/>
                    </a:stretch>
                  </pic:blipFill>
                  <pic:spPr>
                    <a:xfrm>
                      <a:off x="0" y="0"/>
                      <a:ext cx="1158811" cy="301993"/>
                    </a:xfrm>
                    <a:prstGeom prst="rect">
                      <a:avLst/>
                    </a:prstGeom>
                  </pic:spPr>
                </pic:pic>
              </a:graphicData>
            </a:graphic>
          </wp:anchor>
        </w:drawing>
      </w:r>
      <w:r>
        <w:drawing>
          <wp:anchor distT="0" distB="0" distL="0" distR="0" simplePos="0" relativeHeight="251864064" behindDoc="0" locked="0" layoutInCell="1" allowOverlap="1">
            <wp:simplePos x="0" y="0"/>
            <wp:positionH relativeFrom="column">
              <wp:posOffset>605790</wp:posOffset>
            </wp:positionH>
            <wp:positionV relativeFrom="paragraph">
              <wp:posOffset>161290</wp:posOffset>
            </wp:positionV>
            <wp:extent cx="989965" cy="280670"/>
            <wp:effectExtent l="0" t="0" r="0" b="0"/>
            <wp:wrapNone/>
            <wp:docPr id="244" name="IM 244"/>
            <wp:cNvGraphicFramePr/>
            <a:graphic xmlns:a="http://schemas.openxmlformats.org/drawingml/2006/main">
              <a:graphicData uri="http://schemas.openxmlformats.org/drawingml/2006/picture">
                <pic:pic xmlns:pic="http://schemas.openxmlformats.org/drawingml/2006/picture">
                  <pic:nvPicPr>
                    <pic:cNvPr id="244" name="IM 244"/>
                    <pic:cNvPicPr/>
                  </pic:nvPicPr>
                  <pic:blipFill>
                    <a:blip r:embed="rId152"/>
                    <a:stretch>
                      <a:fillRect/>
                    </a:stretch>
                  </pic:blipFill>
                  <pic:spPr>
                    <a:xfrm>
                      <a:off x="0" y="0"/>
                      <a:ext cx="990256" cy="280923"/>
                    </a:xfrm>
                    <a:prstGeom prst="rect">
                      <a:avLst/>
                    </a:prstGeom>
                  </pic:spPr>
                </pic:pic>
              </a:graphicData>
            </a:graphic>
          </wp:anchor>
        </w:drawing>
      </w:r>
      <w:r>
        <w:drawing>
          <wp:anchor distT="0" distB="0" distL="0" distR="0" simplePos="0" relativeHeight="251857920" behindDoc="0" locked="0" layoutInCell="1" allowOverlap="1">
            <wp:simplePos x="0" y="0"/>
            <wp:positionH relativeFrom="column">
              <wp:posOffset>1694815</wp:posOffset>
            </wp:positionH>
            <wp:positionV relativeFrom="paragraph">
              <wp:posOffset>147320</wp:posOffset>
            </wp:positionV>
            <wp:extent cx="1179830" cy="280670"/>
            <wp:effectExtent l="0" t="0" r="0" b="0"/>
            <wp:wrapNone/>
            <wp:docPr id="246" name="IM 246"/>
            <wp:cNvGraphicFramePr/>
            <a:graphic xmlns:a="http://schemas.openxmlformats.org/drawingml/2006/main">
              <a:graphicData uri="http://schemas.openxmlformats.org/drawingml/2006/picture">
                <pic:pic xmlns:pic="http://schemas.openxmlformats.org/drawingml/2006/picture">
                  <pic:nvPicPr>
                    <pic:cNvPr id="246" name="IM 246"/>
                    <pic:cNvPicPr/>
                  </pic:nvPicPr>
                  <pic:blipFill>
                    <a:blip r:embed="rId153"/>
                    <a:stretch>
                      <a:fillRect/>
                    </a:stretch>
                  </pic:blipFill>
                  <pic:spPr>
                    <a:xfrm>
                      <a:off x="0" y="0"/>
                      <a:ext cx="1179880" cy="280923"/>
                    </a:xfrm>
                    <a:prstGeom prst="rect">
                      <a:avLst/>
                    </a:prstGeom>
                  </pic:spPr>
                </pic:pic>
              </a:graphicData>
            </a:graphic>
          </wp:anchor>
        </w:drawing>
      </w:r>
      <w:r>
        <w:drawing>
          <wp:anchor distT="0" distB="0" distL="0" distR="0" simplePos="0" relativeHeight="251859968" behindDoc="0" locked="0" layoutInCell="1" allowOverlap="1">
            <wp:simplePos x="0" y="0"/>
            <wp:positionH relativeFrom="column">
              <wp:posOffset>3260725</wp:posOffset>
            </wp:positionH>
            <wp:positionV relativeFrom="paragraph">
              <wp:posOffset>154305</wp:posOffset>
            </wp:positionV>
            <wp:extent cx="1095375" cy="287655"/>
            <wp:effectExtent l="0" t="0" r="0" b="0"/>
            <wp:wrapNone/>
            <wp:docPr id="248" name="IM 248"/>
            <wp:cNvGraphicFramePr/>
            <a:graphic xmlns:a="http://schemas.openxmlformats.org/drawingml/2006/main">
              <a:graphicData uri="http://schemas.openxmlformats.org/drawingml/2006/picture">
                <pic:pic xmlns:pic="http://schemas.openxmlformats.org/drawingml/2006/picture">
                  <pic:nvPicPr>
                    <pic:cNvPr id="248" name="IM 248"/>
                    <pic:cNvPicPr/>
                  </pic:nvPicPr>
                  <pic:blipFill>
                    <a:blip r:embed="rId154"/>
                    <a:stretch>
                      <a:fillRect/>
                    </a:stretch>
                  </pic:blipFill>
                  <pic:spPr>
                    <a:xfrm>
                      <a:off x="0" y="0"/>
                      <a:ext cx="1095603" cy="287947"/>
                    </a:xfrm>
                    <a:prstGeom prst="rect">
                      <a:avLst/>
                    </a:prstGeom>
                  </pic:spPr>
                </pic:pic>
              </a:graphicData>
            </a:graphic>
          </wp:anchor>
        </w:drawing>
      </w:r>
    </w:p>
    <w:p w14:paraId="5647D9B0">
      <w:pPr>
        <w:pStyle w:val="2"/>
        <w:spacing w:before="49" w:line="209" w:lineRule="auto"/>
        <w:ind w:left="738"/>
        <w:rPr>
          <w:sz w:val="17"/>
          <w:szCs w:val="17"/>
        </w:rPr>
      </w:pPr>
      <w:r>
        <w:rPr>
          <w:color w:val="B5B5B5"/>
          <w:spacing w:val="16"/>
          <w:sz w:val="17"/>
          <w:szCs w:val="17"/>
        </w:rPr>
        <w:t>2</w:t>
      </w:r>
    </w:p>
    <w:p w14:paraId="02B2A837">
      <w:pPr>
        <w:pStyle w:val="2"/>
        <w:spacing w:line="438" w:lineRule="auto"/>
      </w:pPr>
      <w:r>
        <w:drawing>
          <wp:anchor distT="0" distB="0" distL="0" distR="0" simplePos="0" relativeHeight="251848704" behindDoc="0" locked="0" layoutInCell="1" allowOverlap="1">
            <wp:simplePos x="0" y="0"/>
            <wp:positionH relativeFrom="column">
              <wp:posOffset>4742815</wp:posOffset>
            </wp:positionH>
            <wp:positionV relativeFrom="paragraph">
              <wp:posOffset>198755</wp:posOffset>
            </wp:positionV>
            <wp:extent cx="1151890" cy="344170"/>
            <wp:effectExtent l="0" t="0" r="0" b="0"/>
            <wp:wrapNone/>
            <wp:docPr id="250" name="IM 250"/>
            <wp:cNvGraphicFramePr/>
            <a:graphic xmlns:a="http://schemas.openxmlformats.org/drawingml/2006/main">
              <a:graphicData uri="http://schemas.openxmlformats.org/drawingml/2006/picture">
                <pic:pic xmlns:pic="http://schemas.openxmlformats.org/drawingml/2006/picture">
                  <pic:nvPicPr>
                    <pic:cNvPr id="250" name="IM 250"/>
                    <pic:cNvPicPr/>
                  </pic:nvPicPr>
                  <pic:blipFill>
                    <a:blip r:embed="rId155"/>
                    <a:stretch>
                      <a:fillRect/>
                    </a:stretch>
                  </pic:blipFill>
                  <pic:spPr>
                    <a:xfrm>
                      <a:off x="0" y="0"/>
                      <a:ext cx="1151788" cy="344119"/>
                    </a:xfrm>
                    <a:prstGeom prst="rect">
                      <a:avLst/>
                    </a:prstGeom>
                  </pic:spPr>
                </pic:pic>
              </a:graphicData>
            </a:graphic>
          </wp:anchor>
        </w:drawing>
      </w:r>
      <w:r>
        <w:drawing>
          <wp:anchor distT="0" distB="0" distL="0" distR="0" simplePos="0" relativeHeight="251860992" behindDoc="0" locked="0" layoutInCell="1" allowOverlap="1">
            <wp:simplePos x="0" y="0"/>
            <wp:positionH relativeFrom="column">
              <wp:posOffset>619760</wp:posOffset>
            </wp:positionH>
            <wp:positionV relativeFrom="paragraph">
              <wp:posOffset>212725</wp:posOffset>
            </wp:positionV>
            <wp:extent cx="997585" cy="287655"/>
            <wp:effectExtent l="0" t="0" r="0" b="0"/>
            <wp:wrapNone/>
            <wp:docPr id="252" name="IM 252"/>
            <wp:cNvGraphicFramePr/>
            <a:graphic xmlns:a="http://schemas.openxmlformats.org/drawingml/2006/main">
              <a:graphicData uri="http://schemas.openxmlformats.org/drawingml/2006/picture">
                <pic:pic xmlns:pic="http://schemas.openxmlformats.org/drawingml/2006/picture">
                  <pic:nvPicPr>
                    <pic:cNvPr id="252" name="IM 252"/>
                    <pic:cNvPicPr/>
                  </pic:nvPicPr>
                  <pic:blipFill>
                    <a:blip r:embed="rId156"/>
                    <a:stretch>
                      <a:fillRect/>
                    </a:stretch>
                  </pic:blipFill>
                  <pic:spPr>
                    <a:xfrm>
                      <a:off x="0" y="0"/>
                      <a:ext cx="997281" cy="287947"/>
                    </a:xfrm>
                    <a:prstGeom prst="rect">
                      <a:avLst/>
                    </a:prstGeom>
                  </pic:spPr>
                </pic:pic>
              </a:graphicData>
            </a:graphic>
          </wp:anchor>
        </w:drawing>
      </w:r>
      <w:r>
        <w:drawing>
          <wp:anchor distT="0" distB="0" distL="0" distR="0" simplePos="0" relativeHeight="251852800" behindDoc="0" locked="0" layoutInCell="1" allowOverlap="1">
            <wp:simplePos x="0" y="0"/>
            <wp:positionH relativeFrom="column">
              <wp:posOffset>1701800</wp:posOffset>
            </wp:positionH>
            <wp:positionV relativeFrom="paragraph">
              <wp:posOffset>198755</wp:posOffset>
            </wp:positionV>
            <wp:extent cx="1179830" cy="323215"/>
            <wp:effectExtent l="0" t="0" r="0" b="0"/>
            <wp:wrapNone/>
            <wp:docPr id="254" name="IM 254"/>
            <wp:cNvGraphicFramePr/>
            <a:graphic xmlns:a="http://schemas.openxmlformats.org/drawingml/2006/main">
              <a:graphicData uri="http://schemas.openxmlformats.org/drawingml/2006/picture">
                <pic:pic xmlns:pic="http://schemas.openxmlformats.org/drawingml/2006/picture">
                  <pic:nvPicPr>
                    <pic:cNvPr id="254" name="IM 254"/>
                    <pic:cNvPicPr/>
                  </pic:nvPicPr>
                  <pic:blipFill>
                    <a:blip r:embed="rId157"/>
                    <a:stretch>
                      <a:fillRect/>
                    </a:stretch>
                  </pic:blipFill>
                  <pic:spPr>
                    <a:xfrm>
                      <a:off x="0" y="0"/>
                      <a:ext cx="1179880" cy="323062"/>
                    </a:xfrm>
                    <a:prstGeom prst="rect">
                      <a:avLst/>
                    </a:prstGeom>
                  </pic:spPr>
                </pic:pic>
              </a:graphicData>
            </a:graphic>
          </wp:anchor>
        </w:drawing>
      </w:r>
      <w:r>
        <w:drawing>
          <wp:anchor distT="0" distB="0" distL="0" distR="0" simplePos="0" relativeHeight="251855872" behindDoc="0" locked="0" layoutInCell="1" allowOverlap="1">
            <wp:simplePos x="0" y="0"/>
            <wp:positionH relativeFrom="column">
              <wp:posOffset>3267710</wp:posOffset>
            </wp:positionH>
            <wp:positionV relativeFrom="paragraph">
              <wp:posOffset>198755</wp:posOffset>
            </wp:positionV>
            <wp:extent cx="1088390" cy="323215"/>
            <wp:effectExtent l="0" t="0" r="0" b="0"/>
            <wp:wrapNone/>
            <wp:docPr id="256" name="IM 256"/>
            <wp:cNvGraphicFramePr/>
            <a:graphic xmlns:a="http://schemas.openxmlformats.org/drawingml/2006/main">
              <a:graphicData uri="http://schemas.openxmlformats.org/drawingml/2006/picture">
                <pic:pic xmlns:pic="http://schemas.openxmlformats.org/drawingml/2006/picture">
                  <pic:nvPicPr>
                    <pic:cNvPr id="256" name="IM 256"/>
                    <pic:cNvPicPr/>
                  </pic:nvPicPr>
                  <pic:blipFill>
                    <a:blip r:embed="rId158"/>
                    <a:stretch>
                      <a:fillRect/>
                    </a:stretch>
                  </pic:blipFill>
                  <pic:spPr>
                    <a:xfrm>
                      <a:off x="0" y="0"/>
                      <a:ext cx="1088580" cy="323062"/>
                    </a:xfrm>
                    <a:prstGeom prst="rect">
                      <a:avLst/>
                    </a:prstGeom>
                  </pic:spPr>
                </pic:pic>
              </a:graphicData>
            </a:graphic>
          </wp:anchor>
        </w:drawing>
      </w:r>
    </w:p>
    <w:p w14:paraId="48A9EE47">
      <w:pPr>
        <w:pStyle w:val="2"/>
        <w:spacing w:before="49" w:line="212" w:lineRule="auto"/>
        <w:ind w:left="758"/>
        <w:rPr>
          <w:sz w:val="17"/>
          <w:szCs w:val="17"/>
        </w:rPr>
      </w:pPr>
      <w:r>
        <w:rPr>
          <w:color w:val="6B8F80"/>
          <w:spacing w:val="10"/>
          <w:sz w:val="17"/>
          <w:szCs w:val="17"/>
        </w:rPr>
        <w:t>3</w:t>
      </w:r>
    </w:p>
    <w:p w14:paraId="230B0AE3">
      <w:pPr>
        <w:pStyle w:val="2"/>
        <w:spacing w:line="241" w:lineRule="auto"/>
      </w:pPr>
    </w:p>
    <w:p w14:paraId="3A54811D">
      <w:pPr>
        <w:pStyle w:val="2"/>
        <w:spacing w:line="241" w:lineRule="auto"/>
      </w:pPr>
      <w:r>
        <w:drawing>
          <wp:anchor distT="0" distB="0" distL="0" distR="0" simplePos="0" relativeHeight="251853824" behindDoc="0" locked="0" layoutInCell="1" allowOverlap="1">
            <wp:simplePos x="0" y="0"/>
            <wp:positionH relativeFrom="column">
              <wp:posOffset>4742815</wp:posOffset>
            </wp:positionH>
            <wp:positionV relativeFrom="paragraph">
              <wp:posOffset>86995</wp:posOffset>
            </wp:positionV>
            <wp:extent cx="1158875" cy="323215"/>
            <wp:effectExtent l="0" t="0" r="0" b="0"/>
            <wp:wrapNone/>
            <wp:docPr id="258" name="IM 258"/>
            <wp:cNvGraphicFramePr/>
            <a:graphic xmlns:a="http://schemas.openxmlformats.org/drawingml/2006/main">
              <a:graphicData uri="http://schemas.openxmlformats.org/drawingml/2006/picture">
                <pic:pic xmlns:pic="http://schemas.openxmlformats.org/drawingml/2006/picture">
                  <pic:nvPicPr>
                    <pic:cNvPr id="258" name="IM 258"/>
                    <pic:cNvPicPr/>
                  </pic:nvPicPr>
                  <pic:blipFill>
                    <a:blip r:embed="rId159"/>
                    <a:stretch>
                      <a:fillRect/>
                    </a:stretch>
                  </pic:blipFill>
                  <pic:spPr>
                    <a:xfrm>
                      <a:off x="0" y="0"/>
                      <a:ext cx="1158811" cy="323062"/>
                    </a:xfrm>
                    <a:prstGeom prst="rect">
                      <a:avLst/>
                    </a:prstGeom>
                  </pic:spPr>
                </pic:pic>
              </a:graphicData>
            </a:graphic>
          </wp:anchor>
        </w:drawing>
      </w:r>
      <w:r>
        <w:drawing>
          <wp:anchor distT="0" distB="0" distL="0" distR="0" simplePos="0" relativeHeight="251863040" behindDoc="0" locked="0" layoutInCell="1" allowOverlap="1">
            <wp:simplePos x="0" y="0"/>
            <wp:positionH relativeFrom="column">
              <wp:posOffset>627380</wp:posOffset>
            </wp:positionH>
            <wp:positionV relativeFrom="paragraph">
              <wp:posOffset>94615</wp:posOffset>
            </wp:positionV>
            <wp:extent cx="989965" cy="280670"/>
            <wp:effectExtent l="0" t="0" r="0" b="0"/>
            <wp:wrapNone/>
            <wp:docPr id="260" name="IM 260"/>
            <wp:cNvGraphicFramePr/>
            <a:graphic xmlns:a="http://schemas.openxmlformats.org/drawingml/2006/main">
              <a:graphicData uri="http://schemas.openxmlformats.org/drawingml/2006/picture">
                <pic:pic xmlns:pic="http://schemas.openxmlformats.org/drawingml/2006/picture">
                  <pic:nvPicPr>
                    <pic:cNvPr id="260" name="IM 260"/>
                    <pic:cNvPicPr/>
                  </pic:nvPicPr>
                  <pic:blipFill>
                    <a:blip r:embed="rId160"/>
                    <a:stretch>
                      <a:fillRect/>
                    </a:stretch>
                  </pic:blipFill>
                  <pic:spPr>
                    <a:xfrm>
                      <a:off x="0" y="0"/>
                      <a:ext cx="990258" cy="280923"/>
                    </a:xfrm>
                    <a:prstGeom prst="rect">
                      <a:avLst/>
                    </a:prstGeom>
                  </pic:spPr>
                </pic:pic>
              </a:graphicData>
            </a:graphic>
          </wp:anchor>
        </w:drawing>
      </w:r>
      <w:r>
        <w:drawing>
          <wp:anchor distT="0" distB="0" distL="0" distR="0" simplePos="0" relativeHeight="251849728" behindDoc="0" locked="0" layoutInCell="1" allowOverlap="1">
            <wp:simplePos x="0" y="0"/>
            <wp:positionH relativeFrom="column">
              <wp:posOffset>1687830</wp:posOffset>
            </wp:positionH>
            <wp:positionV relativeFrom="paragraph">
              <wp:posOffset>80010</wp:posOffset>
            </wp:positionV>
            <wp:extent cx="1186815" cy="330200"/>
            <wp:effectExtent l="0" t="0" r="0" b="0"/>
            <wp:wrapNone/>
            <wp:docPr id="262" name="IM 262"/>
            <wp:cNvGraphicFramePr/>
            <a:graphic xmlns:a="http://schemas.openxmlformats.org/drawingml/2006/main">
              <a:graphicData uri="http://schemas.openxmlformats.org/drawingml/2006/picture">
                <pic:pic xmlns:pic="http://schemas.openxmlformats.org/drawingml/2006/picture">
                  <pic:nvPicPr>
                    <pic:cNvPr id="262" name="IM 262"/>
                    <pic:cNvPicPr/>
                  </pic:nvPicPr>
                  <pic:blipFill>
                    <a:blip r:embed="rId161"/>
                    <a:stretch>
                      <a:fillRect/>
                    </a:stretch>
                  </pic:blipFill>
                  <pic:spPr>
                    <a:xfrm>
                      <a:off x="0" y="0"/>
                      <a:ext cx="1186903" cy="330085"/>
                    </a:xfrm>
                    <a:prstGeom prst="rect">
                      <a:avLst/>
                    </a:prstGeom>
                  </pic:spPr>
                </pic:pic>
              </a:graphicData>
            </a:graphic>
          </wp:anchor>
        </w:drawing>
      </w:r>
      <w:r>
        <w:drawing>
          <wp:anchor distT="0" distB="0" distL="0" distR="0" simplePos="0" relativeHeight="251858944" behindDoc="0" locked="0" layoutInCell="1" allowOverlap="1">
            <wp:simplePos x="0" y="0"/>
            <wp:positionH relativeFrom="column">
              <wp:posOffset>3253740</wp:posOffset>
            </wp:positionH>
            <wp:positionV relativeFrom="paragraph">
              <wp:posOffset>94615</wp:posOffset>
            </wp:positionV>
            <wp:extent cx="1102360" cy="295275"/>
            <wp:effectExtent l="0" t="0" r="0" b="0"/>
            <wp:wrapNone/>
            <wp:docPr id="264" name="IM 264"/>
            <wp:cNvGraphicFramePr/>
            <a:graphic xmlns:a="http://schemas.openxmlformats.org/drawingml/2006/main">
              <a:graphicData uri="http://schemas.openxmlformats.org/drawingml/2006/picture">
                <pic:pic xmlns:pic="http://schemas.openxmlformats.org/drawingml/2006/picture">
                  <pic:nvPicPr>
                    <pic:cNvPr id="264" name="IM 264"/>
                    <pic:cNvPicPr/>
                  </pic:nvPicPr>
                  <pic:blipFill>
                    <a:blip r:embed="rId162"/>
                    <a:stretch>
                      <a:fillRect/>
                    </a:stretch>
                  </pic:blipFill>
                  <pic:spPr>
                    <a:xfrm>
                      <a:off x="0" y="0"/>
                      <a:ext cx="1102626" cy="294970"/>
                    </a:xfrm>
                    <a:prstGeom prst="rect">
                      <a:avLst/>
                    </a:prstGeom>
                  </pic:spPr>
                </pic:pic>
              </a:graphicData>
            </a:graphic>
          </wp:anchor>
        </w:drawing>
      </w:r>
    </w:p>
    <w:p w14:paraId="4B9F9022">
      <w:pPr>
        <w:pStyle w:val="2"/>
        <w:spacing w:before="63" w:line="159" w:lineRule="auto"/>
        <w:ind w:left="745"/>
        <w:rPr>
          <w:sz w:val="22"/>
          <w:szCs w:val="22"/>
        </w:rPr>
      </w:pPr>
      <w:r>
        <w:rPr>
          <w:color w:val="A6A6A6"/>
          <w:spacing w:val="3"/>
          <w:sz w:val="22"/>
          <w:szCs w:val="22"/>
        </w:rPr>
        <w:t>4</w:t>
      </w:r>
    </w:p>
    <w:p w14:paraId="4345A693">
      <w:pPr>
        <w:pStyle w:val="2"/>
        <w:spacing w:line="360" w:lineRule="auto"/>
      </w:pPr>
    </w:p>
    <w:p w14:paraId="069B8885">
      <w:pPr>
        <w:spacing w:before="87" w:line="204" w:lineRule="auto"/>
        <w:ind w:left="3652"/>
        <w:rPr>
          <w:rFonts w:ascii="微软雅黑" w:hAnsi="微软雅黑" w:eastAsia="微软雅黑" w:cs="微软雅黑"/>
          <w:sz w:val="20"/>
          <w:szCs w:val="20"/>
        </w:rPr>
      </w:pPr>
      <w:r>
        <w:rPr>
          <w:rFonts w:ascii="微软雅黑" w:hAnsi="微软雅黑" w:eastAsia="微软雅黑" w:cs="微软雅黑"/>
          <w:color w:val="231F20"/>
          <w:spacing w:val="1"/>
          <w:sz w:val="20"/>
          <w:szCs w:val="20"/>
        </w:rPr>
        <w:t>图</w:t>
      </w:r>
      <w:r>
        <w:rPr>
          <w:rFonts w:ascii="微软雅黑" w:hAnsi="微软雅黑" w:eastAsia="微软雅黑" w:cs="微软雅黑"/>
          <w:color w:val="231F20"/>
          <w:spacing w:val="40"/>
          <w:sz w:val="20"/>
          <w:szCs w:val="20"/>
        </w:rPr>
        <w:t xml:space="preserve"> </w:t>
      </w:r>
      <w:r>
        <w:rPr>
          <w:rFonts w:ascii="微软雅黑" w:hAnsi="微软雅黑" w:eastAsia="微软雅黑" w:cs="微软雅黑"/>
          <w:color w:val="231F20"/>
          <w:spacing w:val="1"/>
          <w:sz w:val="20"/>
          <w:szCs w:val="20"/>
        </w:rPr>
        <w:t>16 数据资产管理实践步骤</w:t>
      </w:r>
    </w:p>
    <w:p w14:paraId="428FE3BB">
      <w:pPr>
        <w:pStyle w:val="2"/>
        <w:spacing w:line="293" w:lineRule="auto"/>
      </w:pPr>
    </w:p>
    <w:p w14:paraId="46F929BC">
      <w:pPr>
        <w:pStyle w:val="2"/>
        <w:spacing w:line="293" w:lineRule="auto"/>
      </w:pPr>
    </w:p>
    <w:p w14:paraId="60EA5F6B">
      <w:pPr>
        <w:pStyle w:val="2"/>
        <w:spacing w:line="293" w:lineRule="auto"/>
      </w:pPr>
    </w:p>
    <w:p w14:paraId="76E61C30">
      <w:pPr>
        <w:spacing w:before="121"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9"/>
          <w:sz w:val="28"/>
          <w:szCs w:val="28"/>
        </w:rPr>
        <w:t>( 一 )</w:t>
      </w:r>
      <w:r>
        <w:rPr>
          <w:rFonts w:ascii="微软雅黑" w:hAnsi="微软雅黑" w:eastAsia="微软雅黑" w:cs="微软雅黑"/>
          <w:color w:val="648676"/>
          <w:spacing w:val="34"/>
          <w:sz w:val="28"/>
          <w:szCs w:val="28"/>
        </w:rPr>
        <w:t xml:space="preserve"> </w:t>
      </w:r>
      <w:r>
        <w:rPr>
          <w:rFonts w:ascii="微软雅黑" w:hAnsi="微软雅黑" w:eastAsia="微软雅黑" w:cs="微软雅黑"/>
          <w:color w:val="648676"/>
          <w:spacing w:val="9"/>
          <w:sz w:val="28"/>
          <w:szCs w:val="28"/>
        </w:rPr>
        <w:t>第一阶段：统筹规划</w:t>
      </w:r>
    </w:p>
    <w:p w14:paraId="1602CABA">
      <w:pPr>
        <w:pStyle w:val="2"/>
        <w:spacing w:line="411" w:lineRule="auto"/>
      </w:pPr>
    </w:p>
    <w:p w14:paraId="36EF1FFC">
      <w:pPr>
        <w:spacing w:before="95" w:line="287" w:lineRule="auto"/>
        <w:ind w:left="247" w:right="10" w:firstLine="483"/>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数据资产管理实施第一阶段是统筹规划，包括评估管理能力、发布数据战略、</w:t>
      </w:r>
      <w:r>
        <w:rPr>
          <w:rFonts w:ascii="微软雅黑" w:hAnsi="微软雅黑" w:eastAsia="微软雅黑" w:cs="微软雅黑"/>
          <w:color w:val="231F20"/>
          <w:spacing w:val="2"/>
          <w:sz w:val="22"/>
          <w:szCs w:val="22"/>
        </w:rPr>
        <w:t>建立组织责任</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体系三个步骤，为后续数据资产管理和运营锚定方向、奠定基础。</w:t>
      </w:r>
    </w:p>
    <w:p w14:paraId="61EC47AA">
      <w:pPr>
        <w:spacing w:before="16" w:line="291" w:lineRule="auto"/>
        <w:ind w:left="247" w:firstLine="481"/>
        <w:rPr>
          <w:rFonts w:ascii="微软雅黑" w:hAnsi="微软雅黑" w:eastAsia="微软雅黑" w:cs="微软雅黑"/>
          <w:sz w:val="22"/>
          <w:szCs w:val="22"/>
        </w:rPr>
      </w:pPr>
      <w:r>
        <w:rPr>
          <w:rFonts w:ascii="微软雅黑" w:hAnsi="微软雅黑" w:eastAsia="微软雅黑" w:cs="微软雅黑"/>
          <w:color w:val="231F20"/>
          <w:spacing w:val="8"/>
          <w:sz w:val="22"/>
          <w:szCs w:val="22"/>
        </w:rPr>
        <w:t>第一步是盘点数据资产，评估数据资产管理能力。</w:t>
      </w:r>
      <w:r>
        <w:rPr>
          <w:rFonts w:ascii="微软雅黑" w:hAnsi="微软雅黑" w:eastAsia="微软雅黑" w:cs="微软雅黑"/>
          <w:color w:val="231F20"/>
          <w:spacing w:val="-29"/>
          <w:sz w:val="22"/>
          <w:szCs w:val="22"/>
        </w:rPr>
        <w:t xml:space="preserve"> </w:t>
      </w:r>
      <w:r>
        <w:rPr>
          <w:rFonts w:ascii="微软雅黑" w:hAnsi="微软雅黑" w:eastAsia="微软雅黑" w:cs="微软雅黑"/>
          <w:color w:val="231F20"/>
          <w:spacing w:val="8"/>
          <w:sz w:val="22"/>
          <w:szCs w:val="22"/>
        </w:rPr>
        <w:t>利用技术工具从业务系统或</w:t>
      </w:r>
      <w:r>
        <w:rPr>
          <w:rFonts w:ascii="微软雅黑" w:hAnsi="微软雅黑" w:eastAsia="微软雅黑" w:cs="微软雅黑"/>
          <w:color w:val="231F20"/>
          <w:spacing w:val="7"/>
          <w:sz w:val="22"/>
          <w:szCs w:val="22"/>
        </w:rPr>
        <w:t>大数据平台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抽取数据、采集元数据、识别数据关系，可视化包含元数据、数据字典的数据模型，并从业务</w:t>
      </w:r>
      <w:r>
        <w:rPr>
          <w:rFonts w:ascii="微软雅黑" w:hAnsi="微软雅黑" w:eastAsia="微软雅黑" w:cs="微软雅黑"/>
          <w:color w:val="231F20"/>
          <w:spacing w:val="10"/>
          <w:sz w:val="22"/>
          <w:szCs w:val="22"/>
        </w:rPr>
        <w:t xml:space="preserve"> </w:t>
      </w:r>
      <w:r>
        <w:rPr>
          <w:rFonts w:ascii="微软雅黑" w:hAnsi="微软雅黑" w:eastAsia="微软雅黑" w:cs="微软雅黑"/>
          <w:color w:val="231F20"/>
          <w:spacing w:val="9"/>
          <w:sz w:val="22"/>
          <w:szCs w:val="22"/>
        </w:rPr>
        <w:t>流程和数据应用的视角出发，完善包含业务属性、管理属性的数据资产信息，形成数据资产地</w:t>
      </w:r>
      <w:r>
        <w:rPr>
          <w:rFonts w:ascii="微软雅黑" w:hAnsi="微软雅黑" w:eastAsia="微软雅黑" w:cs="微软雅黑"/>
          <w:color w:val="231F20"/>
          <w:spacing w:val="8"/>
          <w:sz w:val="22"/>
          <w:szCs w:val="22"/>
        </w:rPr>
        <w:t xml:space="preserve"> </w:t>
      </w:r>
      <w:r>
        <w:rPr>
          <w:rFonts w:ascii="微软雅黑" w:hAnsi="微软雅黑" w:eastAsia="微软雅黑" w:cs="微软雅黑"/>
          <w:color w:val="231F20"/>
          <w:spacing w:val="1"/>
          <w:sz w:val="22"/>
          <w:szCs w:val="22"/>
        </w:rPr>
        <w:t>图。此外，  从制度、组织、活动、价值、技术等维度对组织的</w:t>
      </w:r>
      <w:r>
        <w:rPr>
          <w:rFonts w:ascii="微软雅黑" w:hAnsi="微软雅黑" w:eastAsia="微软雅黑" w:cs="微软雅黑"/>
          <w:color w:val="231F20"/>
          <w:sz w:val="22"/>
          <w:szCs w:val="22"/>
        </w:rPr>
        <w:t xml:space="preserve">数据资产管理开展全面评估（如表 </w:t>
      </w:r>
      <w:r>
        <w:rPr>
          <w:rFonts w:ascii="微软雅黑" w:hAnsi="微软雅黑" w:eastAsia="微软雅黑" w:cs="微软雅黑"/>
          <w:color w:val="231F20"/>
          <w:spacing w:val="4"/>
          <w:sz w:val="22"/>
          <w:szCs w:val="22"/>
        </w:rPr>
        <w:t>5 所示</w:t>
      </w:r>
      <w:r>
        <w:rPr>
          <w:rFonts w:ascii="微软雅黑" w:hAnsi="微软雅黑" w:eastAsia="微软雅黑" w:cs="微软雅黑"/>
          <w:color w:val="231F20"/>
          <w:sz w:val="22"/>
          <w:szCs w:val="22"/>
        </w:rPr>
        <w:t>）</w:t>
      </w:r>
      <w:r>
        <w:rPr>
          <w:rFonts w:ascii="微软雅黑" w:hAnsi="微软雅黑" w:eastAsia="微软雅黑" w:cs="微软雅黑"/>
          <w:color w:val="231F20"/>
          <w:spacing w:val="-13"/>
          <w:sz w:val="22"/>
          <w:szCs w:val="22"/>
        </w:rPr>
        <w:t xml:space="preserve"> </w:t>
      </w:r>
      <w:r>
        <w:rPr>
          <w:rFonts w:ascii="微软雅黑" w:hAnsi="微软雅黑" w:eastAsia="微软雅黑" w:cs="微软雅黑"/>
          <w:color w:val="231F20"/>
          <w:sz w:val="22"/>
          <w:szCs w:val="22"/>
        </w:rPr>
        <w:t>，</w:t>
      </w:r>
      <w:r>
        <w:rPr>
          <w:rFonts w:ascii="微软雅黑" w:hAnsi="微软雅黑" w:eastAsia="微软雅黑" w:cs="微软雅黑"/>
          <w:color w:val="231F20"/>
          <w:spacing w:val="4"/>
          <w:sz w:val="22"/>
          <w:szCs w:val="22"/>
        </w:rPr>
        <w:t>将评估结果作为评估基线，有助于</w:t>
      </w:r>
      <w:r>
        <w:rPr>
          <w:rFonts w:ascii="微软雅黑" w:hAnsi="微软雅黑" w:eastAsia="微软雅黑" w:cs="微软雅黑"/>
          <w:color w:val="231F20"/>
          <w:spacing w:val="3"/>
          <w:sz w:val="22"/>
          <w:szCs w:val="22"/>
        </w:rPr>
        <w:t>组织了解管理现状与问题，进一步指导数据战略规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划的制定。</w:t>
      </w:r>
    </w:p>
    <w:p w14:paraId="36125DDF">
      <w:pPr>
        <w:pStyle w:val="2"/>
        <w:spacing w:before="259" w:line="194" w:lineRule="auto"/>
        <w:ind w:left="4845"/>
        <w:rPr>
          <w:sz w:val="20"/>
          <w:szCs w:val="20"/>
        </w:rPr>
      </w:pPr>
      <w:r>
        <w:pict>
          <v:shape id="_x0000_s1271" o:spid="_x0000_s1271" o:spt="202" type="#_x0000_t202" style="position:absolute;left:0pt;margin-left:274.65pt;margin-top:16.6pt;height:15.95pt;width:199.4pt;z-index:251851776;mso-width-relative:page;mso-height-relative:page;" filled="f" stroked="f" coordsize="21600,21600">
            <v:path/>
            <v:fill on="f" focussize="0,0"/>
            <v:stroke on="f"/>
            <v:imagedata o:title=""/>
            <o:lock v:ext="edit" aspectratio="f"/>
            <v:textbox inset="0mm,0mm,0mm,0mm">
              <w:txbxContent>
                <w:p w14:paraId="437F65A0">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3"/>
          <w:sz w:val="20"/>
          <w:szCs w:val="20"/>
        </w:rPr>
        <w:t>34</w:t>
      </w:r>
    </w:p>
    <w:p w14:paraId="109B2663">
      <w:pPr>
        <w:spacing w:line="194" w:lineRule="auto"/>
        <w:rPr>
          <w:sz w:val="20"/>
          <w:szCs w:val="20"/>
        </w:rPr>
        <w:sectPr>
          <w:pgSz w:w="11906" w:h="16158"/>
          <w:pgMar w:top="400" w:right="1244" w:bottom="400" w:left="1004" w:header="0" w:footer="0" w:gutter="0"/>
          <w:cols w:space="720" w:num="1"/>
        </w:sectPr>
      </w:pPr>
    </w:p>
    <w:p w14:paraId="5BA3E075">
      <w:pPr>
        <w:pStyle w:val="2"/>
        <w:spacing w:line="349" w:lineRule="auto"/>
      </w:pPr>
    </w:p>
    <w:p w14:paraId="7E1CEED3">
      <w:pPr>
        <w:pStyle w:val="2"/>
        <w:spacing w:line="350" w:lineRule="auto"/>
      </w:pPr>
    </w:p>
    <w:p w14:paraId="06F8AE02">
      <w:pPr>
        <w:spacing w:before="80" w:line="182" w:lineRule="auto"/>
        <w:rPr>
          <w:rFonts w:ascii="Segoe UI" w:hAnsi="Segoe UI" w:eastAsia="Segoe UI" w:cs="Segoe UI"/>
          <w:sz w:val="24"/>
          <w:szCs w:val="24"/>
        </w:rPr>
      </w:pPr>
      <w:r>
        <w:rPr>
          <w:rFonts w:ascii="Segoe UI" w:hAnsi="Segoe UI" w:eastAsia="Segoe UI" w:cs="Segoe UI"/>
          <w:b/>
          <w:bCs/>
          <w:color w:val="648676"/>
          <w:spacing w:val="25"/>
          <w:w w:val="111"/>
          <w:sz w:val="24"/>
          <w:szCs w:val="24"/>
        </w:rPr>
        <w:t>CHAPTER -4</w:t>
      </w:r>
    </w:p>
    <w:p w14:paraId="749CD972">
      <w:pPr>
        <w:spacing w:before="55" w:line="178" w:lineRule="auto"/>
        <w:ind w:left="405"/>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数据资产管理实践步骤</w:t>
      </w:r>
    </w:p>
    <w:p w14:paraId="006BE78C">
      <w:pPr>
        <w:pStyle w:val="2"/>
        <w:spacing w:line="295" w:lineRule="auto"/>
      </w:pPr>
    </w:p>
    <w:p w14:paraId="6B45B548">
      <w:pPr>
        <w:pStyle w:val="2"/>
        <w:spacing w:line="296" w:lineRule="auto"/>
      </w:pPr>
    </w:p>
    <w:p w14:paraId="66F2B1F2">
      <w:pPr>
        <w:pStyle w:val="2"/>
        <w:spacing w:line="296" w:lineRule="auto"/>
      </w:pPr>
    </w:p>
    <w:p w14:paraId="59A34E06">
      <w:pPr>
        <w:spacing w:before="86" w:line="204" w:lineRule="auto"/>
        <w:ind w:left="3193"/>
        <w:rPr>
          <w:rFonts w:ascii="微软雅黑" w:hAnsi="微软雅黑" w:eastAsia="微软雅黑" w:cs="微软雅黑"/>
          <w:sz w:val="20"/>
          <w:szCs w:val="20"/>
        </w:rPr>
      </w:pPr>
      <w:bookmarkStart w:id="43" w:name="bookmark45"/>
      <w:bookmarkEnd w:id="43"/>
      <w:r>
        <w:rPr>
          <w:rFonts w:ascii="微软雅黑" w:hAnsi="微软雅黑" w:eastAsia="微软雅黑" w:cs="微软雅黑"/>
          <w:color w:val="231F20"/>
          <w:spacing w:val="4"/>
          <w:sz w:val="20"/>
          <w:szCs w:val="20"/>
        </w:rPr>
        <w:t>表 5 数据资产管理能力评估维度及要点</w:t>
      </w:r>
    </w:p>
    <w:p w14:paraId="609B47B4">
      <w:pPr>
        <w:spacing w:line="157" w:lineRule="exact"/>
      </w:pPr>
    </w:p>
    <w:tbl>
      <w:tblPr>
        <w:tblStyle w:val="5"/>
        <w:tblW w:w="9393" w:type="dxa"/>
        <w:tblInd w:w="252"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2168"/>
        <w:gridCol w:w="7225"/>
      </w:tblGrid>
      <w:tr w14:paraId="3ACE45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43" w:hRule="atLeast"/>
        </w:trPr>
        <w:tc>
          <w:tcPr>
            <w:tcW w:w="2168" w:type="dxa"/>
            <w:tcBorders>
              <w:top w:val="single" w:color="FFFFFF" w:sz="4" w:space="0"/>
              <w:left w:val="single" w:color="FFFFFF" w:sz="4" w:space="0"/>
              <w:right w:val="single" w:color="FFFFFF" w:sz="4" w:space="0"/>
            </w:tcBorders>
            <w:shd w:val="clear" w:color="auto" w:fill="648676"/>
            <w:vAlign w:val="top"/>
          </w:tcPr>
          <w:p w14:paraId="4EC6EE07">
            <w:pPr>
              <w:pStyle w:val="6"/>
              <w:spacing w:before="102" w:line="208" w:lineRule="auto"/>
              <w:ind w:left="642"/>
            </w:pPr>
            <w:r>
              <w:rPr>
                <w:color w:val="FFFFFF"/>
                <w:spacing w:val="-2"/>
              </w:rPr>
              <w:t>评估维度</w:t>
            </w:r>
          </w:p>
        </w:tc>
        <w:tc>
          <w:tcPr>
            <w:tcW w:w="7225" w:type="dxa"/>
            <w:tcBorders>
              <w:top w:val="single" w:color="FFFFFF" w:sz="4" w:space="0"/>
              <w:left w:val="single" w:color="FFFFFF" w:sz="4" w:space="0"/>
              <w:right w:val="single" w:color="FFFFFF" w:sz="4" w:space="0"/>
            </w:tcBorders>
            <w:shd w:val="clear" w:color="auto" w:fill="648676"/>
            <w:vAlign w:val="top"/>
          </w:tcPr>
          <w:p w14:paraId="2B034CCC">
            <w:pPr>
              <w:pStyle w:val="6"/>
              <w:spacing w:before="116" w:line="178" w:lineRule="auto"/>
              <w:ind w:left="3171"/>
            </w:pPr>
            <w:r>
              <w:rPr>
                <w:color w:val="FFFFFF"/>
                <w:spacing w:val="-2"/>
              </w:rPr>
              <w:t>评估要点</w:t>
            </w:r>
          </w:p>
        </w:tc>
      </w:tr>
      <w:tr w14:paraId="761A99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04" w:hRule="atLeast"/>
        </w:trPr>
        <w:tc>
          <w:tcPr>
            <w:tcW w:w="2168" w:type="dxa"/>
            <w:shd w:val="clear" w:color="auto" w:fill="EDF3F0"/>
            <w:vAlign w:val="top"/>
          </w:tcPr>
          <w:p w14:paraId="29B89426">
            <w:pPr>
              <w:pStyle w:val="6"/>
              <w:spacing w:before="87" w:line="208" w:lineRule="auto"/>
              <w:ind w:left="877"/>
              <w:rPr>
                <w:sz w:val="20"/>
                <w:szCs w:val="20"/>
              </w:rPr>
            </w:pPr>
            <w:r>
              <w:rPr>
                <w:spacing w:val="-2"/>
                <w:sz w:val="20"/>
                <w:szCs w:val="20"/>
              </w:rPr>
              <w:t>制度</w:t>
            </w:r>
          </w:p>
        </w:tc>
        <w:tc>
          <w:tcPr>
            <w:tcW w:w="7225" w:type="dxa"/>
            <w:shd w:val="clear" w:color="auto" w:fill="E9E8E8"/>
            <w:vAlign w:val="top"/>
          </w:tcPr>
          <w:p w14:paraId="007016F4">
            <w:pPr>
              <w:pStyle w:val="6"/>
              <w:spacing w:before="88" w:line="206" w:lineRule="auto"/>
              <w:ind w:left="104"/>
              <w:rPr>
                <w:sz w:val="20"/>
                <w:szCs w:val="20"/>
              </w:rPr>
            </w:pPr>
            <w:r>
              <w:rPr>
                <w:sz w:val="20"/>
                <w:szCs w:val="20"/>
              </w:rPr>
              <w:t>数据资产管理制度体系的完整性、规范性、指导性；流程</w:t>
            </w:r>
            <w:r>
              <w:rPr>
                <w:spacing w:val="-1"/>
                <w:sz w:val="20"/>
                <w:szCs w:val="20"/>
              </w:rPr>
              <w:t>管控和优化能力</w:t>
            </w:r>
          </w:p>
        </w:tc>
      </w:tr>
      <w:tr w14:paraId="599AB7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04" w:hRule="atLeast"/>
        </w:trPr>
        <w:tc>
          <w:tcPr>
            <w:tcW w:w="2168" w:type="dxa"/>
            <w:shd w:val="clear" w:color="auto" w:fill="EDF3F0"/>
            <w:vAlign w:val="top"/>
          </w:tcPr>
          <w:p w14:paraId="17CC175E">
            <w:pPr>
              <w:pStyle w:val="6"/>
              <w:spacing w:before="102" w:line="178" w:lineRule="auto"/>
              <w:ind w:left="876"/>
              <w:rPr>
                <w:sz w:val="20"/>
                <w:szCs w:val="20"/>
              </w:rPr>
            </w:pPr>
            <w:r>
              <w:rPr>
                <w:spacing w:val="-2"/>
                <w:sz w:val="20"/>
                <w:szCs w:val="20"/>
              </w:rPr>
              <w:t>组织</w:t>
            </w:r>
          </w:p>
        </w:tc>
        <w:tc>
          <w:tcPr>
            <w:tcW w:w="7225" w:type="dxa"/>
            <w:shd w:val="clear" w:color="auto" w:fill="E9E8E8"/>
            <w:vAlign w:val="top"/>
          </w:tcPr>
          <w:p w14:paraId="56BAF85A">
            <w:pPr>
              <w:pStyle w:val="6"/>
              <w:spacing w:before="91" w:line="206" w:lineRule="auto"/>
              <w:ind w:left="103"/>
              <w:rPr>
                <w:sz w:val="20"/>
                <w:szCs w:val="20"/>
              </w:rPr>
            </w:pPr>
            <w:r>
              <w:rPr>
                <w:spacing w:val="-2"/>
                <w:sz w:val="20"/>
                <w:szCs w:val="20"/>
              </w:rPr>
              <w:t>组织、角色、职责合理性；数据责任体系的完整性；</w:t>
            </w:r>
          </w:p>
        </w:tc>
      </w:tr>
      <w:tr w14:paraId="1236A3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081" w:hRule="atLeast"/>
        </w:trPr>
        <w:tc>
          <w:tcPr>
            <w:tcW w:w="2168" w:type="dxa"/>
            <w:shd w:val="clear" w:color="auto" w:fill="EDF3F0"/>
            <w:vAlign w:val="top"/>
          </w:tcPr>
          <w:p w14:paraId="1BD99AFE">
            <w:pPr>
              <w:spacing w:line="359" w:lineRule="auto"/>
              <w:rPr>
                <w:rFonts w:ascii="Arial"/>
                <w:sz w:val="21"/>
              </w:rPr>
            </w:pPr>
          </w:p>
          <w:p w14:paraId="22FA296D">
            <w:pPr>
              <w:pStyle w:val="6"/>
              <w:spacing w:before="86" w:line="177" w:lineRule="auto"/>
              <w:ind w:left="876"/>
              <w:rPr>
                <w:sz w:val="20"/>
                <w:szCs w:val="20"/>
              </w:rPr>
            </w:pPr>
            <w:r>
              <w:rPr>
                <w:spacing w:val="-2"/>
                <w:sz w:val="20"/>
                <w:szCs w:val="20"/>
              </w:rPr>
              <w:t>活动</w:t>
            </w:r>
          </w:p>
        </w:tc>
        <w:tc>
          <w:tcPr>
            <w:tcW w:w="7225" w:type="dxa"/>
            <w:shd w:val="clear" w:color="auto" w:fill="E9E8E8"/>
            <w:vAlign w:val="top"/>
          </w:tcPr>
          <w:p w14:paraId="6DFAC072">
            <w:pPr>
              <w:pStyle w:val="6"/>
              <w:spacing w:before="93" w:line="228" w:lineRule="auto"/>
              <w:ind w:left="103" w:right="25"/>
              <w:jc w:val="both"/>
              <w:rPr>
                <w:sz w:val="20"/>
                <w:szCs w:val="20"/>
              </w:rPr>
            </w:pPr>
            <w:r>
              <w:rPr>
                <w:sz w:val="20"/>
                <w:szCs w:val="20"/>
              </w:rPr>
              <w:t>活动职能全面性、整体性；各项活动职能交付物的合理性、准确性</w:t>
            </w:r>
            <w:r>
              <w:rPr>
                <w:spacing w:val="-1"/>
                <w:sz w:val="20"/>
                <w:szCs w:val="20"/>
              </w:rPr>
              <w:t>、规范性、完</w:t>
            </w:r>
            <w:r>
              <w:rPr>
                <w:sz w:val="20"/>
                <w:szCs w:val="20"/>
              </w:rPr>
              <w:t xml:space="preserve">  </w:t>
            </w:r>
            <w:r>
              <w:rPr>
                <w:spacing w:val="-3"/>
                <w:sz w:val="20"/>
                <w:szCs w:val="20"/>
              </w:rPr>
              <w:t>整性；记录和优化各项活动管理过程能力；</w:t>
            </w:r>
            <w:r>
              <w:rPr>
                <w:spacing w:val="-4"/>
                <w:sz w:val="20"/>
                <w:szCs w:val="20"/>
              </w:rPr>
              <w:t>数据资源化程度（包括数据质量优劣、</w:t>
            </w:r>
            <w:r>
              <w:rPr>
                <w:sz w:val="20"/>
                <w:szCs w:val="20"/>
              </w:rPr>
              <w:t xml:space="preserve"> 数据安全性等）</w:t>
            </w:r>
          </w:p>
        </w:tc>
      </w:tr>
      <w:tr w14:paraId="10765F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04" w:hRule="atLeast"/>
        </w:trPr>
        <w:tc>
          <w:tcPr>
            <w:tcW w:w="2168" w:type="dxa"/>
            <w:shd w:val="clear" w:color="auto" w:fill="EDF3F0"/>
            <w:vAlign w:val="top"/>
          </w:tcPr>
          <w:p w14:paraId="5C2DE517">
            <w:pPr>
              <w:pStyle w:val="6"/>
              <w:spacing w:before="99" w:line="206" w:lineRule="auto"/>
              <w:ind w:left="876"/>
              <w:rPr>
                <w:sz w:val="20"/>
                <w:szCs w:val="20"/>
              </w:rPr>
            </w:pPr>
            <w:r>
              <w:rPr>
                <w:spacing w:val="-2"/>
                <w:sz w:val="20"/>
                <w:szCs w:val="20"/>
              </w:rPr>
              <w:t>价值</w:t>
            </w:r>
          </w:p>
        </w:tc>
        <w:tc>
          <w:tcPr>
            <w:tcW w:w="7225" w:type="dxa"/>
            <w:shd w:val="clear" w:color="auto" w:fill="E9E8E8"/>
            <w:vAlign w:val="top"/>
          </w:tcPr>
          <w:p w14:paraId="0F812D89">
            <w:pPr>
              <w:pStyle w:val="6"/>
              <w:spacing w:before="99" w:line="206" w:lineRule="auto"/>
              <w:ind w:left="104"/>
              <w:rPr>
                <w:sz w:val="20"/>
                <w:szCs w:val="20"/>
              </w:rPr>
            </w:pPr>
            <w:r>
              <w:rPr>
                <w:sz w:val="20"/>
                <w:szCs w:val="20"/>
              </w:rPr>
              <w:t>数据服务、数据应用、数据流通、数据价值评估</w:t>
            </w:r>
            <w:r>
              <w:rPr>
                <w:spacing w:val="-1"/>
                <w:sz w:val="20"/>
                <w:szCs w:val="20"/>
              </w:rPr>
              <w:t>、数据运营能力</w:t>
            </w:r>
          </w:p>
        </w:tc>
      </w:tr>
      <w:tr w14:paraId="7C84A5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753" w:hRule="atLeast"/>
        </w:trPr>
        <w:tc>
          <w:tcPr>
            <w:tcW w:w="2168" w:type="dxa"/>
            <w:shd w:val="clear" w:color="auto" w:fill="EDF3F0"/>
            <w:vAlign w:val="top"/>
          </w:tcPr>
          <w:p w14:paraId="51FC6DA3">
            <w:pPr>
              <w:pStyle w:val="6"/>
              <w:spacing w:before="272" w:line="207" w:lineRule="auto"/>
              <w:ind w:left="876"/>
              <w:rPr>
                <w:sz w:val="20"/>
                <w:szCs w:val="20"/>
              </w:rPr>
            </w:pPr>
            <w:r>
              <w:rPr>
                <w:spacing w:val="-2"/>
                <w:sz w:val="20"/>
                <w:szCs w:val="20"/>
              </w:rPr>
              <w:t>技术</w:t>
            </w:r>
          </w:p>
        </w:tc>
        <w:tc>
          <w:tcPr>
            <w:tcW w:w="7225" w:type="dxa"/>
            <w:shd w:val="clear" w:color="auto" w:fill="E9E8E8"/>
            <w:vAlign w:val="top"/>
          </w:tcPr>
          <w:p w14:paraId="16D548D0">
            <w:pPr>
              <w:pStyle w:val="6"/>
              <w:spacing w:before="102" w:line="224" w:lineRule="auto"/>
              <w:ind w:left="104" w:right="106" w:firstLine="1"/>
              <w:rPr>
                <w:sz w:val="20"/>
                <w:szCs w:val="20"/>
              </w:rPr>
            </w:pPr>
            <w:r>
              <w:rPr>
                <w:sz w:val="20"/>
                <w:szCs w:val="20"/>
              </w:rPr>
              <w:t>大数据平台、数据资产管理技术工具相关性能、功能完备程</w:t>
            </w:r>
            <w:r>
              <w:rPr>
                <w:spacing w:val="-1"/>
                <w:sz w:val="20"/>
                <w:szCs w:val="20"/>
              </w:rPr>
              <w:t>度、一体化程度；云</w:t>
            </w:r>
            <w:r>
              <w:rPr>
                <w:sz w:val="20"/>
                <w:szCs w:val="20"/>
              </w:rPr>
              <w:t xml:space="preserve"> </w:t>
            </w:r>
            <w:r>
              <w:rPr>
                <w:spacing w:val="-1"/>
                <w:sz w:val="20"/>
                <w:szCs w:val="20"/>
              </w:rPr>
              <w:t>计算、AI、隐私计算等关联技术储备程度</w:t>
            </w:r>
          </w:p>
        </w:tc>
      </w:tr>
    </w:tbl>
    <w:p w14:paraId="5E6F1EF2">
      <w:pPr>
        <w:pStyle w:val="2"/>
        <w:spacing w:line="443" w:lineRule="auto"/>
      </w:pPr>
    </w:p>
    <w:p w14:paraId="73939096">
      <w:pPr>
        <w:spacing w:before="94" w:line="287" w:lineRule="auto"/>
        <w:ind w:left="247" w:right="9"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第一步的主要交付物包括：数据资产盘点清单、数据架构或数据模型、数据资产管</w:t>
      </w:r>
      <w:r>
        <w:rPr>
          <w:rFonts w:ascii="微软雅黑" w:hAnsi="微软雅黑" w:eastAsia="微软雅黑" w:cs="微软雅黑"/>
          <w:color w:val="231F20"/>
          <w:spacing w:val="2"/>
          <w:sz w:val="22"/>
          <w:szCs w:val="22"/>
        </w:rPr>
        <w:t>理现状评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估报告、数据资产管理差距分析报告。</w:t>
      </w:r>
    </w:p>
    <w:p w14:paraId="40906F4B">
      <w:pPr>
        <w:spacing w:before="18" w:line="290" w:lineRule="auto"/>
        <w:ind w:left="247" w:right="9"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第二步是制定并发布数据战略。主要是根据数据资产管理现状评估结果与差距分析，</w:t>
      </w:r>
      <w:r>
        <w:rPr>
          <w:rFonts w:ascii="微软雅黑" w:hAnsi="微软雅黑" w:eastAsia="微软雅黑" w:cs="微软雅黑"/>
          <w:color w:val="231F20"/>
          <w:spacing w:val="2"/>
          <w:sz w:val="22"/>
          <w:szCs w:val="22"/>
        </w:rPr>
        <w:t>召集数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据资产管理相关利益者，明确数据战略规划及执行计划</w:t>
      </w:r>
      <w:r>
        <w:rPr>
          <w:rFonts w:ascii="微软雅黑" w:hAnsi="微软雅黑" w:eastAsia="微软雅黑" w:cs="微软雅黑"/>
          <w:color w:val="231F20"/>
          <w:spacing w:val="3"/>
          <w:sz w:val="22"/>
          <w:szCs w:val="22"/>
        </w:rPr>
        <w:t>。同时，为适应业务的快速变化，采用相</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对敏捷的方式开展数据资产管理工作，定期调整数据</w:t>
      </w:r>
      <w:r>
        <w:rPr>
          <w:rFonts w:ascii="微软雅黑" w:hAnsi="微软雅黑" w:eastAsia="微软雅黑" w:cs="微软雅黑"/>
          <w:color w:val="231F20"/>
          <w:spacing w:val="3"/>
          <w:sz w:val="22"/>
          <w:szCs w:val="22"/>
        </w:rPr>
        <w:t>战略短期规划与执行计划。详细阐述见第四</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章第一节。</w:t>
      </w:r>
    </w:p>
    <w:p w14:paraId="28A8B729">
      <w:pPr>
        <w:spacing w:before="13" w:line="206" w:lineRule="auto"/>
        <w:ind w:left="728"/>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第二步的主要交付物包括：数据战略规划、数据战略执行计划。</w:t>
      </w:r>
    </w:p>
    <w:p w14:paraId="60A7D9C9">
      <w:pPr>
        <w:spacing w:before="138" w:line="290" w:lineRule="auto"/>
        <w:ind w:left="247" w:right="2"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第三步是建立组织责任体系，制定并发布数据资产管理制度规范。</w:t>
      </w:r>
      <w:r>
        <w:rPr>
          <w:rFonts w:ascii="微软雅黑" w:hAnsi="微软雅黑" w:eastAsia="微软雅黑" w:cs="微软雅黑"/>
          <w:color w:val="231F20"/>
          <w:spacing w:val="2"/>
          <w:sz w:val="22"/>
          <w:szCs w:val="22"/>
        </w:rPr>
        <w:t>从数据战略规划出发，构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建合理的、稳定的数据资产管理组织架构，以及具备一定灵活性的数据资产管理项目组，</w:t>
      </w:r>
      <w:r>
        <w:rPr>
          <w:rFonts w:ascii="微软雅黑" w:hAnsi="微软雅黑" w:eastAsia="微软雅黑" w:cs="微软雅黑"/>
          <w:color w:val="231F20"/>
          <w:spacing w:val="3"/>
          <w:sz w:val="22"/>
          <w:szCs w:val="22"/>
        </w:rPr>
        <w:t>确定数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据资产管理认责体系，并制定符合战略目标与当前实际情况的数据资产管理</w:t>
      </w:r>
      <w:r>
        <w:rPr>
          <w:rFonts w:ascii="微软雅黑" w:hAnsi="微软雅黑" w:eastAsia="微软雅黑" w:cs="微软雅黑"/>
          <w:color w:val="231F20"/>
          <w:spacing w:val="3"/>
          <w:sz w:val="22"/>
          <w:szCs w:val="22"/>
        </w:rPr>
        <w:t>制度规范。详细阐述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见第四章第二节、第三节。</w:t>
      </w:r>
    </w:p>
    <w:p w14:paraId="162D05B0">
      <w:pPr>
        <w:spacing w:before="15" w:line="276" w:lineRule="auto"/>
        <w:ind w:left="247" w:right="10"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第三步的主要交付物包括：数据资产管理组织架构图、数据资产管理认责体系、数</w:t>
      </w:r>
      <w:r>
        <w:rPr>
          <w:rFonts w:ascii="微软雅黑" w:hAnsi="微软雅黑" w:eastAsia="微软雅黑" w:cs="微软雅黑"/>
          <w:color w:val="231F20"/>
          <w:spacing w:val="2"/>
          <w:sz w:val="22"/>
          <w:szCs w:val="22"/>
        </w:rPr>
        <w:t>据资产管</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理相关管理办法。</w:t>
      </w:r>
    </w:p>
    <w:p w14:paraId="68AC342A">
      <w:pPr>
        <w:pStyle w:val="2"/>
        <w:spacing w:line="386" w:lineRule="auto"/>
      </w:pPr>
    </w:p>
    <w:p w14:paraId="79F42147">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9"/>
          <w:sz w:val="28"/>
          <w:szCs w:val="28"/>
        </w:rPr>
        <w:t>( 二 )</w:t>
      </w:r>
      <w:r>
        <w:rPr>
          <w:rFonts w:ascii="微软雅黑" w:hAnsi="微软雅黑" w:eastAsia="微软雅黑" w:cs="微软雅黑"/>
          <w:color w:val="648676"/>
          <w:spacing w:val="34"/>
          <w:sz w:val="28"/>
          <w:szCs w:val="28"/>
        </w:rPr>
        <w:t xml:space="preserve"> </w:t>
      </w:r>
      <w:r>
        <w:rPr>
          <w:rFonts w:ascii="微软雅黑" w:hAnsi="微软雅黑" w:eastAsia="微软雅黑" w:cs="微软雅黑"/>
          <w:color w:val="648676"/>
          <w:spacing w:val="9"/>
          <w:sz w:val="28"/>
          <w:szCs w:val="28"/>
        </w:rPr>
        <w:t>第二阶段：管理实施</w:t>
      </w:r>
    </w:p>
    <w:p w14:paraId="6CC5DA59">
      <w:pPr>
        <w:pStyle w:val="2"/>
        <w:spacing w:line="410" w:lineRule="auto"/>
      </w:pPr>
    </w:p>
    <w:p w14:paraId="03115E19">
      <w:pPr>
        <w:pStyle w:val="2"/>
        <w:spacing w:before="95" w:line="421" w:lineRule="auto"/>
        <w:ind w:left="4844" w:right="2" w:hanging="4114"/>
        <w:rPr>
          <w:sz w:val="20"/>
          <w:szCs w:val="20"/>
        </w:rPr>
      </w:pPr>
      <w:r>
        <w:pict>
          <v:shape id="_x0000_s1272" o:spid="_x0000_s1272" o:spt="202" type="#_x0000_t202" style="position:absolute;left:0pt;margin-left:274.65pt;margin-top:43.2pt;height:15.95pt;width:199.4pt;z-index:251868160;mso-width-relative:page;mso-height-relative:page;" filled="f" stroked="f" coordsize="21600,21600">
            <v:path/>
            <v:fill on="f" focussize="0,0"/>
            <v:stroke on="f"/>
            <v:imagedata o:title=""/>
            <o:lock v:ext="edit" aspectratio="f"/>
            <v:textbox inset="0mm,0mm,0mm,0mm">
              <w:txbxContent>
                <w:p w14:paraId="51BC56A8">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rFonts w:ascii="微软雅黑" w:hAnsi="微软雅黑" w:eastAsia="微软雅黑" w:cs="微软雅黑"/>
          <w:color w:val="231F20"/>
          <w:spacing w:val="3"/>
          <w:sz w:val="22"/>
          <w:szCs w:val="22"/>
        </w:rPr>
        <w:t>数据资产管理实施第二阶段的工作目标主要是通过建立数据资产管理的规则体系，依托数据</w:t>
      </w:r>
      <w:r>
        <w:rPr>
          <w:rFonts w:ascii="微软雅黑" w:hAnsi="微软雅黑" w:eastAsia="微软雅黑" w:cs="微软雅黑"/>
          <w:color w:val="231F20"/>
          <w:spacing w:val="2"/>
          <w:sz w:val="22"/>
          <w:szCs w:val="22"/>
        </w:rPr>
        <w:t xml:space="preserve"> </w:t>
      </w:r>
      <w:r>
        <w:rPr>
          <w:color w:val="231F20"/>
          <w:spacing w:val="-3"/>
          <w:sz w:val="20"/>
          <w:szCs w:val="20"/>
        </w:rPr>
        <w:t>35</w:t>
      </w:r>
    </w:p>
    <w:p w14:paraId="0761D772">
      <w:pPr>
        <w:spacing w:line="421" w:lineRule="auto"/>
        <w:rPr>
          <w:sz w:val="20"/>
          <w:szCs w:val="20"/>
        </w:rPr>
        <w:sectPr>
          <w:pgSz w:w="11906" w:h="16158"/>
          <w:pgMar w:top="400" w:right="1244" w:bottom="400" w:left="1004" w:header="0" w:footer="0" w:gutter="0"/>
          <w:cols w:space="720" w:num="1"/>
        </w:sectPr>
      </w:pPr>
    </w:p>
    <w:p w14:paraId="67A91C30">
      <w:pPr>
        <w:pStyle w:val="2"/>
        <w:spacing w:line="349" w:lineRule="auto"/>
      </w:pPr>
    </w:p>
    <w:p w14:paraId="315EAC12">
      <w:pPr>
        <w:pStyle w:val="2"/>
        <w:spacing w:line="350" w:lineRule="auto"/>
      </w:pPr>
    </w:p>
    <w:p w14:paraId="0BC66905">
      <w:pPr>
        <w:spacing w:before="80" w:line="182" w:lineRule="auto"/>
        <w:rPr>
          <w:rFonts w:ascii="Segoe UI" w:hAnsi="Segoe UI" w:eastAsia="Segoe UI" w:cs="Segoe UI"/>
          <w:sz w:val="24"/>
          <w:szCs w:val="24"/>
        </w:rPr>
      </w:pPr>
      <w:r>
        <w:rPr>
          <w:rFonts w:ascii="Segoe UI" w:hAnsi="Segoe UI" w:eastAsia="Segoe UI" w:cs="Segoe UI"/>
          <w:b/>
          <w:bCs/>
          <w:color w:val="648676"/>
          <w:spacing w:val="25"/>
          <w:w w:val="111"/>
          <w:sz w:val="24"/>
          <w:szCs w:val="24"/>
        </w:rPr>
        <w:t>CHAPTER -4</w:t>
      </w:r>
    </w:p>
    <w:p w14:paraId="08A5089C">
      <w:pPr>
        <w:spacing w:before="55" w:line="178" w:lineRule="auto"/>
        <w:ind w:left="405"/>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数据资产管理实践步骤</w:t>
      </w:r>
    </w:p>
    <w:p w14:paraId="739E5933">
      <w:pPr>
        <w:pStyle w:val="2"/>
        <w:spacing w:line="292" w:lineRule="auto"/>
      </w:pPr>
    </w:p>
    <w:p w14:paraId="029BD9B9">
      <w:pPr>
        <w:pStyle w:val="2"/>
        <w:spacing w:line="293" w:lineRule="auto"/>
      </w:pPr>
    </w:p>
    <w:p w14:paraId="1540EC81">
      <w:pPr>
        <w:pStyle w:val="2"/>
        <w:spacing w:line="293" w:lineRule="auto"/>
      </w:pPr>
    </w:p>
    <w:p w14:paraId="0A4D3740">
      <w:pPr>
        <w:spacing w:before="94" w:line="289" w:lineRule="auto"/>
        <w:ind w:left="247" w:right="68" w:firstLine="1"/>
        <w:jc w:val="both"/>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资产管理平台工具，以数据生命周期为主线，全面开展数据资产管理各项活动，以推</w:t>
      </w:r>
      <w:r>
        <w:rPr>
          <w:rFonts w:ascii="微软雅黑" w:hAnsi="微软雅黑" w:eastAsia="微软雅黑" w:cs="微软雅黑"/>
          <w:color w:val="231F20"/>
          <w:spacing w:val="3"/>
          <w:sz w:val="22"/>
          <w:szCs w:val="22"/>
        </w:rPr>
        <w:t>动第一阶段</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成果落地。详细阐述见第二章第一节。第二阶段管理实施的开展主要包括建立规范体系</w:t>
      </w:r>
      <w:r>
        <w:rPr>
          <w:rFonts w:ascii="微软雅黑" w:hAnsi="微软雅黑" w:eastAsia="微软雅黑" w:cs="微软雅黑"/>
          <w:color w:val="231F20"/>
          <w:spacing w:val="3"/>
          <w:sz w:val="22"/>
          <w:szCs w:val="22"/>
        </w:rPr>
        <w:t>、搭建管</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理平台、全流程管理、创新数据应用四个步骤。</w:t>
      </w:r>
    </w:p>
    <w:p w14:paraId="6497B644">
      <w:pPr>
        <w:spacing w:before="28" w:line="291" w:lineRule="auto"/>
        <w:ind w:left="247" w:firstLine="481"/>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第一步是制定组织级数据资产标准规范体系，建立各活动职能的实施细则与操作规范。组织</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5"/>
          <w:sz w:val="22"/>
          <w:szCs w:val="22"/>
        </w:rPr>
        <w:t>级数据资产标准规范体系指各活动职能下对数据技术设计、业务含义的标准化。以结构化数据为例，</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pacing w:val="2"/>
          <w:sz w:val="22"/>
          <w:szCs w:val="22"/>
        </w:rPr>
        <w:t>标准化的对象包括字段、表以及表间关系，对于各对象的标准化内容如表</w:t>
      </w:r>
      <w:r>
        <w:rPr>
          <w:rFonts w:ascii="微软雅黑" w:hAnsi="微软雅黑" w:eastAsia="微软雅黑" w:cs="微软雅黑"/>
          <w:color w:val="231F20"/>
          <w:spacing w:val="40"/>
          <w:sz w:val="22"/>
          <w:szCs w:val="22"/>
        </w:rPr>
        <w:t xml:space="preserve"> </w:t>
      </w:r>
      <w:r>
        <w:rPr>
          <w:rFonts w:ascii="微软雅黑" w:hAnsi="微软雅黑" w:eastAsia="微软雅黑" w:cs="微软雅黑"/>
          <w:color w:val="231F20"/>
          <w:spacing w:val="2"/>
          <w:sz w:val="22"/>
          <w:szCs w:val="22"/>
        </w:rPr>
        <w:t>6 所示。此外，结合数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据资产管理相关管理办法，形成各活动职能的实施细则、操作规范，为数据资产管理的有</w:t>
      </w:r>
      <w:r>
        <w:rPr>
          <w:rFonts w:ascii="微软雅黑" w:hAnsi="微软雅黑" w:eastAsia="微软雅黑" w:cs="微软雅黑"/>
          <w:color w:val="231F20"/>
          <w:spacing w:val="3"/>
          <w:sz w:val="22"/>
          <w:szCs w:val="22"/>
        </w:rPr>
        <w:t>效执行</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奠定良好基础。</w:t>
      </w:r>
    </w:p>
    <w:p w14:paraId="049DC5C7">
      <w:pPr>
        <w:spacing w:before="246" w:line="204" w:lineRule="auto"/>
        <w:ind w:left="3500"/>
        <w:rPr>
          <w:rFonts w:ascii="微软雅黑" w:hAnsi="微软雅黑" w:eastAsia="微软雅黑" w:cs="微软雅黑"/>
          <w:sz w:val="20"/>
          <w:szCs w:val="20"/>
        </w:rPr>
      </w:pPr>
      <w:r>
        <w:pict>
          <v:shape id="_x0000_s1273" o:spid="_x0000_s1273" style="position:absolute;left:0pt;margin-left:12.6pt;margin-top:36.4pt;height:0.75pt;width:110.45pt;z-index:251874304;mso-width-relative:page;mso-height-relative:page;" filled="f" stroked="t" coordsize="2208,15" path="m0,7l2208,7e">
            <v:fill on="f" focussize="0,0"/>
            <v:stroke weight="0.71pt" color="#FFFFFF" miterlimit="10" joinstyle="miter"/>
            <v:imagedata o:title=""/>
            <o:lock v:ext="edit"/>
          </v:shape>
        </w:pict>
      </w:r>
      <w:r>
        <w:pict>
          <v:shape id="_x0000_s1274" o:spid="_x0000_s1274" style="position:absolute;left:0pt;margin-left:123pt;margin-top:36.4pt;height:0.75pt;width:360pt;z-index:251872256;mso-width-relative:page;mso-height-relative:page;" filled="f" stroked="t" coordsize="7200,15" path="m0,7l2494,7m2494,7l4875,7m4875,7l7199,7e">
            <v:fill on="f" focussize="0,0"/>
            <v:stroke weight="0.71pt" color="#FFFFFF" miterlimit="10" joinstyle="miter"/>
            <v:imagedata o:title=""/>
            <o:lock v:ext="edit"/>
          </v:shape>
        </w:pict>
      </w:r>
      <w:r>
        <w:rPr>
          <w:rFonts w:ascii="微软雅黑" w:hAnsi="微软雅黑" w:eastAsia="微软雅黑" w:cs="微软雅黑"/>
          <w:color w:val="231F20"/>
          <w:spacing w:val="4"/>
          <w:sz w:val="20"/>
          <w:szCs w:val="20"/>
        </w:rPr>
        <w:t>表 6 数据资产标准规范体系示例</w:t>
      </w:r>
    </w:p>
    <w:p w14:paraId="2852934C">
      <w:pPr>
        <w:pStyle w:val="2"/>
        <w:spacing w:before="190" w:line="4132" w:lineRule="exact"/>
        <w:ind w:firstLine="242"/>
      </w:pPr>
      <w:r>
        <w:pict>
          <v:shape id="_x0000_s1275" o:spid="_x0000_s1275" style="position:absolute;left:0pt;margin-left:12.6pt;margin-top:10.2pt;height:22pt;width:0.75pt;z-index:251871232;mso-width-relative:page;mso-height-relative:page;" filled="f" stroked="t" coordsize="15,440" path="m7,439l7,0e">
            <v:fill on="f" focussize="0,0"/>
            <v:stroke weight="0.71pt" color="#FFFFFF" miterlimit="10" joinstyle="miter"/>
            <v:imagedata o:title=""/>
            <o:lock v:ext="edit"/>
          </v:shape>
        </w:pict>
      </w:r>
      <w:r>
        <w:pict>
          <v:shape id="_x0000_s1276" o:spid="_x0000_s1276" style="position:absolute;left:0pt;margin-left:482.3pt;margin-top:10.2pt;height:22pt;width:0.75pt;z-index:251873280;mso-width-relative:page;mso-height-relative:page;" filled="f" stroked="t" coordsize="15,440" path="m7,439l7,0e">
            <v:fill on="f" focussize="0,0"/>
            <v:stroke weight="0.71pt" color="#FFFFFF" miterlimit="10" joinstyle="miter"/>
            <v:imagedata o:title=""/>
            <o:lock v:ext="edit"/>
          </v:shape>
        </w:pict>
      </w:r>
      <w:r>
        <w:pict>
          <v:shape id="_x0000_s1277" o:spid="_x0000_s1277" style="position:absolute;left:0pt;margin-left:122.65pt;margin-top:10.2pt;height:21.65pt;width:0.75pt;z-index:251870208;mso-width-relative:page;mso-height-relative:page;" filled="f" stroked="t" coordsize="15,432" path="m7,432l7,0e">
            <v:fill on="f" focussize="0,0"/>
            <v:stroke weight="0.71pt" color="#D0CECE" miterlimit="10" joinstyle="miter"/>
            <v:imagedata o:title=""/>
            <o:lock v:ext="edit"/>
          </v:shape>
        </w:pict>
      </w:r>
      <w:r>
        <w:pict>
          <v:shape id="_x0000_s1278" o:spid="_x0000_s1278" o:spt="202" type="#_x0000_t202" style="position:absolute;left:0pt;margin-left:274.2pt;margin-top:14.4pt;height:16.05pt;width:56.8pt;z-index:251875328;mso-width-relative:page;mso-height-relative:page;" filled="f" stroked="f" coordsize="21600,21600">
            <v:path/>
            <v:fill on="f" focussize="0,0"/>
            <v:stroke on="f"/>
            <v:imagedata o:title=""/>
            <o:lock v:ext="edit" aspectratio="f"/>
            <v:textbox inset="0mm,0mm,0mm,0mm">
              <w:txbxContent>
                <w:p w14:paraId="66FA053B">
                  <w:pPr>
                    <w:spacing w:before="19" w:line="179" w:lineRule="auto"/>
                    <w:ind w:left="20"/>
                    <w:rPr>
                      <w:rFonts w:ascii="微软雅黑" w:hAnsi="微软雅黑" w:eastAsia="微软雅黑" w:cs="微软雅黑"/>
                      <w:sz w:val="22"/>
                      <w:szCs w:val="22"/>
                    </w:rPr>
                  </w:pPr>
                  <w:r>
                    <w:rPr>
                      <w:rFonts w:ascii="微软雅黑" w:hAnsi="微软雅黑" w:eastAsia="微软雅黑" w:cs="微软雅黑"/>
                      <w:color w:val="FFFFFF"/>
                      <w:spacing w:val="-1"/>
                      <w:sz w:val="22"/>
                      <w:szCs w:val="22"/>
                    </w:rPr>
                    <w:t>标准化对象</w:t>
                  </w:r>
                </w:p>
              </w:txbxContent>
            </v:textbox>
          </v:shape>
        </w:pict>
      </w:r>
      <w:r>
        <w:pict>
          <v:shape id="_x0000_s1279" o:spid="_x0000_s1279" o:spt="202" type="#_x0000_t202" style="position:absolute;left:0pt;margin-left:33.95pt;margin-top:18.3pt;height:18.25pt;width:67.75pt;z-index:251876352;mso-width-relative:page;mso-height-relative:page;" filled="f" stroked="f" coordsize="21600,21600">
            <v:path/>
            <v:fill on="f" focussize="0,0"/>
            <v:stroke on="f"/>
            <v:imagedata o:title=""/>
            <o:lock v:ext="edit" aspectratio="f"/>
            <v:textbox inset="0mm,0mm,0mm,0mm">
              <w:txbxContent>
                <w:p w14:paraId="2D09D3A7">
                  <w:pPr>
                    <w:spacing w:before="20" w:line="206" w:lineRule="auto"/>
                    <w:ind w:left="20"/>
                    <w:rPr>
                      <w:rFonts w:ascii="微软雅黑" w:hAnsi="微软雅黑" w:eastAsia="微软雅黑" w:cs="微软雅黑"/>
                      <w:sz w:val="22"/>
                      <w:szCs w:val="22"/>
                    </w:rPr>
                  </w:pPr>
                  <w:r>
                    <w:rPr>
                      <w:rFonts w:ascii="微软雅黑" w:hAnsi="微软雅黑" w:eastAsia="微软雅黑" w:cs="微软雅黑"/>
                      <w:color w:val="FFFFFF"/>
                      <w:spacing w:val="-1"/>
                      <w:sz w:val="22"/>
                      <w:szCs w:val="22"/>
                    </w:rPr>
                    <w:t>数据资产管理</w:t>
                  </w:r>
                </w:p>
              </w:txbxContent>
            </v:textbox>
          </v:shape>
        </w:pict>
      </w:r>
      <w:r>
        <w:rPr>
          <w:position w:val="-82"/>
        </w:rPr>
        <w:pict>
          <v:group id="_x0000_s1280" o:spid="_x0000_s1280" o:spt="203" style="height:206.65pt;width:470.7pt;" coordsize="9414,4132">
            <o:lock v:ext="edit"/>
            <v:shape id="_x0000_s1281" o:spid="_x0000_s1281" o:spt="75" type="#_x0000_t75" style="position:absolute;left:9;top:0;height:4122;width:9394;" filled="f" stroked="f" coordsize="21600,21600">
              <v:path/>
              <v:fill on="f" focussize="0,0"/>
              <v:stroke on="f"/>
              <v:imagedata r:id="rId163" o:title=""/>
              <o:lock v:ext="edit" aspectratio="t"/>
            </v:shape>
            <v:shape id="_x0000_s1282" o:spid="_x0000_s1282" o:spt="202" type="#_x0000_t202" style="position:absolute;left:-20;top:419;height:3732;width:9454;" filled="f" stroked="f" coordsize="21600,21600">
              <v:path/>
              <v:fill on="f" focussize="0,0"/>
              <v:stroke on="f"/>
              <v:imagedata o:title=""/>
              <o:lock v:ext="edit" aspectratio="f"/>
              <v:textbox inset="0mm,0mm,0mm,0mm">
                <w:txbxContent>
                  <w:p w14:paraId="5C092C75">
                    <w:pPr>
                      <w:spacing w:line="20" w:lineRule="exact"/>
                    </w:pPr>
                  </w:p>
                  <w:tbl>
                    <w:tblPr>
                      <w:tblStyle w:val="5"/>
                      <w:tblW w:w="9393" w:type="dxa"/>
                      <w:tblInd w:w="3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2206"/>
                      <w:gridCol w:w="2489"/>
                      <w:gridCol w:w="2376"/>
                      <w:gridCol w:w="2322"/>
                    </w:tblGrid>
                    <w:tr w14:paraId="4D6D5C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41" w:hRule="atLeast"/>
                      </w:trPr>
                      <w:tc>
                        <w:tcPr>
                          <w:tcW w:w="2206" w:type="dxa"/>
                          <w:tcBorders>
                            <w:top w:val="nil"/>
                            <w:left w:val="single" w:color="FFFFFF" w:sz="4" w:space="0"/>
                            <w:right w:val="single" w:color="D0CECE" w:sz="4" w:space="0"/>
                          </w:tcBorders>
                          <w:vAlign w:val="top"/>
                        </w:tcPr>
                        <w:p w14:paraId="1B83D176">
                          <w:pPr>
                            <w:spacing w:before="23" w:line="178" w:lineRule="auto"/>
                            <w:ind w:left="660"/>
                            <w:rPr>
                              <w:rFonts w:ascii="微软雅黑" w:hAnsi="微软雅黑" w:eastAsia="微软雅黑" w:cs="微软雅黑"/>
                              <w:sz w:val="22"/>
                              <w:szCs w:val="22"/>
                            </w:rPr>
                          </w:pPr>
                          <w:r>
                            <w:rPr>
                              <w:rFonts w:ascii="微软雅黑" w:hAnsi="微软雅黑" w:eastAsia="微软雅黑" w:cs="微软雅黑"/>
                              <w:color w:val="FFFFFF"/>
                              <w:spacing w:val="-1"/>
                              <w:sz w:val="22"/>
                              <w:szCs w:val="22"/>
                            </w:rPr>
                            <w:t>活动职能</w:t>
                          </w:r>
                        </w:p>
                      </w:tc>
                      <w:tc>
                        <w:tcPr>
                          <w:tcW w:w="2489" w:type="dxa"/>
                          <w:tcBorders>
                            <w:top w:val="single" w:color="D0CECE" w:sz="4" w:space="0"/>
                            <w:left w:val="single" w:color="D0CECE" w:sz="4" w:space="0"/>
                            <w:bottom w:val="single" w:color="D0CECE" w:sz="8" w:space="0"/>
                            <w:right w:val="single" w:color="D0CECE" w:sz="4" w:space="0"/>
                          </w:tcBorders>
                          <w:vAlign w:val="top"/>
                        </w:tcPr>
                        <w:p w14:paraId="6B7F0D12">
                          <w:pPr>
                            <w:spacing w:before="101" w:line="208" w:lineRule="auto"/>
                            <w:ind w:left="1024"/>
                            <w:rPr>
                              <w:rFonts w:ascii="微软雅黑" w:hAnsi="微软雅黑" w:eastAsia="微软雅黑" w:cs="微软雅黑"/>
                              <w:sz w:val="22"/>
                              <w:szCs w:val="22"/>
                            </w:rPr>
                          </w:pPr>
                          <w:r>
                            <w:rPr>
                              <w:rFonts w:ascii="微软雅黑" w:hAnsi="微软雅黑" w:eastAsia="微软雅黑" w:cs="微软雅黑"/>
                              <w:color w:val="FFFFFF"/>
                              <w:spacing w:val="-2"/>
                              <w:sz w:val="22"/>
                              <w:szCs w:val="22"/>
                            </w:rPr>
                            <w:t>字段</w:t>
                          </w:r>
                        </w:p>
                      </w:tc>
                      <w:tc>
                        <w:tcPr>
                          <w:tcW w:w="2376" w:type="dxa"/>
                          <w:tcBorders>
                            <w:top w:val="single" w:color="D0CECE" w:sz="4" w:space="0"/>
                            <w:left w:val="single" w:color="D0CECE" w:sz="4" w:space="0"/>
                            <w:bottom w:val="single" w:color="D0CECE" w:sz="8" w:space="0"/>
                            <w:right w:val="single" w:color="D0CECE" w:sz="4" w:space="0"/>
                          </w:tcBorders>
                          <w:vAlign w:val="top"/>
                        </w:tcPr>
                        <w:p w14:paraId="2397A538">
                          <w:pPr>
                            <w:spacing w:before="116" w:line="177" w:lineRule="auto"/>
                            <w:ind w:left="1082"/>
                            <w:rPr>
                              <w:rFonts w:ascii="微软雅黑" w:hAnsi="微软雅黑" w:eastAsia="微软雅黑" w:cs="微软雅黑"/>
                              <w:sz w:val="22"/>
                              <w:szCs w:val="22"/>
                            </w:rPr>
                          </w:pPr>
                          <w:r>
                            <w:rPr>
                              <w:rFonts w:ascii="微软雅黑" w:hAnsi="微软雅黑" w:eastAsia="微软雅黑" w:cs="微软雅黑"/>
                              <w:color w:val="FFFFFF"/>
                              <w:sz w:val="22"/>
                              <w:szCs w:val="22"/>
                            </w:rPr>
                            <w:t>表</w:t>
                          </w:r>
                        </w:p>
                      </w:tc>
                      <w:tc>
                        <w:tcPr>
                          <w:tcW w:w="2322" w:type="dxa"/>
                          <w:tcBorders>
                            <w:top w:val="single" w:color="D0CECE" w:sz="4" w:space="0"/>
                            <w:left w:val="single" w:color="D0CECE" w:sz="4" w:space="0"/>
                            <w:right w:val="single" w:color="FFFFFF" w:sz="4" w:space="0"/>
                          </w:tcBorders>
                          <w:vAlign w:val="top"/>
                        </w:tcPr>
                        <w:p w14:paraId="130E7011">
                          <w:pPr>
                            <w:spacing w:before="116" w:line="177" w:lineRule="auto"/>
                            <w:ind w:left="835"/>
                            <w:rPr>
                              <w:rFonts w:ascii="微软雅黑" w:hAnsi="微软雅黑" w:eastAsia="微软雅黑" w:cs="微软雅黑"/>
                              <w:sz w:val="22"/>
                              <w:szCs w:val="22"/>
                            </w:rPr>
                          </w:pPr>
                          <w:r>
                            <w:rPr>
                              <w:rFonts w:ascii="微软雅黑" w:hAnsi="微软雅黑" w:eastAsia="微软雅黑" w:cs="微软雅黑"/>
                              <w:color w:val="FFFFFF"/>
                              <w:spacing w:val="-2"/>
                              <w:sz w:val="22"/>
                              <w:szCs w:val="22"/>
                            </w:rPr>
                            <w:t>表关系</w:t>
                          </w:r>
                        </w:p>
                      </w:tc>
                    </w:tr>
                    <w:tr w14:paraId="5062635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545" w:hRule="atLeast"/>
                      </w:trPr>
                      <w:tc>
                        <w:tcPr>
                          <w:tcW w:w="2206" w:type="dxa"/>
                          <w:tcBorders>
                            <w:right w:val="single" w:color="FFFFFF" w:sz="2" w:space="0"/>
                          </w:tcBorders>
                          <w:vAlign w:val="top"/>
                        </w:tcPr>
                        <w:p w14:paraId="19BD2D2B">
                          <w:pPr>
                            <w:spacing w:before="159" w:line="206" w:lineRule="auto"/>
                            <w:ind w:left="495"/>
                            <w:rPr>
                              <w:rFonts w:ascii="微软雅黑" w:hAnsi="微软雅黑" w:eastAsia="微软雅黑" w:cs="微软雅黑"/>
                              <w:sz w:val="20"/>
                              <w:szCs w:val="20"/>
                            </w:rPr>
                          </w:pPr>
                          <w:r>
                            <w:rPr>
                              <w:rFonts w:ascii="微软雅黑" w:hAnsi="微软雅黑" w:eastAsia="微软雅黑" w:cs="微软雅黑"/>
                              <w:spacing w:val="-1"/>
                              <w:sz w:val="20"/>
                              <w:szCs w:val="20"/>
                            </w:rPr>
                            <w:t>数据标准管理</w:t>
                          </w:r>
                        </w:p>
                      </w:tc>
                      <w:tc>
                        <w:tcPr>
                          <w:tcW w:w="2489" w:type="dxa"/>
                          <w:tcBorders>
                            <w:left w:val="single" w:color="FFFFFF" w:sz="2" w:space="0"/>
                            <w:right w:val="single" w:color="FFFFFF" w:sz="2" w:space="0"/>
                          </w:tcBorders>
                          <w:vAlign w:val="top"/>
                        </w:tcPr>
                        <w:p w14:paraId="17511288">
                          <w:pPr>
                            <w:spacing w:before="159" w:line="206" w:lineRule="auto"/>
                            <w:ind w:left="745"/>
                            <w:rPr>
                              <w:rFonts w:ascii="微软雅黑" w:hAnsi="微软雅黑" w:eastAsia="微软雅黑" w:cs="微软雅黑"/>
                              <w:sz w:val="20"/>
                              <w:szCs w:val="20"/>
                            </w:rPr>
                          </w:pPr>
                          <w:r>
                            <w:rPr>
                              <w:rFonts w:ascii="微软雅黑" w:hAnsi="微软雅黑" w:eastAsia="微软雅黑" w:cs="微软雅黑"/>
                              <w:spacing w:val="-1"/>
                              <w:sz w:val="20"/>
                              <w:szCs w:val="20"/>
                            </w:rPr>
                            <w:t>数据元定义</w:t>
                          </w:r>
                        </w:p>
                      </w:tc>
                      <w:tc>
                        <w:tcPr>
                          <w:tcW w:w="2376" w:type="dxa"/>
                          <w:tcBorders>
                            <w:left w:val="single" w:color="FFFFFF" w:sz="2" w:space="0"/>
                            <w:right w:val="single" w:color="FFFFFF" w:sz="2" w:space="0"/>
                          </w:tcBorders>
                          <w:vAlign w:val="top"/>
                        </w:tcPr>
                        <w:p w14:paraId="1EEA9515">
                          <w:pPr>
                            <w:spacing w:before="159" w:line="207" w:lineRule="auto"/>
                            <w:ind w:left="693"/>
                            <w:rPr>
                              <w:rFonts w:ascii="微软雅黑" w:hAnsi="微软雅黑" w:eastAsia="微软雅黑" w:cs="微软雅黑"/>
                              <w:sz w:val="20"/>
                              <w:szCs w:val="20"/>
                            </w:rPr>
                          </w:pPr>
                          <w:r>
                            <w:rPr>
                              <w:rFonts w:ascii="微软雅黑" w:hAnsi="微软雅黑" w:eastAsia="微软雅黑" w:cs="微软雅黑"/>
                              <w:spacing w:val="-1"/>
                              <w:sz w:val="20"/>
                              <w:szCs w:val="20"/>
                            </w:rPr>
                            <w:t>表命名规则</w:t>
                          </w:r>
                        </w:p>
                      </w:tc>
                      <w:tc>
                        <w:tcPr>
                          <w:tcW w:w="2322" w:type="dxa"/>
                          <w:tcBorders>
                            <w:left w:val="single" w:color="FFFFFF" w:sz="2" w:space="0"/>
                          </w:tcBorders>
                          <w:vAlign w:val="top"/>
                        </w:tcPr>
                        <w:p w14:paraId="0C8961E1">
                          <w:pPr>
                            <w:spacing w:before="159" w:line="207" w:lineRule="auto"/>
                            <w:ind w:left="266"/>
                            <w:rPr>
                              <w:rFonts w:ascii="微软雅黑" w:hAnsi="微软雅黑" w:eastAsia="微软雅黑" w:cs="微软雅黑"/>
                              <w:sz w:val="20"/>
                              <w:szCs w:val="20"/>
                            </w:rPr>
                          </w:pPr>
                          <w:r>
                            <w:rPr>
                              <w:rFonts w:ascii="微软雅黑" w:hAnsi="微软雅黑" w:eastAsia="微软雅黑" w:cs="微软雅黑"/>
                              <w:spacing w:val="-1"/>
                              <w:sz w:val="20"/>
                              <w:szCs w:val="20"/>
                            </w:rPr>
                            <w:t>技术规则、业务规则</w:t>
                          </w:r>
                        </w:p>
                      </w:tc>
                    </w:tr>
                    <w:tr w14:paraId="7CD2DB4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743" w:hRule="atLeast"/>
                      </w:trPr>
                      <w:tc>
                        <w:tcPr>
                          <w:tcW w:w="2206" w:type="dxa"/>
                          <w:tcBorders>
                            <w:right w:val="single" w:color="FFFFFF" w:sz="2" w:space="0"/>
                          </w:tcBorders>
                          <w:vAlign w:val="top"/>
                        </w:tcPr>
                        <w:p w14:paraId="5424ED9E">
                          <w:pPr>
                            <w:spacing w:before="261" w:line="206" w:lineRule="auto"/>
                            <w:ind w:left="495"/>
                            <w:rPr>
                              <w:rFonts w:ascii="微软雅黑" w:hAnsi="微软雅黑" w:eastAsia="微软雅黑" w:cs="微软雅黑"/>
                              <w:sz w:val="20"/>
                              <w:szCs w:val="20"/>
                            </w:rPr>
                          </w:pPr>
                          <w:r>
                            <w:rPr>
                              <w:rFonts w:ascii="微软雅黑" w:hAnsi="微软雅黑" w:eastAsia="微软雅黑" w:cs="微软雅黑"/>
                              <w:spacing w:val="-1"/>
                              <w:sz w:val="20"/>
                              <w:szCs w:val="20"/>
                            </w:rPr>
                            <w:t>数据质量管理</w:t>
                          </w:r>
                        </w:p>
                      </w:tc>
                      <w:tc>
                        <w:tcPr>
                          <w:tcW w:w="2489" w:type="dxa"/>
                          <w:tcBorders>
                            <w:left w:val="single" w:color="FFFFFF" w:sz="2" w:space="0"/>
                            <w:right w:val="single" w:color="FFFFFF" w:sz="2" w:space="0"/>
                          </w:tcBorders>
                          <w:vAlign w:val="top"/>
                        </w:tcPr>
                        <w:p w14:paraId="355D3C1A">
                          <w:pPr>
                            <w:spacing w:before="92" w:line="224" w:lineRule="auto"/>
                            <w:ind w:left="327" w:right="333" w:firstLine="217"/>
                            <w:rPr>
                              <w:rFonts w:ascii="微软雅黑" w:hAnsi="微软雅黑" w:eastAsia="微软雅黑" w:cs="微软雅黑"/>
                              <w:sz w:val="20"/>
                              <w:szCs w:val="20"/>
                            </w:rPr>
                          </w:pPr>
                          <w:r>
                            <w:rPr>
                              <w:rFonts w:ascii="微软雅黑" w:hAnsi="微软雅黑" w:eastAsia="微软雅黑" w:cs="微软雅黑"/>
                              <w:spacing w:val="-1"/>
                              <w:sz w:val="20"/>
                              <w:szCs w:val="20"/>
                            </w:rPr>
                            <w:t>字段级质量规则</w:t>
                          </w:r>
                          <w:r>
                            <w:rPr>
                              <w:rFonts w:ascii="微软雅黑" w:hAnsi="微软雅黑" w:eastAsia="微软雅黑" w:cs="微软雅黑"/>
                              <w:sz w:val="20"/>
                              <w:szCs w:val="20"/>
                            </w:rPr>
                            <w:t xml:space="preserve">    </w:t>
                          </w:r>
                          <w:r>
                            <w:rPr>
                              <w:rFonts w:ascii="微软雅黑" w:hAnsi="微软雅黑" w:eastAsia="微软雅黑" w:cs="微软雅黑"/>
                              <w:spacing w:val="2"/>
                              <w:sz w:val="20"/>
                              <w:szCs w:val="20"/>
                            </w:rPr>
                            <w:t>（准确性、有效性）</w:t>
                          </w:r>
                        </w:p>
                      </w:tc>
                      <w:tc>
                        <w:tcPr>
                          <w:tcW w:w="2376" w:type="dxa"/>
                          <w:tcBorders>
                            <w:left w:val="single" w:color="FFFFFF" w:sz="2" w:space="0"/>
                            <w:right w:val="single" w:color="FFFFFF" w:sz="2" w:space="0"/>
                          </w:tcBorders>
                          <w:vAlign w:val="top"/>
                        </w:tcPr>
                        <w:p w14:paraId="33798E44">
                          <w:pPr>
                            <w:spacing w:before="260" w:line="208" w:lineRule="auto"/>
                            <w:ind w:left="896"/>
                            <w:rPr>
                              <w:rFonts w:ascii="微软雅黑" w:hAnsi="微软雅黑" w:eastAsia="微软雅黑" w:cs="微软雅黑"/>
                              <w:sz w:val="20"/>
                              <w:szCs w:val="20"/>
                            </w:rPr>
                          </w:pPr>
                          <w:r>
                            <w:rPr>
                              <w:rFonts w:ascii="微软雅黑" w:hAnsi="微软雅黑" w:eastAsia="微软雅黑" w:cs="微软雅黑"/>
                              <w:spacing w:val="-2"/>
                              <w:sz w:val="20"/>
                              <w:szCs w:val="20"/>
                            </w:rPr>
                            <w:t>完整性</w:t>
                          </w:r>
                        </w:p>
                      </w:tc>
                      <w:tc>
                        <w:tcPr>
                          <w:tcW w:w="2322" w:type="dxa"/>
                          <w:tcBorders>
                            <w:left w:val="single" w:color="FFFFFF" w:sz="2" w:space="0"/>
                          </w:tcBorders>
                          <w:vAlign w:val="top"/>
                        </w:tcPr>
                        <w:p w14:paraId="1C5DE400">
                          <w:pPr>
                            <w:spacing w:before="260" w:line="208" w:lineRule="auto"/>
                            <w:ind w:left="867"/>
                            <w:rPr>
                              <w:rFonts w:ascii="微软雅黑" w:hAnsi="微软雅黑" w:eastAsia="微软雅黑" w:cs="微软雅黑"/>
                              <w:sz w:val="20"/>
                              <w:szCs w:val="20"/>
                            </w:rPr>
                          </w:pPr>
                          <w:r>
                            <w:rPr>
                              <w:rFonts w:ascii="微软雅黑" w:hAnsi="微软雅黑" w:eastAsia="微软雅黑" w:cs="微软雅黑"/>
                              <w:spacing w:val="-2"/>
                              <w:sz w:val="20"/>
                              <w:szCs w:val="20"/>
                            </w:rPr>
                            <w:t>一致性</w:t>
                          </w:r>
                        </w:p>
                      </w:tc>
                    </w:tr>
                    <w:tr w14:paraId="0AD680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742" w:hRule="atLeast"/>
                      </w:trPr>
                      <w:tc>
                        <w:tcPr>
                          <w:tcW w:w="2206" w:type="dxa"/>
                          <w:tcBorders>
                            <w:right w:val="single" w:color="FFFFFF" w:sz="2" w:space="0"/>
                          </w:tcBorders>
                          <w:vAlign w:val="top"/>
                        </w:tcPr>
                        <w:p w14:paraId="0FCDE024">
                          <w:pPr>
                            <w:spacing w:before="265" w:line="206" w:lineRule="auto"/>
                            <w:ind w:left="495"/>
                            <w:rPr>
                              <w:rFonts w:ascii="微软雅黑" w:hAnsi="微软雅黑" w:eastAsia="微软雅黑" w:cs="微软雅黑"/>
                              <w:sz w:val="20"/>
                              <w:szCs w:val="20"/>
                            </w:rPr>
                          </w:pPr>
                          <w:r>
                            <w:rPr>
                              <w:rFonts w:ascii="微软雅黑" w:hAnsi="微软雅黑" w:eastAsia="微软雅黑" w:cs="微软雅黑"/>
                              <w:spacing w:val="-1"/>
                              <w:sz w:val="20"/>
                              <w:szCs w:val="20"/>
                            </w:rPr>
                            <w:t>数据模型管理</w:t>
                          </w:r>
                        </w:p>
                      </w:tc>
                      <w:tc>
                        <w:tcPr>
                          <w:tcW w:w="2489" w:type="dxa"/>
                          <w:tcBorders>
                            <w:left w:val="single" w:color="FFFFFF" w:sz="2" w:space="0"/>
                            <w:right w:val="single" w:color="FFFFFF" w:sz="2" w:space="0"/>
                          </w:tcBorders>
                          <w:vAlign w:val="top"/>
                        </w:tcPr>
                        <w:p w14:paraId="03E8DD3E">
                          <w:pPr>
                            <w:spacing w:before="265" w:line="207" w:lineRule="auto"/>
                            <w:ind w:left="844"/>
                            <w:rPr>
                              <w:rFonts w:ascii="微软雅黑" w:hAnsi="微软雅黑" w:eastAsia="微软雅黑" w:cs="微软雅黑"/>
                              <w:sz w:val="20"/>
                              <w:szCs w:val="20"/>
                            </w:rPr>
                          </w:pPr>
                          <w:r>
                            <w:rPr>
                              <w:rFonts w:ascii="微软雅黑" w:hAnsi="微软雅黑" w:eastAsia="微软雅黑" w:cs="微软雅黑"/>
                              <w:spacing w:val="-1"/>
                              <w:sz w:val="20"/>
                              <w:szCs w:val="20"/>
                            </w:rPr>
                            <w:t>属性定义</w:t>
                          </w:r>
                        </w:p>
                      </w:tc>
                      <w:tc>
                        <w:tcPr>
                          <w:tcW w:w="2376" w:type="dxa"/>
                          <w:tcBorders>
                            <w:left w:val="single" w:color="FFFFFF" w:sz="2" w:space="0"/>
                            <w:right w:val="single" w:color="FFFFFF" w:sz="2" w:space="0"/>
                          </w:tcBorders>
                          <w:vAlign w:val="top"/>
                        </w:tcPr>
                        <w:p w14:paraId="384F8584">
                          <w:pPr>
                            <w:spacing w:before="94" w:line="223" w:lineRule="auto"/>
                            <w:ind w:left="693" w:right="205" w:hanging="498"/>
                            <w:rPr>
                              <w:rFonts w:ascii="微软雅黑" w:hAnsi="微软雅黑" w:eastAsia="微软雅黑" w:cs="微软雅黑"/>
                              <w:sz w:val="20"/>
                              <w:szCs w:val="20"/>
                            </w:rPr>
                          </w:pPr>
                          <w:r>
                            <w:rPr>
                              <w:rFonts w:ascii="微软雅黑" w:hAnsi="微软雅黑" w:eastAsia="微软雅黑" w:cs="微软雅黑"/>
                              <w:spacing w:val="-3"/>
                              <w:sz w:val="20"/>
                              <w:szCs w:val="20"/>
                            </w:rPr>
                            <w:t>实体定义、数据字典、</w:t>
                          </w:r>
                          <w:r>
                            <w:rPr>
                              <w:rFonts w:ascii="微软雅黑" w:hAnsi="微软雅黑" w:eastAsia="微软雅黑" w:cs="微软雅黑"/>
                              <w:sz w:val="20"/>
                              <w:szCs w:val="20"/>
                            </w:rPr>
                            <w:t xml:space="preserve"> </w:t>
                          </w:r>
                          <w:r>
                            <w:rPr>
                              <w:rFonts w:ascii="微软雅黑" w:hAnsi="微软雅黑" w:eastAsia="微软雅黑" w:cs="微软雅黑"/>
                              <w:spacing w:val="-1"/>
                              <w:sz w:val="20"/>
                              <w:szCs w:val="20"/>
                            </w:rPr>
                            <w:t>表结构设计</w:t>
                          </w:r>
                        </w:p>
                      </w:tc>
                      <w:tc>
                        <w:tcPr>
                          <w:tcW w:w="2322" w:type="dxa"/>
                          <w:tcBorders>
                            <w:left w:val="single" w:color="FFFFFF" w:sz="2" w:space="0"/>
                          </w:tcBorders>
                          <w:vAlign w:val="top"/>
                        </w:tcPr>
                        <w:p w14:paraId="707EAA82">
                          <w:pPr>
                            <w:spacing w:before="278" w:line="178" w:lineRule="auto"/>
                            <w:ind w:left="669"/>
                            <w:rPr>
                              <w:rFonts w:ascii="微软雅黑" w:hAnsi="微软雅黑" w:eastAsia="微软雅黑" w:cs="微软雅黑"/>
                              <w:sz w:val="20"/>
                              <w:szCs w:val="20"/>
                            </w:rPr>
                          </w:pPr>
                          <w:r>
                            <w:rPr>
                              <w:rFonts w:ascii="微软雅黑" w:hAnsi="微软雅黑" w:eastAsia="微软雅黑" w:cs="微软雅黑"/>
                              <w:spacing w:val="-2"/>
                              <w:sz w:val="20"/>
                              <w:szCs w:val="20"/>
                            </w:rPr>
                            <w:t>关系、约束</w:t>
                          </w:r>
                        </w:p>
                      </w:tc>
                    </w:tr>
                    <w:tr w14:paraId="27B0C29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536" w:hRule="atLeast"/>
                      </w:trPr>
                      <w:tc>
                        <w:tcPr>
                          <w:tcW w:w="2206" w:type="dxa"/>
                          <w:tcBorders>
                            <w:right w:val="single" w:color="FFFFFF" w:sz="2" w:space="0"/>
                          </w:tcBorders>
                          <w:vAlign w:val="top"/>
                        </w:tcPr>
                        <w:p w14:paraId="05E0DFA2">
                          <w:pPr>
                            <w:spacing w:before="166" w:line="206" w:lineRule="auto"/>
                            <w:ind w:left="598"/>
                            <w:rPr>
                              <w:rFonts w:ascii="微软雅黑" w:hAnsi="微软雅黑" w:eastAsia="微软雅黑" w:cs="微软雅黑"/>
                              <w:sz w:val="20"/>
                              <w:szCs w:val="20"/>
                            </w:rPr>
                          </w:pPr>
                          <w:r>
                            <w:rPr>
                              <w:rFonts w:ascii="微软雅黑" w:hAnsi="微软雅黑" w:eastAsia="微软雅黑" w:cs="微软雅黑"/>
                              <w:spacing w:val="-2"/>
                              <w:sz w:val="20"/>
                              <w:szCs w:val="20"/>
                            </w:rPr>
                            <w:t>元数据管理</w:t>
                          </w:r>
                        </w:p>
                      </w:tc>
                      <w:tc>
                        <w:tcPr>
                          <w:tcW w:w="2489" w:type="dxa"/>
                          <w:tcBorders>
                            <w:left w:val="single" w:color="FFFFFF" w:sz="2" w:space="0"/>
                            <w:right w:val="single" w:color="FFFFFF" w:sz="2" w:space="0"/>
                          </w:tcBorders>
                          <w:vAlign w:val="top"/>
                        </w:tcPr>
                        <w:p w14:paraId="6B8CCC61">
                          <w:pPr>
                            <w:spacing w:before="165" w:line="208" w:lineRule="auto"/>
                            <w:ind w:left="945"/>
                            <w:rPr>
                              <w:rFonts w:ascii="微软雅黑" w:hAnsi="微软雅黑" w:eastAsia="微软雅黑" w:cs="微软雅黑"/>
                              <w:sz w:val="20"/>
                              <w:szCs w:val="20"/>
                            </w:rPr>
                          </w:pPr>
                          <w:r>
                            <w:rPr>
                              <w:rFonts w:ascii="微软雅黑" w:hAnsi="微软雅黑" w:eastAsia="微软雅黑" w:cs="微软雅黑"/>
                              <w:spacing w:val="-2"/>
                              <w:sz w:val="20"/>
                              <w:szCs w:val="20"/>
                            </w:rPr>
                            <w:t>字段名</w:t>
                          </w:r>
                        </w:p>
                      </w:tc>
                      <w:tc>
                        <w:tcPr>
                          <w:tcW w:w="2376" w:type="dxa"/>
                          <w:tcBorders>
                            <w:left w:val="single" w:color="FFFFFF" w:sz="2" w:space="0"/>
                            <w:right w:val="single" w:color="FFFFFF" w:sz="2" w:space="0"/>
                          </w:tcBorders>
                          <w:vAlign w:val="top"/>
                        </w:tcPr>
                        <w:p w14:paraId="25DF2ABC">
                          <w:pPr>
                            <w:spacing w:before="166" w:line="206" w:lineRule="auto"/>
                            <w:ind w:left="793"/>
                            <w:rPr>
                              <w:rFonts w:ascii="微软雅黑" w:hAnsi="微软雅黑" w:eastAsia="微软雅黑" w:cs="微软雅黑"/>
                              <w:sz w:val="20"/>
                              <w:szCs w:val="20"/>
                            </w:rPr>
                          </w:pPr>
                          <w:r>
                            <w:rPr>
                              <w:rFonts w:ascii="微软雅黑" w:hAnsi="微软雅黑" w:eastAsia="微软雅黑" w:cs="微软雅黑"/>
                              <w:spacing w:val="-2"/>
                              <w:sz w:val="20"/>
                              <w:szCs w:val="20"/>
                            </w:rPr>
                            <w:t>数据表名</w:t>
                          </w:r>
                        </w:p>
                      </w:tc>
                      <w:tc>
                        <w:tcPr>
                          <w:tcW w:w="2322" w:type="dxa"/>
                          <w:tcBorders>
                            <w:left w:val="single" w:color="FFFFFF" w:sz="2" w:space="0"/>
                          </w:tcBorders>
                          <w:vAlign w:val="top"/>
                        </w:tcPr>
                        <w:p w14:paraId="3E1729F8">
                          <w:pPr>
                            <w:spacing w:before="166" w:line="206" w:lineRule="auto"/>
                            <w:ind w:left="767"/>
                            <w:rPr>
                              <w:rFonts w:ascii="微软雅黑" w:hAnsi="微软雅黑" w:eastAsia="微软雅黑" w:cs="微软雅黑"/>
                              <w:sz w:val="20"/>
                              <w:szCs w:val="20"/>
                            </w:rPr>
                          </w:pPr>
                          <w:r>
                            <w:rPr>
                              <w:rFonts w:ascii="微软雅黑" w:hAnsi="微软雅黑" w:eastAsia="微软雅黑" w:cs="微软雅黑"/>
                              <w:spacing w:val="-2"/>
                              <w:sz w:val="20"/>
                              <w:szCs w:val="20"/>
                            </w:rPr>
                            <w:t>数据血缘</w:t>
                          </w:r>
                        </w:p>
                      </w:tc>
                    </w:tr>
                    <w:tr w14:paraId="127DBBE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555" w:hRule="atLeast"/>
                      </w:trPr>
                      <w:tc>
                        <w:tcPr>
                          <w:tcW w:w="2206" w:type="dxa"/>
                          <w:tcBorders>
                            <w:right w:val="single" w:color="FFFFFF" w:sz="2" w:space="0"/>
                          </w:tcBorders>
                          <w:vAlign w:val="top"/>
                        </w:tcPr>
                        <w:p w14:paraId="1984DF2A">
                          <w:pPr>
                            <w:spacing w:before="174" w:line="206" w:lineRule="auto"/>
                            <w:ind w:left="495"/>
                            <w:rPr>
                              <w:rFonts w:ascii="微软雅黑" w:hAnsi="微软雅黑" w:eastAsia="微软雅黑" w:cs="微软雅黑"/>
                              <w:sz w:val="20"/>
                              <w:szCs w:val="20"/>
                            </w:rPr>
                          </w:pPr>
                          <w:r>
                            <w:rPr>
                              <w:rFonts w:ascii="微软雅黑" w:hAnsi="微软雅黑" w:eastAsia="微软雅黑" w:cs="微软雅黑"/>
                              <w:spacing w:val="-1"/>
                              <w:sz w:val="20"/>
                              <w:szCs w:val="20"/>
                            </w:rPr>
                            <w:t>数据安全管理</w:t>
                          </w:r>
                        </w:p>
                      </w:tc>
                      <w:tc>
                        <w:tcPr>
                          <w:tcW w:w="2489" w:type="dxa"/>
                          <w:tcBorders>
                            <w:left w:val="single" w:color="FFFFFF" w:sz="2" w:space="0"/>
                            <w:right w:val="single" w:color="FFFFFF" w:sz="2" w:space="0"/>
                          </w:tcBorders>
                          <w:vAlign w:val="top"/>
                        </w:tcPr>
                        <w:p w14:paraId="02E664CB">
                          <w:pPr>
                            <w:spacing w:before="174" w:line="207" w:lineRule="auto"/>
                            <w:ind w:left="545"/>
                            <w:rPr>
                              <w:rFonts w:ascii="微软雅黑" w:hAnsi="微软雅黑" w:eastAsia="微软雅黑" w:cs="微软雅黑"/>
                              <w:sz w:val="20"/>
                              <w:szCs w:val="20"/>
                            </w:rPr>
                          </w:pPr>
                          <w:r>
                            <w:rPr>
                              <w:rFonts w:ascii="微软雅黑" w:hAnsi="微软雅黑" w:eastAsia="微软雅黑" w:cs="微软雅黑"/>
                              <w:spacing w:val="-1"/>
                              <w:sz w:val="20"/>
                              <w:szCs w:val="20"/>
                            </w:rPr>
                            <w:t>字段级安全规则</w:t>
                          </w:r>
                        </w:p>
                      </w:tc>
                      <w:tc>
                        <w:tcPr>
                          <w:tcW w:w="2376" w:type="dxa"/>
                          <w:tcBorders>
                            <w:left w:val="single" w:color="FFFFFF" w:sz="2" w:space="0"/>
                            <w:right w:val="single" w:color="FFFFFF" w:sz="2" w:space="0"/>
                          </w:tcBorders>
                          <w:vAlign w:val="top"/>
                        </w:tcPr>
                        <w:p w14:paraId="0AD9D52F">
                          <w:pPr>
                            <w:spacing w:before="174" w:line="207" w:lineRule="auto"/>
                            <w:ind w:left="593"/>
                            <w:rPr>
                              <w:rFonts w:ascii="微软雅黑" w:hAnsi="微软雅黑" w:eastAsia="微软雅黑" w:cs="微软雅黑"/>
                              <w:sz w:val="20"/>
                              <w:szCs w:val="20"/>
                            </w:rPr>
                          </w:pPr>
                          <w:r>
                            <w:rPr>
                              <w:rFonts w:ascii="微软雅黑" w:hAnsi="微软雅黑" w:eastAsia="微软雅黑" w:cs="微软雅黑"/>
                              <w:spacing w:val="-1"/>
                              <w:sz w:val="20"/>
                              <w:szCs w:val="20"/>
                            </w:rPr>
                            <w:t>表级安全规则</w:t>
                          </w:r>
                        </w:p>
                      </w:tc>
                      <w:tc>
                        <w:tcPr>
                          <w:tcW w:w="2322" w:type="dxa"/>
                          <w:tcBorders>
                            <w:left w:val="single" w:color="FFFFFF" w:sz="2" w:space="0"/>
                          </w:tcBorders>
                          <w:vAlign w:val="top"/>
                        </w:tcPr>
                        <w:p w14:paraId="6750C076">
                          <w:pPr>
                            <w:spacing w:before="174" w:line="206" w:lineRule="auto"/>
                            <w:ind w:left="567"/>
                            <w:rPr>
                              <w:rFonts w:ascii="微软雅黑" w:hAnsi="微软雅黑" w:eastAsia="微软雅黑" w:cs="微软雅黑"/>
                              <w:sz w:val="20"/>
                              <w:szCs w:val="20"/>
                            </w:rPr>
                          </w:pPr>
                          <w:r>
                            <w:rPr>
                              <w:rFonts w:ascii="微软雅黑" w:hAnsi="微软雅黑" w:eastAsia="微软雅黑" w:cs="微软雅黑"/>
                              <w:spacing w:val="-1"/>
                              <w:sz w:val="20"/>
                              <w:szCs w:val="20"/>
                            </w:rPr>
                            <w:t>数据安全架构</w:t>
                          </w:r>
                        </w:p>
                      </w:tc>
                    </w:tr>
                  </w:tbl>
                  <w:p w14:paraId="53D38E26">
                    <w:pPr>
                      <w:rPr>
                        <w:rFonts w:ascii="Arial"/>
                        <w:sz w:val="21"/>
                      </w:rPr>
                    </w:pPr>
                  </w:p>
                </w:txbxContent>
              </v:textbox>
            </v:shape>
            <w10:wrap type="none"/>
            <w10:anchorlock/>
          </v:group>
        </w:pict>
      </w:r>
    </w:p>
    <w:p w14:paraId="2DC8C485">
      <w:pPr>
        <w:pStyle w:val="2"/>
        <w:spacing w:line="280" w:lineRule="auto"/>
      </w:pPr>
    </w:p>
    <w:p w14:paraId="17BA5479">
      <w:pPr>
        <w:pStyle w:val="2"/>
        <w:spacing w:line="281" w:lineRule="auto"/>
      </w:pPr>
    </w:p>
    <w:p w14:paraId="268D73A5">
      <w:pPr>
        <w:spacing w:before="94" w:line="206" w:lineRule="auto"/>
        <w:ind w:left="728"/>
        <w:rPr>
          <w:rFonts w:ascii="微软雅黑" w:hAnsi="微软雅黑" w:eastAsia="微软雅黑" w:cs="微软雅黑"/>
          <w:sz w:val="22"/>
          <w:szCs w:val="22"/>
        </w:rPr>
      </w:pPr>
      <w:r>
        <w:rPr>
          <w:rFonts w:ascii="微软雅黑" w:hAnsi="微软雅黑" w:eastAsia="微软雅黑" w:cs="微软雅黑"/>
          <w:color w:val="231F20"/>
          <w:sz w:val="22"/>
          <w:szCs w:val="22"/>
        </w:rPr>
        <w:t>第一步的交付物主要包括：数据资产管理活动</w:t>
      </w:r>
      <w:r>
        <w:rPr>
          <w:rFonts w:ascii="微软雅黑" w:hAnsi="微软雅黑" w:eastAsia="微软雅黑" w:cs="微软雅黑"/>
          <w:color w:val="231F20"/>
          <w:spacing w:val="-1"/>
          <w:sz w:val="22"/>
          <w:szCs w:val="22"/>
        </w:rPr>
        <w:t>职能相关标准规范、实施细则、操作规范。</w:t>
      </w:r>
    </w:p>
    <w:p w14:paraId="3906734A">
      <w:pPr>
        <w:spacing w:before="139" w:line="290" w:lineRule="auto"/>
        <w:ind w:left="242" w:right="68" w:firstLine="486"/>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第二步是搭建大数据平台，汇聚数据资源。根据数据规模、数据源复杂性、数据时</w:t>
      </w:r>
      <w:r>
        <w:rPr>
          <w:rFonts w:ascii="微软雅黑" w:hAnsi="微软雅黑" w:eastAsia="微软雅黑" w:cs="微软雅黑"/>
          <w:color w:val="231F20"/>
          <w:spacing w:val="2"/>
          <w:sz w:val="22"/>
          <w:szCs w:val="22"/>
        </w:rPr>
        <w:t>效性等，</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评估平台预期成本，</w:t>
      </w:r>
      <w:r>
        <w:rPr>
          <w:rFonts w:ascii="微软雅黑" w:hAnsi="微软雅黑" w:eastAsia="微软雅黑" w:cs="微软雅黑"/>
          <w:color w:val="231F20"/>
          <w:spacing w:val="-22"/>
          <w:sz w:val="22"/>
          <w:szCs w:val="22"/>
        </w:rPr>
        <w:t xml:space="preserve"> </w:t>
      </w:r>
      <w:r>
        <w:rPr>
          <w:rFonts w:ascii="微软雅黑" w:hAnsi="微软雅黑" w:eastAsia="微软雅黑" w:cs="微软雅黑"/>
          <w:color w:val="231F20"/>
          <w:spacing w:val="3"/>
          <w:sz w:val="22"/>
          <w:szCs w:val="22"/>
        </w:rPr>
        <w:t>自建或采购大数据平台，为数据资产管理提供底层技术支持；设计数据采集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和存储方案，根据第一步的数据资产标准规范体系，制定数据转换规则，确定数据集成任务调度</w:t>
      </w:r>
      <w:r>
        <w:rPr>
          <w:rFonts w:ascii="微软雅黑" w:hAnsi="微软雅黑" w:eastAsia="微软雅黑" w:cs="微软雅黑"/>
          <w:color w:val="231F20"/>
          <w:spacing w:val="2"/>
          <w:sz w:val="22"/>
          <w:szCs w:val="22"/>
        </w:rPr>
        <w:t xml:space="preserve"> </w:t>
      </w:r>
      <w:r>
        <w:rPr>
          <w:rFonts w:ascii="微软雅黑" w:hAnsi="微软雅黑" w:eastAsia="微软雅黑" w:cs="微软雅黑"/>
          <w:color w:val="231F20"/>
          <w:spacing w:val="4"/>
          <w:sz w:val="22"/>
          <w:szCs w:val="22"/>
        </w:rPr>
        <w:t>策略，支持从业务系统或管理系统抽取数据</w:t>
      </w:r>
      <w:r>
        <w:rPr>
          <w:rFonts w:ascii="微软雅黑" w:hAnsi="微软雅黑" w:eastAsia="微软雅黑" w:cs="微软雅黑"/>
          <w:color w:val="231F20"/>
          <w:spacing w:val="3"/>
          <w:sz w:val="22"/>
          <w:szCs w:val="22"/>
        </w:rPr>
        <w:t>至大数据平台，实现数据资源的汇聚；结合云原生、</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AI 等技术提升资源利用率，降低数据资产管理的资源投入和运维成本。</w:t>
      </w:r>
    </w:p>
    <w:p w14:paraId="04DBF938">
      <w:pPr>
        <w:spacing w:before="17" w:line="206" w:lineRule="auto"/>
        <w:ind w:left="728"/>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第二步的交付物主要包括：大数据平台、数据汇聚方案与记录。</w:t>
      </w:r>
    </w:p>
    <w:p w14:paraId="484FFA34">
      <w:pPr>
        <w:pStyle w:val="2"/>
        <w:spacing w:line="320" w:lineRule="auto"/>
      </w:pPr>
    </w:p>
    <w:p w14:paraId="6E39CC68">
      <w:pPr>
        <w:pStyle w:val="2"/>
        <w:spacing w:before="58" w:line="194" w:lineRule="auto"/>
        <w:ind w:left="4845"/>
        <w:rPr>
          <w:sz w:val="20"/>
          <w:szCs w:val="20"/>
        </w:rPr>
      </w:pPr>
      <w:r>
        <w:pict>
          <v:shape id="_x0000_s1283" o:spid="_x0000_s1283" o:spt="202" type="#_x0000_t202" style="position:absolute;left:0pt;margin-left:274.65pt;margin-top:6.6pt;height:15.95pt;width:199.4pt;z-index:251869184;mso-width-relative:page;mso-height-relative:page;" filled="f" stroked="f" coordsize="21600,21600">
            <v:path/>
            <v:fill on="f" focussize="0,0"/>
            <v:stroke on="f"/>
            <v:imagedata o:title=""/>
            <o:lock v:ext="edit" aspectratio="f"/>
            <v:textbox inset="0mm,0mm,0mm,0mm">
              <w:txbxContent>
                <w:p w14:paraId="77056AC8">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3"/>
          <w:sz w:val="20"/>
          <w:szCs w:val="20"/>
        </w:rPr>
        <w:t>36</w:t>
      </w:r>
    </w:p>
    <w:p w14:paraId="6D9C021E">
      <w:pPr>
        <w:spacing w:line="194" w:lineRule="auto"/>
        <w:rPr>
          <w:sz w:val="20"/>
          <w:szCs w:val="20"/>
        </w:rPr>
        <w:sectPr>
          <w:pgSz w:w="11906" w:h="16158"/>
          <w:pgMar w:top="400" w:right="1178" w:bottom="400" w:left="1004" w:header="0" w:footer="0" w:gutter="0"/>
          <w:cols w:space="720" w:num="1"/>
        </w:sectPr>
      </w:pPr>
    </w:p>
    <w:p w14:paraId="17823D98">
      <w:pPr>
        <w:pStyle w:val="2"/>
        <w:spacing w:line="349" w:lineRule="auto"/>
      </w:pPr>
    </w:p>
    <w:p w14:paraId="49F4B6F0">
      <w:pPr>
        <w:pStyle w:val="2"/>
        <w:spacing w:line="350" w:lineRule="auto"/>
      </w:pPr>
    </w:p>
    <w:p w14:paraId="4F8920FF">
      <w:pPr>
        <w:spacing w:before="80" w:line="182" w:lineRule="auto"/>
        <w:rPr>
          <w:rFonts w:ascii="Segoe UI" w:hAnsi="Segoe UI" w:eastAsia="Segoe UI" w:cs="Segoe UI"/>
          <w:sz w:val="24"/>
          <w:szCs w:val="24"/>
        </w:rPr>
      </w:pPr>
      <w:r>
        <w:rPr>
          <w:rFonts w:ascii="Segoe UI" w:hAnsi="Segoe UI" w:eastAsia="Segoe UI" w:cs="Segoe UI"/>
          <w:b/>
          <w:bCs/>
          <w:color w:val="648676"/>
          <w:spacing w:val="25"/>
          <w:w w:val="111"/>
          <w:sz w:val="24"/>
          <w:szCs w:val="24"/>
        </w:rPr>
        <w:t>CHAPTER -4</w:t>
      </w:r>
    </w:p>
    <w:p w14:paraId="2B17A3E9">
      <w:pPr>
        <w:spacing w:before="55" w:line="178" w:lineRule="auto"/>
        <w:ind w:left="405"/>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数据资产管理实践步骤</w:t>
      </w:r>
    </w:p>
    <w:p w14:paraId="1CF74BC2">
      <w:pPr>
        <w:pStyle w:val="2"/>
        <w:spacing w:line="293" w:lineRule="auto"/>
      </w:pPr>
    </w:p>
    <w:p w14:paraId="2A28900B">
      <w:pPr>
        <w:pStyle w:val="2"/>
        <w:spacing w:line="294" w:lineRule="auto"/>
      </w:pPr>
    </w:p>
    <w:p w14:paraId="5856BFD4">
      <w:pPr>
        <w:pStyle w:val="2"/>
        <w:spacing w:line="294" w:lineRule="auto"/>
      </w:pPr>
    </w:p>
    <w:p w14:paraId="758716FE">
      <w:pPr>
        <w:spacing w:before="94" w:line="290" w:lineRule="auto"/>
        <w:ind w:left="247" w:right="82"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第三步是依托统一管理平台，实现数据资产的全流程管理。构建统一的数据资产管理平台，</w:t>
      </w:r>
      <w:r>
        <w:rPr>
          <w:rFonts w:ascii="微软雅黑" w:hAnsi="微软雅黑" w:eastAsia="微软雅黑" w:cs="微软雅黑"/>
          <w:color w:val="231F20"/>
          <w:spacing w:val="2"/>
          <w:sz w:val="22"/>
          <w:szCs w:val="22"/>
        </w:rPr>
        <w:t xml:space="preserve"> </w:t>
      </w:r>
      <w:r>
        <w:rPr>
          <w:rFonts w:ascii="微软雅黑" w:hAnsi="微软雅黑" w:eastAsia="微软雅黑" w:cs="微软雅黑"/>
          <w:color w:val="231F20"/>
          <w:spacing w:val="4"/>
          <w:sz w:val="22"/>
          <w:szCs w:val="22"/>
        </w:rPr>
        <w:t>使各活动职能相关工具保持联动，覆盖数据的采集、流转、加工、使用等环节；由数据资产管理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团队组织开展数据资源化活动，对于每一项活动，在数据需求中明确和记</w:t>
      </w:r>
      <w:r>
        <w:rPr>
          <w:rFonts w:ascii="微软雅黑" w:hAnsi="微软雅黑" w:eastAsia="微软雅黑" w:cs="微软雅黑"/>
          <w:color w:val="231F20"/>
          <w:spacing w:val="3"/>
          <w:sz w:val="22"/>
          <w:szCs w:val="22"/>
        </w:rPr>
        <w:t>录数据使用方的规范与</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期望，在数据设计中支持规则的落地与应用，在数据运维根据数据生产方业务和数据的变化，</w:t>
      </w:r>
      <w:r>
        <w:rPr>
          <w:rFonts w:ascii="微软雅黑" w:hAnsi="微软雅黑" w:eastAsia="微软雅黑" w:cs="微软雅黑"/>
          <w:color w:val="231F20"/>
          <w:spacing w:val="-27"/>
          <w:sz w:val="22"/>
          <w:szCs w:val="22"/>
        </w:rPr>
        <w:t xml:space="preserve"> </w:t>
      </w:r>
      <w:r>
        <w:rPr>
          <w:rFonts w:ascii="微软雅黑" w:hAnsi="微软雅黑" w:eastAsia="微软雅黑" w:cs="微软雅黑"/>
          <w:color w:val="231F20"/>
          <w:spacing w:val="3"/>
          <w:sz w:val="22"/>
          <w:szCs w:val="22"/>
        </w:rPr>
        <w:t>响</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应数据使用方规则与期望的调整，并及时发现和整改问题数据。</w:t>
      </w:r>
    </w:p>
    <w:p w14:paraId="742F94EC">
      <w:pPr>
        <w:spacing w:before="15" w:line="288" w:lineRule="auto"/>
        <w:ind w:left="247" w:firstLine="481"/>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项目是执行组织级数据资产管理的最小单元，良好</w:t>
      </w:r>
      <w:r>
        <w:rPr>
          <w:rFonts w:ascii="微软雅黑" w:hAnsi="微软雅黑" w:eastAsia="微软雅黑" w:cs="微软雅黑"/>
          <w:color w:val="231F20"/>
          <w:sz w:val="22"/>
          <w:szCs w:val="22"/>
        </w:rPr>
        <w:t xml:space="preserve">的数据资产项目管理是基础，类比 IT 项目  </w:t>
      </w:r>
      <w:r>
        <w:rPr>
          <w:rFonts w:ascii="微软雅黑" w:hAnsi="微软雅黑" w:eastAsia="微软雅黑" w:cs="微软雅黑"/>
          <w:color w:val="231F20"/>
          <w:spacing w:val="-9"/>
          <w:sz w:val="22"/>
          <w:szCs w:val="22"/>
        </w:rPr>
        <w:t>管理框架，主要从目标一致性、角色合理性、范围明确性（包括业务范围、数据范围、技术</w:t>
      </w:r>
      <w:r>
        <w:rPr>
          <w:rFonts w:ascii="微软雅黑" w:hAnsi="微软雅黑" w:eastAsia="微软雅黑" w:cs="微软雅黑"/>
          <w:color w:val="231F20"/>
          <w:spacing w:val="-10"/>
          <w:sz w:val="22"/>
          <w:szCs w:val="22"/>
        </w:rPr>
        <w:t>范围等）、</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风险可控性、成本可计量、质量可优化等方</w:t>
      </w:r>
      <w:r>
        <w:rPr>
          <w:rFonts w:ascii="微软雅黑" w:hAnsi="微软雅黑" w:eastAsia="微软雅黑" w:cs="微软雅黑"/>
          <w:color w:val="231F20"/>
          <w:spacing w:val="-2"/>
          <w:sz w:val="22"/>
          <w:szCs w:val="22"/>
        </w:rPr>
        <w:t>面考虑（如图 17 所示）。</w:t>
      </w:r>
    </w:p>
    <w:p w14:paraId="25A25156">
      <w:pPr>
        <w:spacing w:before="54"/>
      </w:pPr>
    </w:p>
    <w:p w14:paraId="2A807CD5">
      <w:pPr>
        <w:spacing w:before="54"/>
      </w:pPr>
    </w:p>
    <w:p w14:paraId="3FE5A79E">
      <w:pPr>
        <w:sectPr>
          <w:pgSz w:w="11906" w:h="16158"/>
          <w:pgMar w:top="400" w:right="1162" w:bottom="400" w:left="1004" w:header="0" w:footer="0" w:gutter="0"/>
          <w:cols w:equalWidth="0" w:num="1">
            <w:col w:w="9739"/>
          </w:cols>
        </w:sectPr>
      </w:pPr>
    </w:p>
    <w:p w14:paraId="61A3C197">
      <w:pPr>
        <w:pStyle w:val="2"/>
        <w:spacing w:line="245" w:lineRule="auto"/>
      </w:pPr>
    </w:p>
    <w:p w14:paraId="39E61519">
      <w:pPr>
        <w:pStyle w:val="2"/>
        <w:spacing w:line="245" w:lineRule="auto"/>
      </w:pPr>
    </w:p>
    <w:p w14:paraId="7CCBDA86">
      <w:pPr>
        <w:pStyle w:val="2"/>
        <w:spacing w:line="246" w:lineRule="auto"/>
      </w:pPr>
    </w:p>
    <w:p w14:paraId="09233394">
      <w:pPr>
        <w:pStyle w:val="2"/>
        <w:spacing w:line="246" w:lineRule="auto"/>
      </w:pPr>
    </w:p>
    <w:p w14:paraId="7690E70B">
      <w:pPr>
        <w:pStyle w:val="2"/>
        <w:spacing w:line="246" w:lineRule="auto"/>
      </w:pPr>
      <w:r>
        <w:drawing>
          <wp:anchor distT="0" distB="0" distL="0" distR="0" simplePos="0" relativeHeight="251878400" behindDoc="0" locked="0" layoutInCell="1" allowOverlap="1">
            <wp:simplePos x="0" y="0"/>
            <wp:positionH relativeFrom="column">
              <wp:posOffset>1795145</wp:posOffset>
            </wp:positionH>
            <wp:positionV relativeFrom="paragraph">
              <wp:posOffset>45085</wp:posOffset>
            </wp:positionV>
            <wp:extent cx="328295" cy="227965"/>
            <wp:effectExtent l="0" t="0" r="0" b="0"/>
            <wp:wrapNone/>
            <wp:docPr id="266" name="IM 266"/>
            <wp:cNvGraphicFramePr/>
            <a:graphic xmlns:a="http://schemas.openxmlformats.org/drawingml/2006/main">
              <a:graphicData uri="http://schemas.openxmlformats.org/drawingml/2006/picture">
                <pic:pic xmlns:pic="http://schemas.openxmlformats.org/drawingml/2006/picture">
                  <pic:nvPicPr>
                    <pic:cNvPr id="266" name="IM 266"/>
                    <pic:cNvPicPr/>
                  </pic:nvPicPr>
                  <pic:blipFill>
                    <a:blip r:embed="rId164"/>
                    <a:stretch>
                      <a:fillRect/>
                    </a:stretch>
                  </pic:blipFill>
                  <pic:spPr>
                    <a:xfrm>
                      <a:off x="0" y="0"/>
                      <a:ext cx="328028" cy="227672"/>
                    </a:xfrm>
                    <a:prstGeom prst="rect">
                      <a:avLst/>
                    </a:prstGeom>
                  </pic:spPr>
                </pic:pic>
              </a:graphicData>
            </a:graphic>
          </wp:anchor>
        </w:drawing>
      </w:r>
    </w:p>
    <w:p w14:paraId="6C3C7818">
      <w:pPr>
        <w:spacing w:before="102" w:line="250" w:lineRule="exact"/>
        <w:ind w:left="1728"/>
        <w:rPr>
          <w:rFonts w:ascii="微软雅黑" w:hAnsi="微软雅黑" w:eastAsia="微软雅黑" w:cs="微软雅黑"/>
          <w:sz w:val="24"/>
          <w:szCs w:val="24"/>
        </w:rPr>
      </w:pPr>
      <w:r>
        <w:rPr>
          <w:rFonts w:ascii="微软雅黑" w:hAnsi="微软雅黑" w:eastAsia="微软雅黑" w:cs="微软雅黑"/>
          <w:color w:val="6B8F80"/>
          <w:spacing w:val="7"/>
          <w:position w:val="-1"/>
          <w:sz w:val="24"/>
          <w:szCs w:val="24"/>
        </w:rPr>
        <w:t>人力</w:t>
      </w:r>
    </w:p>
    <w:p w14:paraId="08EBA45F">
      <w:pPr>
        <w:spacing w:before="134" w:line="951" w:lineRule="exact"/>
        <w:ind w:firstLine="774"/>
      </w:pPr>
      <w:r>
        <w:rPr>
          <w:position w:val="-19"/>
        </w:rPr>
        <w:pict>
          <v:shape id="_x0000_s1284" o:spid="_x0000_s1284" o:spt="202" type="#_x0000_t202" style="height:47.55pt;width:133pt;" fillcolor="#E0E8E6" filled="t" stroked="f" coordsize="21600,21600">
            <v:path/>
            <v:fill on="t" focussize="0,0"/>
            <v:stroke on="f"/>
            <v:imagedata o:title=""/>
            <o:lock v:ext="edit" aspectratio="f"/>
            <v:textbox inset="0mm,0mm,0mm,0mm">
              <w:txbxContent>
                <w:p w14:paraId="63D6F078">
                  <w:pPr>
                    <w:spacing w:before="218" w:line="190" w:lineRule="exact"/>
                    <w:ind w:left="96"/>
                    <w:rPr>
                      <w:rFonts w:ascii="微软雅黑" w:hAnsi="微软雅黑" w:eastAsia="微软雅黑" w:cs="微软雅黑"/>
                      <w:sz w:val="18"/>
                      <w:szCs w:val="18"/>
                    </w:rPr>
                  </w:pPr>
                  <w:r>
                    <w:rPr>
                      <w:rFonts w:ascii="微软雅黑" w:hAnsi="微软雅黑" w:eastAsia="微软雅黑" w:cs="微软雅黑"/>
                      <w:spacing w:val="17"/>
                      <w:position w:val="-1"/>
                      <w:sz w:val="18"/>
                      <w:szCs w:val="18"/>
                    </w:rPr>
                    <w:t>根据组织架构</w:t>
                  </w:r>
                  <w:r>
                    <w:rPr>
                      <w:rFonts w:ascii="微软雅黑" w:hAnsi="微软雅黑" w:eastAsia="微软雅黑" w:cs="微软雅黑"/>
                      <w:spacing w:val="33"/>
                      <w:w w:val="101"/>
                      <w:position w:val="-1"/>
                      <w:sz w:val="18"/>
                      <w:szCs w:val="18"/>
                    </w:rPr>
                    <w:t xml:space="preserve"> </w:t>
                  </w:r>
                  <w:r>
                    <w:rPr>
                      <w:rFonts w:ascii="微软雅黑" w:hAnsi="微软雅黑" w:eastAsia="微软雅黑" w:cs="微软雅黑"/>
                      <w:spacing w:val="17"/>
                      <w:position w:val="-1"/>
                      <w:sz w:val="18"/>
                      <w:szCs w:val="18"/>
                    </w:rPr>
                    <w:t>,组建项目组</w:t>
                  </w:r>
                </w:p>
                <w:p w14:paraId="57F36ADE">
                  <w:pPr>
                    <w:spacing w:before="163" w:line="191" w:lineRule="exact"/>
                    <w:ind w:left="108"/>
                  </w:pPr>
                  <w:r>
                    <w:rPr>
                      <w:position w:val="-4"/>
                    </w:rPr>
                    <w:drawing>
                      <wp:inline distT="0" distB="0" distL="0" distR="0">
                        <wp:extent cx="1583055" cy="120650"/>
                        <wp:effectExtent l="0" t="0" r="0" b="0"/>
                        <wp:docPr id="268" name="IM 268"/>
                        <wp:cNvGraphicFramePr/>
                        <a:graphic xmlns:a="http://schemas.openxmlformats.org/drawingml/2006/main">
                          <a:graphicData uri="http://schemas.openxmlformats.org/drawingml/2006/picture">
                            <pic:pic xmlns:pic="http://schemas.openxmlformats.org/drawingml/2006/picture">
                              <pic:nvPicPr>
                                <pic:cNvPr id="268" name="IM 268"/>
                                <pic:cNvPicPr/>
                              </pic:nvPicPr>
                              <pic:blipFill>
                                <a:blip r:embed="rId165"/>
                                <a:stretch>
                                  <a:fillRect/>
                                </a:stretch>
                              </pic:blipFill>
                              <pic:spPr>
                                <a:xfrm>
                                  <a:off x="0" y="0"/>
                                  <a:ext cx="1583589" cy="121005"/>
                                </a:xfrm>
                                <a:prstGeom prst="rect">
                                  <a:avLst/>
                                </a:prstGeom>
                              </pic:spPr>
                            </pic:pic>
                          </a:graphicData>
                        </a:graphic>
                      </wp:inline>
                    </w:drawing>
                  </w:r>
                </w:p>
              </w:txbxContent>
            </v:textbox>
            <w10:wrap type="none"/>
            <w10:anchorlock/>
          </v:shape>
        </w:pict>
      </w:r>
    </w:p>
    <w:p w14:paraId="3ECF4514">
      <w:pPr>
        <w:pStyle w:val="2"/>
        <w:spacing w:line="304" w:lineRule="auto"/>
      </w:pPr>
    </w:p>
    <w:p w14:paraId="1F09EA10">
      <w:pPr>
        <w:spacing w:line="1064" w:lineRule="exact"/>
        <w:ind w:firstLine="774"/>
      </w:pPr>
      <w:r>
        <w:rPr>
          <w:position w:val="-21"/>
        </w:rPr>
        <w:pict>
          <v:shape id="_x0000_s1285" o:spid="_x0000_s1285" o:spt="202" type="#_x0000_t202" style="height:53.2pt;width:124.1pt;" fillcolor="#E6E6E6" filled="t" stroked="f" coordsize="21600,21600">
            <v:path/>
            <v:fill on="t" focussize="0,0"/>
            <v:stroke on="f"/>
            <v:imagedata o:title=""/>
            <o:lock v:ext="edit" aspectratio="f"/>
            <v:textbox inset="0mm,0mm,0mm,0mm">
              <w:txbxContent>
                <w:p w14:paraId="53D5743D">
                  <w:pPr>
                    <w:spacing w:before="116" w:line="241" w:lineRule="auto"/>
                    <w:ind w:left="137" w:right="219"/>
                    <w:jc w:val="both"/>
                    <w:rPr>
                      <w:rFonts w:ascii="微软雅黑" w:hAnsi="微软雅黑" w:eastAsia="微软雅黑" w:cs="微软雅黑"/>
                      <w:sz w:val="18"/>
                      <w:szCs w:val="18"/>
                    </w:rPr>
                  </w:pPr>
                  <w:r>
                    <w:rPr>
                      <w:rFonts w:ascii="微软雅黑" w:hAnsi="微软雅黑" w:eastAsia="微软雅黑" w:cs="微软雅黑"/>
                      <w:sz w:val="19"/>
                      <w:szCs w:val="19"/>
                    </w:rPr>
                    <w:t>参考组织级业务架构、</w:t>
                  </w:r>
                  <w:r>
                    <w:rPr>
                      <w:rFonts w:ascii="微软雅黑" w:hAnsi="微软雅黑" w:eastAsia="微软雅黑" w:cs="微软雅黑"/>
                      <w:spacing w:val="-23"/>
                      <w:sz w:val="19"/>
                      <w:szCs w:val="19"/>
                    </w:rPr>
                    <w:t xml:space="preserve"> </w:t>
                  </w:r>
                  <w:r>
                    <w:rPr>
                      <w:rFonts w:ascii="微软雅黑" w:hAnsi="微软雅黑" w:eastAsia="微软雅黑" w:cs="微软雅黑"/>
                      <w:sz w:val="19"/>
                      <w:szCs w:val="19"/>
                    </w:rPr>
                    <w:t xml:space="preserve">数 </w:t>
                  </w:r>
                  <w:r>
                    <w:rPr>
                      <w:rFonts w:ascii="微软雅黑" w:hAnsi="微软雅黑" w:eastAsia="微软雅黑" w:cs="微软雅黑"/>
                      <w:spacing w:val="14"/>
                      <w:sz w:val="18"/>
                      <w:szCs w:val="18"/>
                    </w:rPr>
                    <w:t>据架构、</w:t>
                  </w:r>
                  <w:r>
                    <w:rPr>
                      <w:rFonts w:ascii="微软雅黑" w:hAnsi="微软雅黑" w:eastAsia="微软雅黑" w:cs="微软雅黑"/>
                      <w:spacing w:val="-18"/>
                      <w:sz w:val="18"/>
                      <w:szCs w:val="18"/>
                    </w:rPr>
                    <w:t xml:space="preserve"> </w:t>
                  </w:r>
                  <w:r>
                    <w:rPr>
                      <w:rFonts w:ascii="微软雅黑" w:hAnsi="微软雅黑" w:eastAsia="微软雅黑" w:cs="微软雅黑"/>
                      <w:spacing w:val="14"/>
                      <w:sz w:val="18"/>
                      <w:szCs w:val="18"/>
                    </w:rPr>
                    <w:t>技术架构</w:t>
                  </w:r>
                  <w:r>
                    <w:rPr>
                      <w:rFonts w:ascii="微软雅黑" w:hAnsi="微软雅黑" w:eastAsia="微软雅黑" w:cs="微软雅黑"/>
                      <w:spacing w:val="28"/>
                      <w:w w:val="101"/>
                      <w:sz w:val="18"/>
                      <w:szCs w:val="18"/>
                    </w:rPr>
                    <w:t xml:space="preserve"> </w:t>
                  </w:r>
                  <w:r>
                    <w:rPr>
                      <w:rFonts w:ascii="微软雅黑" w:hAnsi="微软雅黑" w:eastAsia="微软雅黑" w:cs="微软雅黑"/>
                      <w:spacing w:val="14"/>
                      <w:sz w:val="18"/>
                      <w:szCs w:val="18"/>
                    </w:rPr>
                    <w:t>,明确</w:t>
                  </w:r>
                  <w:r>
                    <w:rPr>
                      <w:rFonts w:ascii="微软雅黑" w:hAnsi="微软雅黑" w:eastAsia="微软雅黑" w:cs="微软雅黑"/>
                      <w:sz w:val="18"/>
                      <w:szCs w:val="18"/>
                    </w:rPr>
                    <w:t xml:space="preserve"> </w:t>
                  </w:r>
                  <w:r>
                    <w:rPr>
                      <w:rFonts w:ascii="微软雅黑" w:hAnsi="微软雅黑" w:eastAsia="微软雅黑" w:cs="微软雅黑"/>
                      <w:spacing w:val="9"/>
                      <w:sz w:val="18"/>
                      <w:szCs w:val="18"/>
                    </w:rPr>
                    <w:t>项目范围</w:t>
                  </w:r>
                </w:p>
              </w:txbxContent>
            </v:textbox>
            <w10:wrap type="none"/>
            <w10:anchorlock/>
          </v:shape>
        </w:pict>
      </w:r>
    </w:p>
    <w:p w14:paraId="39D220F3">
      <w:pPr>
        <w:spacing w:before="111" w:line="250" w:lineRule="exact"/>
        <w:ind w:left="1652"/>
        <w:rPr>
          <w:rFonts w:ascii="微软雅黑" w:hAnsi="微软雅黑" w:eastAsia="微软雅黑" w:cs="微软雅黑"/>
          <w:sz w:val="24"/>
          <w:szCs w:val="24"/>
        </w:rPr>
      </w:pPr>
      <w:r>
        <w:drawing>
          <wp:anchor distT="0" distB="0" distL="0" distR="0" simplePos="0" relativeHeight="251881472" behindDoc="0" locked="0" layoutInCell="1" allowOverlap="1">
            <wp:simplePos x="0" y="0"/>
            <wp:positionH relativeFrom="column">
              <wp:posOffset>1822450</wp:posOffset>
            </wp:positionH>
            <wp:positionV relativeFrom="paragraph">
              <wp:posOffset>168275</wp:posOffset>
            </wp:positionV>
            <wp:extent cx="345440" cy="146050"/>
            <wp:effectExtent l="0" t="0" r="0" b="0"/>
            <wp:wrapNone/>
            <wp:docPr id="270" name="IM 270"/>
            <wp:cNvGraphicFramePr/>
            <a:graphic xmlns:a="http://schemas.openxmlformats.org/drawingml/2006/main">
              <a:graphicData uri="http://schemas.openxmlformats.org/drawingml/2006/picture">
                <pic:pic xmlns:pic="http://schemas.openxmlformats.org/drawingml/2006/picture">
                  <pic:nvPicPr>
                    <pic:cNvPr id="270" name="IM 270"/>
                    <pic:cNvPicPr/>
                  </pic:nvPicPr>
                  <pic:blipFill>
                    <a:blip r:embed="rId166"/>
                    <a:stretch>
                      <a:fillRect/>
                    </a:stretch>
                  </pic:blipFill>
                  <pic:spPr>
                    <a:xfrm>
                      <a:off x="0" y="0"/>
                      <a:ext cx="345655" cy="145783"/>
                    </a:xfrm>
                    <a:prstGeom prst="rect">
                      <a:avLst/>
                    </a:prstGeom>
                  </pic:spPr>
                </pic:pic>
              </a:graphicData>
            </a:graphic>
          </wp:anchor>
        </w:drawing>
      </w:r>
      <w:r>
        <w:rPr>
          <w:rFonts w:ascii="微软雅黑" w:hAnsi="微软雅黑" w:eastAsia="微软雅黑" w:cs="微软雅黑"/>
          <w:color w:val="787878"/>
          <w:spacing w:val="9"/>
          <w:position w:val="-1"/>
          <w:sz w:val="24"/>
          <w:szCs w:val="24"/>
        </w:rPr>
        <w:t>范围</w:t>
      </w:r>
    </w:p>
    <w:p w14:paraId="3FF4B858">
      <w:pPr>
        <w:pStyle w:val="2"/>
        <w:spacing w:line="14" w:lineRule="auto"/>
        <w:rPr>
          <w:sz w:val="2"/>
        </w:rPr>
      </w:pPr>
      <w:r>
        <w:rPr>
          <w:sz w:val="2"/>
          <w:szCs w:val="2"/>
        </w:rPr>
        <w:br w:type="column"/>
      </w:r>
    </w:p>
    <w:p w14:paraId="54BB82E2">
      <w:pPr>
        <w:spacing w:line="277" w:lineRule="exact"/>
        <w:ind w:firstLine="851"/>
      </w:pPr>
      <w:r>
        <w:rPr>
          <w:position w:val="-5"/>
        </w:rPr>
        <w:drawing>
          <wp:inline distT="0" distB="0" distL="0" distR="0">
            <wp:extent cx="344805" cy="175895"/>
            <wp:effectExtent l="0" t="0" r="0" b="0"/>
            <wp:docPr id="272" name="IM 272"/>
            <wp:cNvGraphicFramePr/>
            <a:graphic xmlns:a="http://schemas.openxmlformats.org/drawingml/2006/main">
              <a:graphicData uri="http://schemas.openxmlformats.org/drawingml/2006/picture">
                <pic:pic xmlns:pic="http://schemas.openxmlformats.org/drawingml/2006/picture">
                  <pic:nvPicPr>
                    <pic:cNvPr id="272" name="IM 272"/>
                    <pic:cNvPicPr/>
                  </pic:nvPicPr>
                  <pic:blipFill>
                    <a:blip r:embed="rId167"/>
                    <a:stretch>
                      <a:fillRect/>
                    </a:stretch>
                  </pic:blipFill>
                  <pic:spPr>
                    <a:xfrm>
                      <a:off x="0" y="0"/>
                      <a:ext cx="345198" cy="175945"/>
                    </a:xfrm>
                    <a:prstGeom prst="rect">
                      <a:avLst/>
                    </a:prstGeom>
                  </pic:spPr>
                </pic:pic>
              </a:graphicData>
            </a:graphic>
          </wp:inline>
        </w:drawing>
      </w:r>
    </w:p>
    <w:p w14:paraId="6866ABE8">
      <w:pPr>
        <w:spacing w:before="202" w:line="1451" w:lineRule="exact"/>
      </w:pPr>
      <w:r>
        <w:rPr>
          <w:position w:val="-29"/>
        </w:rPr>
        <w:pict>
          <v:shape id="_x0000_s1286" o:spid="_x0000_s1286" o:spt="202" type="#_x0000_t202" style="height:72.55pt;width:119.3pt;" fillcolor="#E6E6E6" filled="t" stroked="f" coordsize="21600,21600">
            <v:path/>
            <v:fill on="t" focussize="0,0"/>
            <v:stroke on="f"/>
            <v:imagedata o:title=""/>
            <o:lock v:ext="edit" aspectratio="f"/>
            <v:textbox inset="0mm,0mm,0mm,0mm">
              <w:txbxContent>
                <w:p w14:paraId="59C320A1">
                  <w:pPr>
                    <w:spacing w:before="222" w:line="190" w:lineRule="exact"/>
                    <w:ind w:left="173"/>
                    <w:rPr>
                      <w:rFonts w:ascii="微软雅黑" w:hAnsi="微软雅黑" w:eastAsia="微软雅黑" w:cs="微软雅黑"/>
                      <w:sz w:val="19"/>
                      <w:szCs w:val="19"/>
                    </w:rPr>
                  </w:pPr>
                  <w:r>
                    <w:rPr>
                      <w:rFonts w:ascii="微软雅黑" w:hAnsi="微软雅黑" w:eastAsia="微软雅黑" w:cs="微软雅黑"/>
                      <w:spacing w:val="2"/>
                      <w:position w:val="-1"/>
                      <w:sz w:val="19"/>
                      <w:szCs w:val="19"/>
                    </w:rPr>
                    <w:t>数据战略规划一致</w:t>
                  </w:r>
                </w:p>
                <w:p w14:paraId="32891D19">
                  <w:pPr>
                    <w:spacing w:before="164" w:line="238" w:lineRule="auto"/>
                    <w:ind w:left="173" w:right="88" w:firstLine="13"/>
                    <w:rPr>
                      <w:rFonts w:ascii="微软雅黑" w:hAnsi="微软雅黑" w:eastAsia="微软雅黑" w:cs="微软雅黑"/>
                      <w:sz w:val="18"/>
                      <w:szCs w:val="18"/>
                    </w:rPr>
                  </w:pPr>
                  <w:r>
                    <w:rPr>
                      <w:rFonts w:ascii="微软雅黑" w:hAnsi="微软雅黑" w:eastAsia="微软雅黑" w:cs="微软雅黑"/>
                      <w:spacing w:val="11"/>
                      <w:sz w:val="18"/>
                      <w:szCs w:val="18"/>
                    </w:rPr>
                    <w:t>明确项目的预期成果与完</w:t>
                  </w:r>
                  <w:r>
                    <w:rPr>
                      <w:rFonts w:ascii="微软雅黑" w:hAnsi="微软雅黑" w:eastAsia="微软雅黑" w:cs="微软雅黑"/>
                      <w:spacing w:val="7"/>
                      <w:sz w:val="18"/>
                      <w:szCs w:val="18"/>
                    </w:rPr>
                    <w:t xml:space="preserve"> </w:t>
                  </w:r>
                  <w:r>
                    <w:rPr>
                      <w:rFonts w:ascii="微软雅黑" w:hAnsi="微软雅黑" w:eastAsia="微软雅黑" w:cs="微软雅黑"/>
                      <w:spacing w:val="9"/>
                      <w:sz w:val="18"/>
                      <w:szCs w:val="18"/>
                    </w:rPr>
                    <w:t>成时间</w:t>
                  </w:r>
                </w:p>
              </w:txbxContent>
            </v:textbox>
            <w10:wrap type="none"/>
            <w10:anchorlock/>
          </v:shape>
        </w:pict>
      </w:r>
    </w:p>
    <w:p w14:paraId="0257BBFB">
      <w:pPr>
        <w:pStyle w:val="2"/>
        <w:spacing w:line="320" w:lineRule="auto"/>
      </w:pPr>
    </w:p>
    <w:p w14:paraId="2EC7EF67">
      <w:pPr>
        <w:spacing w:line="1096" w:lineRule="exact"/>
        <w:ind w:firstLine="644"/>
      </w:pPr>
      <w:r>
        <w:rPr>
          <w:position w:val="-21"/>
        </w:rPr>
        <w:drawing>
          <wp:inline distT="0" distB="0" distL="0" distR="0">
            <wp:extent cx="695325" cy="695325"/>
            <wp:effectExtent l="0" t="0" r="0" b="0"/>
            <wp:docPr id="274" name="IM 274"/>
            <wp:cNvGraphicFramePr/>
            <a:graphic xmlns:a="http://schemas.openxmlformats.org/drawingml/2006/main">
              <a:graphicData uri="http://schemas.openxmlformats.org/drawingml/2006/picture">
                <pic:pic xmlns:pic="http://schemas.openxmlformats.org/drawingml/2006/picture">
                  <pic:nvPicPr>
                    <pic:cNvPr id="274" name="IM 274"/>
                    <pic:cNvPicPr/>
                  </pic:nvPicPr>
                  <pic:blipFill>
                    <a:blip r:embed="rId168"/>
                    <a:stretch>
                      <a:fillRect/>
                    </a:stretch>
                  </pic:blipFill>
                  <pic:spPr>
                    <a:xfrm>
                      <a:off x="0" y="0"/>
                      <a:ext cx="695883" cy="695871"/>
                    </a:xfrm>
                    <a:prstGeom prst="rect">
                      <a:avLst/>
                    </a:prstGeom>
                  </pic:spPr>
                </pic:pic>
              </a:graphicData>
            </a:graphic>
          </wp:inline>
        </w:drawing>
      </w:r>
    </w:p>
    <w:p w14:paraId="0B8F54B3">
      <w:pPr>
        <w:pStyle w:val="2"/>
        <w:spacing w:line="368" w:lineRule="auto"/>
      </w:pPr>
    </w:p>
    <w:p w14:paraId="0815347D">
      <w:pPr>
        <w:spacing w:line="1435" w:lineRule="exact"/>
        <w:ind w:firstLine="80"/>
      </w:pPr>
      <w:r>
        <w:rPr>
          <w:position w:val="-28"/>
        </w:rPr>
        <w:pict>
          <v:shape id="_x0000_s1287" o:spid="_x0000_s1287" o:spt="202" type="#_x0000_t202" style="height:71.75pt;width:115.25pt;" fillcolor="#E0E8E6" filled="t" stroked="f" coordsize="21600,21600">
            <v:path/>
            <v:fill on="t" focussize="0,0"/>
            <v:stroke on="f"/>
            <v:imagedata o:title=""/>
            <o:lock v:ext="edit" aspectratio="f"/>
            <v:textbox inset="0mm,0mm,0mm,0mm">
              <w:txbxContent>
                <w:p w14:paraId="5364DA53">
                  <w:pPr>
                    <w:spacing w:before="223" w:line="253" w:lineRule="auto"/>
                    <w:ind w:left="215" w:right="158" w:firstLine="11"/>
                    <w:jc w:val="both"/>
                    <w:rPr>
                      <w:rFonts w:ascii="微软雅黑" w:hAnsi="微软雅黑" w:eastAsia="微软雅黑" w:cs="微软雅黑"/>
                      <w:sz w:val="18"/>
                      <w:szCs w:val="18"/>
                    </w:rPr>
                  </w:pPr>
                  <w:r>
                    <w:rPr>
                      <w:rFonts w:ascii="微软雅黑" w:hAnsi="微软雅黑" w:eastAsia="微软雅黑" w:cs="微软雅黑"/>
                      <w:spacing w:val="1"/>
                      <w:sz w:val="18"/>
                      <w:szCs w:val="18"/>
                    </w:rPr>
                    <w:t>明确项目潜在内容。</w:t>
                  </w:r>
                  <w:r>
                    <w:rPr>
                      <w:rFonts w:ascii="微软雅黑" w:hAnsi="微软雅黑" w:eastAsia="微软雅黑" w:cs="微软雅黑"/>
                      <w:spacing w:val="54"/>
                      <w:w w:val="101"/>
                      <w:sz w:val="18"/>
                      <w:szCs w:val="18"/>
                    </w:rPr>
                    <w:t xml:space="preserve"> </w:t>
                  </w:r>
                  <w:r>
                    <w:rPr>
                      <w:rFonts w:ascii="微软雅黑" w:hAnsi="微软雅黑" w:eastAsia="微软雅黑" w:cs="微软雅黑"/>
                      <w:spacing w:val="1"/>
                      <w:sz w:val="18"/>
                      <w:szCs w:val="18"/>
                    </w:rPr>
                    <w:t>识</w:t>
                  </w:r>
                  <w:r>
                    <w:rPr>
                      <w:rFonts w:ascii="微软雅黑" w:hAnsi="微软雅黑" w:eastAsia="微软雅黑" w:cs="微软雅黑"/>
                      <w:sz w:val="18"/>
                      <w:szCs w:val="18"/>
                    </w:rPr>
                    <w:t xml:space="preserve"> </w:t>
                  </w:r>
                  <w:r>
                    <w:rPr>
                      <w:rFonts w:ascii="微软雅黑" w:hAnsi="微软雅黑" w:eastAsia="微软雅黑" w:cs="微软雅黑"/>
                      <w:spacing w:val="11"/>
                      <w:sz w:val="18"/>
                      <w:szCs w:val="18"/>
                    </w:rPr>
                    <w:t>别风险环节</w:t>
                  </w:r>
                  <w:r>
                    <w:rPr>
                      <w:rFonts w:ascii="微软雅黑" w:hAnsi="微软雅黑" w:eastAsia="微软雅黑" w:cs="微软雅黑"/>
                      <w:spacing w:val="-29"/>
                      <w:sz w:val="18"/>
                      <w:szCs w:val="18"/>
                    </w:rPr>
                    <w:t xml:space="preserve"> </w:t>
                  </w:r>
                  <w:r>
                    <w:rPr>
                      <w:position w:val="-3"/>
                      <w:sz w:val="18"/>
                      <w:szCs w:val="18"/>
                    </w:rPr>
                    <w:drawing>
                      <wp:inline distT="0" distB="0" distL="0" distR="0">
                        <wp:extent cx="29845" cy="30480"/>
                        <wp:effectExtent l="0" t="0" r="0" b="0"/>
                        <wp:docPr id="276" name="IM 276"/>
                        <wp:cNvGraphicFramePr/>
                        <a:graphic xmlns:a="http://schemas.openxmlformats.org/drawingml/2006/main">
                          <a:graphicData uri="http://schemas.openxmlformats.org/drawingml/2006/picture">
                            <pic:pic xmlns:pic="http://schemas.openxmlformats.org/drawingml/2006/picture">
                              <pic:nvPicPr>
                                <pic:cNvPr id="276" name="IM 276"/>
                                <pic:cNvPicPr/>
                              </pic:nvPicPr>
                              <pic:blipFill>
                                <a:blip r:embed="rId169"/>
                                <a:stretch>
                                  <a:fillRect/>
                                </a:stretch>
                              </pic:blipFill>
                              <pic:spPr>
                                <a:xfrm>
                                  <a:off x="0" y="0"/>
                                  <a:ext cx="30048" cy="30581"/>
                                </a:xfrm>
                                <a:prstGeom prst="rect">
                                  <a:avLst/>
                                </a:prstGeom>
                              </pic:spPr>
                            </pic:pic>
                          </a:graphicData>
                        </a:graphic>
                      </wp:inline>
                    </w:drawing>
                  </w:r>
                  <w:r>
                    <w:rPr>
                      <w:rFonts w:ascii="微软雅黑" w:hAnsi="微软雅黑" w:eastAsia="微软雅黑" w:cs="微软雅黑"/>
                      <w:spacing w:val="15"/>
                      <w:sz w:val="18"/>
                      <w:szCs w:val="18"/>
                    </w:rPr>
                    <w:t xml:space="preserve">  </w:t>
                  </w:r>
                  <w:r>
                    <w:rPr>
                      <w:rFonts w:ascii="微软雅黑" w:hAnsi="微软雅黑" w:eastAsia="微软雅黑" w:cs="微软雅黑"/>
                      <w:spacing w:val="11"/>
                      <w:sz w:val="18"/>
                      <w:szCs w:val="18"/>
                    </w:rPr>
                    <w:t>制定风险</w:t>
                  </w:r>
                  <w:r>
                    <w:rPr>
                      <w:rFonts w:ascii="微软雅黑" w:hAnsi="微软雅黑" w:eastAsia="微软雅黑" w:cs="微软雅黑"/>
                      <w:sz w:val="18"/>
                      <w:szCs w:val="18"/>
                    </w:rPr>
                    <w:t xml:space="preserve"> </w:t>
                  </w:r>
                  <w:r>
                    <w:rPr>
                      <w:rFonts w:ascii="微软雅黑" w:hAnsi="微软雅黑" w:eastAsia="微软雅黑" w:cs="微软雅黑"/>
                      <w:spacing w:val="12"/>
                      <w:sz w:val="18"/>
                      <w:szCs w:val="18"/>
                    </w:rPr>
                    <w:t>响应计划和控制方案</w:t>
                  </w:r>
                </w:p>
              </w:txbxContent>
            </v:textbox>
            <w10:wrap type="none"/>
            <w10:anchorlock/>
          </v:shape>
        </w:pict>
      </w:r>
    </w:p>
    <w:p w14:paraId="324404BC">
      <w:pPr>
        <w:pStyle w:val="2"/>
        <w:spacing w:line="14" w:lineRule="auto"/>
        <w:rPr>
          <w:sz w:val="2"/>
        </w:rPr>
      </w:pPr>
      <w:r>
        <w:rPr>
          <w:sz w:val="2"/>
          <w:szCs w:val="2"/>
        </w:rPr>
        <w:br w:type="column"/>
      </w:r>
    </w:p>
    <w:p w14:paraId="0D071105">
      <w:pPr>
        <w:pStyle w:val="2"/>
        <w:spacing w:line="242" w:lineRule="auto"/>
      </w:pPr>
    </w:p>
    <w:p w14:paraId="05794E0E">
      <w:pPr>
        <w:pStyle w:val="2"/>
        <w:spacing w:line="242" w:lineRule="auto"/>
      </w:pPr>
    </w:p>
    <w:p w14:paraId="05CAC77A">
      <w:pPr>
        <w:pStyle w:val="2"/>
        <w:spacing w:line="242" w:lineRule="auto"/>
      </w:pPr>
    </w:p>
    <w:p w14:paraId="38246ADE">
      <w:pPr>
        <w:pStyle w:val="2"/>
        <w:spacing w:line="243" w:lineRule="auto"/>
      </w:pPr>
    </w:p>
    <w:p w14:paraId="6115D47D">
      <w:pPr>
        <w:pStyle w:val="2"/>
        <w:spacing w:line="243" w:lineRule="auto"/>
      </w:pPr>
      <w:r>
        <w:drawing>
          <wp:anchor distT="0" distB="0" distL="0" distR="0" simplePos="0" relativeHeight="251880448" behindDoc="0" locked="0" layoutInCell="1" allowOverlap="1">
            <wp:simplePos x="0" y="0"/>
            <wp:positionH relativeFrom="column">
              <wp:posOffset>38100</wp:posOffset>
            </wp:positionH>
            <wp:positionV relativeFrom="paragraph">
              <wp:posOffset>90805</wp:posOffset>
            </wp:positionV>
            <wp:extent cx="330835" cy="181610"/>
            <wp:effectExtent l="0" t="0" r="0" b="0"/>
            <wp:wrapNone/>
            <wp:docPr id="278" name="IM 278"/>
            <wp:cNvGraphicFramePr/>
            <a:graphic xmlns:a="http://schemas.openxmlformats.org/drawingml/2006/main">
              <a:graphicData uri="http://schemas.openxmlformats.org/drawingml/2006/picture">
                <pic:pic xmlns:pic="http://schemas.openxmlformats.org/drawingml/2006/picture">
                  <pic:nvPicPr>
                    <pic:cNvPr id="278" name="IM 278"/>
                    <pic:cNvPicPr/>
                  </pic:nvPicPr>
                  <pic:blipFill>
                    <a:blip r:embed="rId170"/>
                    <a:stretch>
                      <a:fillRect/>
                    </a:stretch>
                  </pic:blipFill>
                  <pic:spPr>
                    <a:xfrm>
                      <a:off x="0" y="0"/>
                      <a:ext cx="330555" cy="181876"/>
                    </a:xfrm>
                    <a:prstGeom prst="rect">
                      <a:avLst/>
                    </a:prstGeom>
                  </pic:spPr>
                </pic:pic>
              </a:graphicData>
            </a:graphic>
          </wp:anchor>
        </w:drawing>
      </w:r>
    </w:p>
    <w:p w14:paraId="0E3D8D44">
      <w:pPr>
        <w:spacing w:before="103" w:line="247" w:lineRule="exact"/>
        <w:ind w:left="1193"/>
        <w:rPr>
          <w:rFonts w:ascii="微软雅黑" w:hAnsi="微软雅黑" w:eastAsia="微软雅黑" w:cs="微软雅黑"/>
          <w:sz w:val="24"/>
          <w:szCs w:val="24"/>
        </w:rPr>
      </w:pPr>
      <w:r>
        <w:rPr>
          <w:rFonts w:ascii="微软雅黑" w:hAnsi="微软雅黑" w:eastAsia="微软雅黑" w:cs="微软雅黑"/>
          <w:color w:val="6B8F80"/>
          <w:spacing w:val="14"/>
          <w:position w:val="-1"/>
          <w:sz w:val="24"/>
          <w:szCs w:val="24"/>
        </w:rPr>
        <w:t>质量</w:t>
      </w:r>
    </w:p>
    <w:p w14:paraId="02BEAAF0">
      <w:pPr>
        <w:spacing w:before="151" w:line="951" w:lineRule="exact"/>
        <w:ind w:firstLine="16"/>
      </w:pPr>
      <w:r>
        <w:rPr>
          <w:position w:val="-19"/>
        </w:rPr>
        <w:drawing>
          <wp:inline distT="0" distB="0" distL="0" distR="0">
            <wp:extent cx="1811020" cy="603250"/>
            <wp:effectExtent l="0" t="0" r="0" b="0"/>
            <wp:docPr id="280" name="IM 280"/>
            <wp:cNvGraphicFramePr/>
            <a:graphic xmlns:a="http://schemas.openxmlformats.org/drawingml/2006/main">
              <a:graphicData uri="http://schemas.openxmlformats.org/drawingml/2006/picture">
                <pic:pic xmlns:pic="http://schemas.openxmlformats.org/drawingml/2006/picture">
                  <pic:nvPicPr>
                    <pic:cNvPr id="280" name="IM 280"/>
                    <pic:cNvPicPr/>
                  </pic:nvPicPr>
                  <pic:blipFill>
                    <a:blip r:embed="rId171"/>
                    <a:stretch>
                      <a:fillRect/>
                    </a:stretch>
                  </pic:blipFill>
                  <pic:spPr>
                    <a:xfrm>
                      <a:off x="0" y="0"/>
                      <a:ext cx="1811337" cy="603783"/>
                    </a:xfrm>
                    <a:prstGeom prst="rect">
                      <a:avLst/>
                    </a:prstGeom>
                  </pic:spPr>
                </pic:pic>
              </a:graphicData>
            </a:graphic>
          </wp:inline>
        </w:drawing>
      </w:r>
    </w:p>
    <w:p w14:paraId="080598C5">
      <w:pPr>
        <w:pStyle w:val="2"/>
        <w:spacing w:line="304" w:lineRule="auto"/>
      </w:pPr>
    </w:p>
    <w:p w14:paraId="43E8E487">
      <w:pPr>
        <w:spacing w:line="951" w:lineRule="exact"/>
      </w:pPr>
      <w:r>
        <w:rPr>
          <w:position w:val="-19"/>
        </w:rPr>
        <w:pict>
          <v:shape id="_x0000_s1288" o:spid="_x0000_s1288" o:spt="202" type="#_x0000_t202" style="height:47.55pt;width:143.45pt;" fillcolor="#E6E6E6" filled="t" stroked="f" coordsize="21600,21600">
            <v:path/>
            <v:fill on="t" focussize="0,0"/>
            <v:stroke on="f"/>
            <v:imagedata o:title=""/>
            <o:lock v:ext="edit" aspectratio="f"/>
            <v:textbox inset="0mm,0mm,0mm,0mm">
              <w:txbxContent>
                <w:p w14:paraId="17B89E44">
                  <w:pPr>
                    <w:spacing w:before="218" w:line="239" w:lineRule="auto"/>
                    <w:ind w:left="390" w:right="51" w:firstLine="3"/>
                    <w:rPr>
                      <w:rFonts w:ascii="微软雅黑" w:hAnsi="微软雅黑" w:eastAsia="微软雅黑" w:cs="微软雅黑"/>
                      <w:sz w:val="19"/>
                      <w:szCs w:val="19"/>
                    </w:rPr>
                  </w:pPr>
                  <w:r>
                    <w:rPr>
                      <w:rFonts w:ascii="微软雅黑" w:hAnsi="微软雅黑" w:eastAsia="微软雅黑" w:cs="微软雅黑"/>
                      <w:sz w:val="19"/>
                      <w:szCs w:val="19"/>
                    </w:rPr>
                    <w:t>覆盖人力、设备、</w:t>
                  </w:r>
                  <w:r>
                    <w:rPr>
                      <w:rFonts w:ascii="微软雅黑" w:hAnsi="微软雅黑" w:eastAsia="微软雅黑" w:cs="微软雅黑"/>
                      <w:spacing w:val="-25"/>
                      <w:sz w:val="19"/>
                      <w:szCs w:val="19"/>
                    </w:rPr>
                    <w:t xml:space="preserve"> </w:t>
                  </w:r>
                  <w:r>
                    <w:rPr>
                      <w:rFonts w:ascii="微软雅黑" w:hAnsi="微软雅黑" w:eastAsia="微软雅黑" w:cs="微软雅黑"/>
                      <w:sz w:val="19"/>
                      <w:szCs w:val="19"/>
                    </w:rPr>
                    <w:t>资源成本</w:t>
                  </w:r>
                  <w:r>
                    <w:rPr>
                      <w:rFonts w:ascii="微软雅黑" w:hAnsi="微软雅黑" w:eastAsia="微软雅黑" w:cs="微软雅黑"/>
                      <w:spacing w:val="25"/>
                      <w:sz w:val="19"/>
                      <w:szCs w:val="19"/>
                    </w:rPr>
                    <w:t xml:space="preserve"> </w:t>
                  </w:r>
                  <w:r>
                    <w:rPr>
                      <w:position w:val="-3"/>
                      <w:sz w:val="19"/>
                      <w:szCs w:val="19"/>
                    </w:rPr>
                    <w:drawing>
                      <wp:inline distT="0" distB="0" distL="0" distR="0">
                        <wp:extent cx="18415" cy="31750"/>
                        <wp:effectExtent l="0" t="0" r="0" b="0"/>
                        <wp:docPr id="282" name="IM 282"/>
                        <wp:cNvGraphicFramePr/>
                        <a:graphic xmlns:a="http://schemas.openxmlformats.org/drawingml/2006/main">
                          <a:graphicData uri="http://schemas.openxmlformats.org/drawingml/2006/picture">
                            <pic:pic xmlns:pic="http://schemas.openxmlformats.org/drawingml/2006/picture">
                              <pic:nvPicPr>
                                <pic:cNvPr id="282" name="IM 282"/>
                                <pic:cNvPicPr/>
                              </pic:nvPicPr>
                              <pic:blipFill>
                                <a:blip r:embed="rId172"/>
                                <a:stretch>
                                  <a:fillRect/>
                                </a:stretch>
                              </pic:blipFill>
                              <pic:spPr>
                                <a:xfrm>
                                  <a:off x="0" y="0"/>
                                  <a:ext cx="18529" cy="31965"/>
                                </a:xfrm>
                                <a:prstGeom prst="rect">
                                  <a:avLst/>
                                </a:prstGeom>
                              </pic:spPr>
                            </pic:pic>
                          </a:graphicData>
                        </a:graphic>
                      </wp:inline>
                    </w:drawing>
                  </w:r>
                  <w:r>
                    <w:rPr>
                      <w:rFonts w:ascii="微软雅黑" w:hAnsi="微软雅黑" w:eastAsia="微软雅黑" w:cs="微软雅黑"/>
                      <w:sz w:val="19"/>
                      <w:szCs w:val="19"/>
                    </w:rPr>
                    <w:t xml:space="preserve"> </w:t>
                  </w:r>
                  <w:r>
                    <w:rPr>
                      <w:rFonts w:ascii="微软雅黑" w:hAnsi="微软雅黑" w:eastAsia="微软雅黑" w:cs="微软雅黑"/>
                      <w:spacing w:val="2"/>
                      <w:sz w:val="19"/>
                      <w:szCs w:val="19"/>
                    </w:rPr>
                    <w:t>将项目成本纳入数据成本</w:t>
                  </w:r>
                </w:p>
              </w:txbxContent>
            </v:textbox>
            <w10:wrap type="none"/>
            <w10:anchorlock/>
          </v:shape>
        </w:pict>
      </w:r>
    </w:p>
    <w:p w14:paraId="192DBCF5">
      <w:pPr>
        <w:spacing w:before="187" w:line="250" w:lineRule="exact"/>
        <w:ind w:left="1193"/>
        <w:rPr>
          <w:rFonts w:ascii="微软雅黑" w:hAnsi="微软雅黑" w:eastAsia="微软雅黑" w:cs="微软雅黑"/>
          <w:sz w:val="24"/>
          <w:szCs w:val="24"/>
        </w:rPr>
      </w:pPr>
      <w:r>
        <w:drawing>
          <wp:anchor distT="0" distB="0" distL="0" distR="0" simplePos="0" relativeHeight="251879424" behindDoc="0" locked="0" layoutInCell="1" allowOverlap="1">
            <wp:simplePos x="0" y="0"/>
            <wp:positionH relativeFrom="column">
              <wp:posOffset>9525</wp:posOffset>
            </wp:positionH>
            <wp:positionV relativeFrom="paragraph">
              <wp:posOffset>231775</wp:posOffset>
            </wp:positionV>
            <wp:extent cx="346075" cy="191770"/>
            <wp:effectExtent l="0" t="0" r="0" b="0"/>
            <wp:wrapNone/>
            <wp:docPr id="284" name="IM 284"/>
            <wp:cNvGraphicFramePr/>
            <a:graphic xmlns:a="http://schemas.openxmlformats.org/drawingml/2006/main">
              <a:graphicData uri="http://schemas.openxmlformats.org/drawingml/2006/picture">
                <pic:pic xmlns:pic="http://schemas.openxmlformats.org/drawingml/2006/picture">
                  <pic:nvPicPr>
                    <pic:cNvPr id="284" name="IM 284"/>
                    <pic:cNvPicPr/>
                  </pic:nvPicPr>
                  <pic:blipFill>
                    <a:blip r:embed="rId173"/>
                    <a:stretch>
                      <a:fillRect/>
                    </a:stretch>
                  </pic:blipFill>
                  <pic:spPr>
                    <a:xfrm>
                      <a:off x="0" y="0"/>
                      <a:ext cx="345973" cy="192036"/>
                    </a:xfrm>
                    <a:prstGeom prst="rect">
                      <a:avLst/>
                    </a:prstGeom>
                  </pic:spPr>
                </pic:pic>
              </a:graphicData>
            </a:graphic>
          </wp:anchor>
        </w:drawing>
      </w:r>
      <w:r>
        <w:rPr>
          <w:rFonts w:ascii="微软雅黑" w:hAnsi="微软雅黑" w:eastAsia="微软雅黑" w:cs="微软雅黑"/>
          <w:color w:val="787878"/>
          <w:spacing w:val="14"/>
          <w:position w:val="-1"/>
          <w:sz w:val="24"/>
          <w:szCs w:val="24"/>
        </w:rPr>
        <w:t>成本</w:t>
      </w:r>
    </w:p>
    <w:p w14:paraId="12D8790A">
      <w:pPr>
        <w:spacing w:line="250" w:lineRule="exact"/>
        <w:rPr>
          <w:rFonts w:ascii="微软雅黑" w:hAnsi="微软雅黑" w:eastAsia="微软雅黑" w:cs="微软雅黑"/>
          <w:sz w:val="24"/>
          <w:szCs w:val="24"/>
        </w:rPr>
        <w:sectPr>
          <w:type w:val="continuous"/>
          <w:pgSz w:w="11906" w:h="16158"/>
          <w:pgMar w:top="400" w:right="1162" w:bottom="400" w:left="1004" w:header="0" w:footer="0" w:gutter="0"/>
          <w:cols w:equalWidth="0" w:num="3">
            <w:col w:w="3479" w:space="100"/>
            <w:col w:w="2447" w:space="100"/>
            <w:col w:w="3615"/>
          </w:cols>
        </w:sectPr>
      </w:pPr>
    </w:p>
    <w:p w14:paraId="0EDDCA3C">
      <w:pPr>
        <w:spacing w:before="173" w:line="251" w:lineRule="exact"/>
        <w:ind w:left="4439"/>
        <w:rPr>
          <w:rFonts w:ascii="微软雅黑" w:hAnsi="微软雅黑" w:eastAsia="微软雅黑" w:cs="微软雅黑"/>
          <w:sz w:val="25"/>
          <w:szCs w:val="25"/>
        </w:rPr>
      </w:pPr>
      <w:r>
        <w:rPr>
          <w:rFonts w:ascii="微软雅黑" w:hAnsi="微软雅黑" w:eastAsia="微软雅黑" w:cs="微软雅黑"/>
          <w:color w:val="6B8F80"/>
          <w:spacing w:val="6"/>
          <w:position w:val="-1"/>
          <w:sz w:val="25"/>
          <w:szCs w:val="25"/>
        </w:rPr>
        <w:t>风险</w:t>
      </w:r>
    </w:p>
    <w:p w14:paraId="7507FC83">
      <w:pPr>
        <w:pStyle w:val="2"/>
        <w:spacing w:line="317" w:lineRule="auto"/>
      </w:pPr>
    </w:p>
    <w:p w14:paraId="4792C192">
      <w:pPr>
        <w:spacing w:before="87" w:line="204" w:lineRule="auto"/>
        <w:ind w:left="3652"/>
        <w:rPr>
          <w:rFonts w:ascii="微软雅黑" w:hAnsi="微软雅黑" w:eastAsia="微软雅黑" w:cs="微软雅黑"/>
          <w:sz w:val="20"/>
          <w:szCs w:val="20"/>
        </w:rPr>
      </w:pPr>
      <w:r>
        <w:rPr>
          <w:rFonts w:ascii="微软雅黑" w:hAnsi="微软雅黑" w:eastAsia="微软雅黑" w:cs="微软雅黑"/>
          <w:color w:val="231F20"/>
          <w:spacing w:val="1"/>
          <w:sz w:val="20"/>
          <w:szCs w:val="20"/>
        </w:rPr>
        <w:t>图</w:t>
      </w:r>
      <w:r>
        <w:rPr>
          <w:rFonts w:ascii="微软雅黑" w:hAnsi="微软雅黑" w:eastAsia="微软雅黑" w:cs="微软雅黑"/>
          <w:color w:val="231F20"/>
          <w:spacing w:val="38"/>
          <w:w w:val="101"/>
          <w:sz w:val="20"/>
          <w:szCs w:val="20"/>
        </w:rPr>
        <w:t xml:space="preserve"> </w:t>
      </w:r>
      <w:r>
        <w:rPr>
          <w:rFonts w:ascii="微软雅黑" w:hAnsi="微软雅黑" w:eastAsia="微软雅黑" w:cs="微软雅黑"/>
          <w:color w:val="231F20"/>
          <w:spacing w:val="1"/>
          <w:sz w:val="20"/>
          <w:szCs w:val="20"/>
        </w:rPr>
        <w:t>17 数据资产项目管理要点</w:t>
      </w:r>
    </w:p>
    <w:p w14:paraId="65B652CB">
      <w:pPr>
        <w:pStyle w:val="2"/>
        <w:spacing w:line="291" w:lineRule="auto"/>
      </w:pPr>
    </w:p>
    <w:p w14:paraId="4CDE3CC8">
      <w:pPr>
        <w:pStyle w:val="2"/>
        <w:spacing w:line="292" w:lineRule="auto"/>
      </w:pPr>
    </w:p>
    <w:p w14:paraId="7627DA86">
      <w:pPr>
        <w:pStyle w:val="2"/>
        <w:spacing w:line="292" w:lineRule="auto"/>
      </w:pPr>
    </w:p>
    <w:p w14:paraId="75D652BC">
      <w:pPr>
        <w:spacing w:before="94" w:line="287" w:lineRule="auto"/>
        <w:ind w:left="248" w:right="120" w:firstLine="480"/>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第三步的交付物主要包括：数据资产管理平台、数据资产生命周期操作手册、数据资产项目</w:t>
      </w:r>
      <w:r>
        <w:rPr>
          <w:rFonts w:ascii="微软雅黑" w:hAnsi="微软雅黑" w:eastAsia="微软雅黑" w:cs="微软雅黑"/>
          <w:color w:val="231F20"/>
          <w:spacing w:val="8"/>
          <w:sz w:val="22"/>
          <w:szCs w:val="22"/>
        </w:rPr>
        <w:t xml:space="preserve"> </w:t>
      </w:r>
      <w:r>
        <w:rPr>
          <w:rFonts w:ascii="微软雅黑" w:hAnsi="微软雅黑" w:eastAsia="微软雅黑" w:cs="微软雅黑"/>
          <w:color w:val="231F20"/>
          <w:spacing w:val="-2"/>
          <w:sz w:val="22"/>
          <w:szCs w:val="22"/>
        </w:rPr>
        <w:t>管理操作手册、数据资产管理业务案例。</w:t>
      </w:r>
    </w:p>
    <w:p w14:paraId="1F618464">
      <w:pPr>
        <w:pStyle w:val="2"/>
        <w:spacing w:before="261" w:line="146" w:lineRule="exact"/>
        <w:ind w:left="4845"/>
        <w:rPr>
          <w:sz w:val="20"/>
          <w:szCs w:val="20"/>
        </w:rPr>
      </w:pPr>
      <w:r>
        <w:pict>
          <v:shape id="_x0000_s1289" o:spid="_x0000_s1289" o:spt="202" type="#_x0000_t202" style="position:absolute;left:0pt;margin-left:274.65pt;margin-top:16.7pt;height:15.95pt;width:199.4pt;z-index:251877376;mso-width-relative:page;mso-height-relative:page;" filled="f" stroked="f" coordsize="21600,21600">
            <v:path/>
            <v:fill on="f" focussize="0,0"/>
            <v:stroke on="f"/>
            <v:imagedata o:title=""/>
            <o:lock v:ext="edit" aspectratio="f"/>
            <v:textbox inset="0mm,0mm,0mm,0mm">
              <w:txbxContent>
                <w:p w14:paraId="6D4ADA63">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3"/>
          <w:position w:val="-3"/>
          <w:sz w:val="20"/>
          <w:szCs w:val="20"/>
        </w:rPr>
        <w:t>37</w:t>
      </w:r>
    </w:p>
    <w:p w14:paraId="4F178E89">
      <w:pPr>
        <w:spacing w:line="146" w:lineRule="exact"/>
        <w:rPr>
          <w:sz w:val="20"/>
          <w:szCs w:val="20"/>
        </w:rPr>
        <w:sectPr>
          <w:type w:val="continuous"/>
          <w:pgSz w:w="11906" w:h="16158"/>
          <w:pgMar w:top="400" w:right="1162" w:bottom="400" w:left="1004" w:header="0" w:footer="0" w:gutter="0"/>
          <w:cols w:equalWidth="0" w:num="1">
            <w:col w:w="9739"/>
          </w:cols>
        </w:sectPr>
      </w:pPr>
    </w:p>
    <w:p w14:paraId="62B3ECB4">
      <w:pPr>
        <w:pStyle w:val="2"/>
        <w:spacing w:line="349" w:lineRule="auto"/>
      </w:pPr>
    </w:p>
    <w:p w14:paraId="1564F446">
      <w:pPr>
        <w:pStyle w:val="2"/>
        <w:spacing w:line="350" w:lineRule="auto"/>
      </w:pPr>
    </w:p>
    <w:p w14:paraId="2B68BC99">
      <w:pPr>
        <w:spacing w:before="80" w:line="182" w:lineRule="auto"/>
        <w:rPr>
          <w:rFonts w:ascii="Segoe UI" w:hAnsi="Segoe UI" w:eastAsia="Segoe UI" w:cs="Segoe UI"/>
          <w:sz w:val="24"/>
          <w:szCs w:val="24"/>
        </w:rPr>
      </w:pPr>
      <w:r>
        <w:rPr>
          <w:rFonts w:ascii="Segoe UI" w:hAnsi="Segoe UI" w:eastAsia="Segoe UI" w:cs="Segoe UI"/>
          <w:b/>
          <w:bCs/>
          <w:color w:val="648676"/>
          <w:spacing w:val="25"/>
          <w:w w:val="111"/>
          <w:sz w:val="24"/>
          <w:szCs w:val="24"/>
        </w:rPr>
        <w:t>CHAPTER -4</w:t>
      </w:r>
    </w:p>
    <w:p w14:paraId="3A496E20">
      <w:pPr>
        <w:spacing w:before="55" w:line="178" w:lineRule="auto"/>
        <w:ind w:left="405"/>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数据资产管理实践步骤</w:t>
      </w:r>
    </w:p>
    <w:p w14:paraId="1E1823D8">
      <w:pPr>
        <w:pStyle w:val="2"/>
        <w:spacing w:line="275" w:lineRule="auto"/>
      </w:pPr>
    </w:p>
    <w:p w14:paraId="6CCC4281">
      <w:pPr>
        <w:pStyle w:val="2"/>
        <w:spacing w:line="275" w:lineRule="auto"/>
      </w:pPr>
    </w:p>
    <w:p w14:paraId="707957E8">
      <w:pPr>
        <w:pStyle w:val="2"/>
        <w:spacing w:line="275" w:lineRule="auto"/>
      </w:pPr>
    </w:p>
    <w:p w14:paraId="214F0759">
      <w:pPr>
        <w:pStyle w:val="2"/>
        <w:spacing w:line="275" w:lineRule="auto"/>
      </w:pPr>
    </w:p>
    <w:p w14:paraId="4567D228">
      <w:pPr>
        <w:pStyle w:val="2"/>
        <w:spacing w:line="275" w:lineRule="auto"/>
      </w:pPr>
      <w:r>
        <w:pict>
          <v:group id="_x0000_s1290" o:spid="_x0000_s1290" o:spt="203" style="position:absolute;left:0pt;margin-left:38.35pt;margin-top:2.5pt;height:1.05pt;width:415.4pt;z-index:251885568;mso-width-relative:page;mso-height-relative:page;" coordsize="8307,20">
            <o:lock v:ext="edit"/>
            <v:shape id="_x0000_s1291" o:spid="_x0000_s1291" style="position:absolute;left:30;top:0;height:20;width:8277;" filled="f" stroked="t" coordsize="8277,20" path="m8266,10l10,10e">
              <v:fill on="f" focussize="0,0"/>
              <v:stroke weight="1pt" color="#648676" miterlimit="4" dashstyle="dash" endcap="round"/>
              <v:imagedata o:title=""/>
              <o:lock v:ext="edit"/>
            </v:shape>
            <v:shape id="_x0000_s1292" o:spid="_x0000_s1292" style="position:absolute;left:0;top:0;height:20;width:20;" filled="f" stroked="t" coordsize="20,20" path="m10,10l10,10e">
              <v:fill on="f" focussize="0,0"/>
              <v:stroke weight="1pt" color="#648676" miterlimit="4" endcap="round"/>
              <v:imagedata o:title=""/>
              <o:lock v:ext="edit"/>
            </v:shape>
          </v:group>
        </w:pict>
      </w:r>
      <w:r>
        <w:pict>
          <v:group id="_x0000_s1293" o:spid="_x0000_s1293" o:spt="203" style="position:absolute;left:0pt;margin-left:24.15pt;margin-top:2.95pt;height:591.5pt;width:12.35pt;z-index:251884544;mso-width-relative:page;mso-height-relative:page;" coordsize="247,11830">
            <o:lock v:ext="edit"/>
            <v:shape id="_x0000_s1294" o:spid="_x0000_s1294" style="position:absolute;left:0;top:0;height:11800;width:247;" filled="f" stroked="t" coordsize="247,11800" path="m236,10c157,30,20,101,10,340m10,429l10,11789e">
              <v:fill on="f" focussize="0,0"/>
              <v:stroke weight="1pt" color="#648676" miterlimit="4" dashstyle="dash" endcap="round"/>
              <v:imagedata o:title=""/>
              <o:lock v:ext="edit"/>
            </v:shape>
            <v:shape id="_x0000_s1295" o:spid="_x0000_s1295" style="position:absolute;left:0;top:359;height:11470;width:20;" filled="f" stroked="t" coordsize="20,11470" path="m10,10l10,10m10,11460l10,11460e">
              <v:fill on="f" focussize="0,0"/>
              <v:stroke weight="1pt" color="#648676" miterlimit="4" endcap="round"/>
              <v:imagedata o:title=""/>
              <o:lock v:ext="edit"/>
            </v:shape>
          </v:group>
        </w:pict>
      </w:r>
      <w:r>
        <w:pict>
          <v:group id="_x0000_s1296" o:spid="_x0000_s1296" o:spt="203" style="position:absolute;left:0pt;margin-left:455.7pt;margin-top:2.5pt;height:591.95pt;width:15.2pt;z-index:251883520;mso-width-relative:page;mso-height-relative:page;" coordsize="303,11839">
            <o:lock v:ext="edit"/>
            <v:shape id="_x0000_s1297" o:spid="_x0000_s1297" style="position:absolute;left:28;top:1;height:11776;width:275;" filled="f" stroked="t" coordsize="275,11776" path="m264,11766l264,406m260,319c247,220,198,27,10,10e">
              <v:fill on="f" focussize="0,0"/>
              <v:stroke weight="1pt" color="#648676" miterlimit="4" dashstyle="dash" endcap="round"/>
              <v:imagedata o:title=""/>
              <o:lock v:ext="edit"/>
            </v:shape>
            <v:shape id="_x0000_s1298" o:spid="_x0000_s1298" style="position:absolute;left:0;top:0;height:11839;width:303;" filled="f" stroked="t" coordsize="303,11839" path="m293,11828l293,11828m293,377l293,377m10,10l10,10e">
              <v:fill on="f" focussize="0,0"/>
              <v:stroke weight="1pt" color="#648676" miterlimit="4" endcap="round"/>
              <v:imagedata o:title=""/>
              <o:lock v:ext="edit"/>
            </v:shape>
          </v:group>
        </w:pict>
      </w:r>
    </w:p>
    <w:p w14:paraId="25F876BA">
      <w:pPr>
        <w:spacing w:before="193" w:line="606" w:lineRule="exact"/>
        <w:ind w:left="986"/>
        <w:rPr>
          <w:rFonts w:ascii="微软雅黑" w:hAnsi="微软雅黑" w:eastAsia="微软雅黑" w:cs="微软雅黑"/>
          <w:sz w:val="32"/>
          <w:szCs w:val="32"/>
        </w:rPr>
      </w:pPr>
      <w:r>
        <mc:AlternateContent>
          <mc:Choice Requires="wps">
            <w:drawing>
              <wp:anchor distT="0" distB="0" distL="0" distR="0" simplePos="0" relativeHeight="251882496" behindDoc="1" locked="0" layoutInCell="1" allowOverlap="1">
                <wp:simplePos x="0" y="0"/>
                <wp:positionH relativeFrom="column">
                  <wp:posOffset>153670</wp:posOffset>
                </wp:positionH>
                <wp:positionV relativeFrom="paragraph">
                  <wp:posOffset>-252095</wp:posOffset>
                </wp:positionV>
                <wp:extent cx="5976620" cy="7740015"/>
                <wp:effectExtent l="0" t="0" r="0" b="0"/>
                <wp:wrapNone/>
                <wp:docPr id="286" name="Rect 286"/>
                <wp:cNvGraphicFramePr/>
                <a:graphic xmlns:a="http://schemas.openxmlformats.org/drawingml/2006/main">
                  <a:graphicData uri="http://schemas.microsoft.com/office/word/2010/wordprocessingShape">
                    <wps:wsp>
                      <wps:cNvSpPr/>
                      <wps:spPr>
                        <a:xfrm>
                          <a:off x="154072" y="-252530"/>
                          <a:ext cx="5976620" cy="7740015"/>
                        </a:xfrm>
                        <a:prstGeom prst="rect">
                          <a:avLst/>
                        </a:prstGeom>
                        <a:solidFill>
                          <a:srgbClr val="E9F6FE"/>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286" o:spid="_x0000_s1026" o:spt="1" style="position:absolute;left:0pt;margin-left:12.1pt;margin-top:-19.85pt;height:609.45pt;width:470.6pt;z-index:-251433984;mso-width-relative:page;mso-height-relative:page;" fillcolor="#E9F6FE" filled="t" stroked="f" coordsize="21600,21600" o:gfxdata="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4pQHc2wAAAAsBAAAPAAAAAAAAAAEAIAAAACIAAABkcnMvZG93&#10;bnJldi54bWxQSwECFAAUAAAACACHTuJA6iDwRzYCAAByBAAADgAAAAAAAAABACAAAAAqAQAAZHJz&#10;L2Uyb0RvYy54bWxQSwUGAAAAAAYABgBZAQAA0gUAAAAA&#10;">
                <v:fill on="t" focussize="0,0"/>
                <v:stroke on="f" weight="0pt"/>
                <v:imagedata o:title=""/>
                <o:lock v:ext="edit" aspectratio="f"/>
                <v:textbox inset="0mm,0mm,0mm,0mm"/>
              </v:rect>
            </w:pict>
          </mc:Fallback>
        </mc:AlternateContent>
      </w:r>
      <w:r>
        <w:fldChar w:fldCharType="begin"/>
      </w:r>
      <w:r>
        <w:instrText xml:space="preserve">EQ \* jc3 \* hps14 \o\al(\s\up 12(</w:instrText>
      </w:r>
      <w:r>
        <w:rPr>
          <w:rFonts w:ascii="Segoe UI" w:hAnsi="Segoe UI" w:eastAsia="Segoe UI" w:cs="Segoe UI"/>
          <w:b/>
          <w:bCs/>
          <w:color w:val="648676"/>
          <w:spacing w:val="1"/>
          <w:w w:val="175"/>
          <w:position w:val="2"/>
          <w:sz w:val="14"/>
          <w:szCs w:val="14"/>
        </w:rPr>
        <w:instrText xml:space="preserve"> </w:instrText>
      </w:r>
      <w:r>
        <w:rPr>
          <w:rFonts w:ascii="Segoe UI" w:hAnsi="Segoe UI" w:eastAsia="Segoe UI" w:cs="Segoe UI"/>
          <w:b/>
          <w:bCs/>
          <w:color w:val="648676"/>
          <w:w w:val="137"/>
          <w:position w:val="2"/>
          <w:sz w:val="14"/>
          <w:szCs w:val="14"/>
        </w:rPr>
        <w:instrText xml:space="preserve">SP</w:instrText>
      </w:r>
      <w:r>
        <w:instrText xml:space="preserve">),</w:instrText>
      </w:r>
      <w:r>
        <w:rPr>
          <w:rFonts w:ascii="Segoe UI" w:hAnsi="Segoe UI" w:eastAsia="Segoe UI" w:cs="Segoe UI"/>
          <w:b/>
          <w:bCs/>
          <w:color w:val="648676"/>
          <w:w w:val="123"/>
          <w:position w:val="7"/>
          <w:sz w:val="20"/>
          <w:szCs w:val="20"/>
        </w:rPr>
        <w:instrText xml:space="preserve">COL</w:instrText>
      </w:r>
      <w:r>
        <w:instrText xml:space="preserve">)</w:instrText>
      </w:r>
      <w:r>
        <w:fldChar w:fldCharType="end"/>
      </w:r>
      <w:r>
        <w:fldChar w:fldCharType="begin"/>
      </w:r>
      <w:r>
        <w:instrText xml:space="preserve">EQ \* jc3 \* hps14 \o\al(\s\up 12(</w:instrText>
      </w:r>
      <w:r>
        <w:rPr>
          <w:rFonts w:ascii="Segoe UI" w:hAnsi="Segoe UI" w:eastAsia="Segoe UI" w:cs="Segoe UI"/>
          <w:b/>
          <w:bCs/>
          <w:color w:val="648676"/>
          <w:w w:val="141"/>
          <w:position w:val="2"/>
          <w:sz w:val="14"/>
          <w:szCs w:val="14"/>
        </w:rPr>
        <w:instrText xml:space="preserve">E</w:instrText>
      </w:r>
      <w:r>
        <w:instrText xml:space="preserve">),</w:instrText>
      </w:r>
      <w:r>
        <w:rPr>
          <w:rFonts w:ascii="Segoe UI" w:hAnsi="Segoe UI" w:eastAsia="Segoe UI" w:cs="Segoe UI"/>
          <w:b/>
          <w:bCs/>
          <w:color w:val="648676"/>
          <w:w w:val="90"/>
          <w:position w:val="7"/>
          <w:sz w:val="20"/>
          <w:szCs w:val="20"/>
        </w:rPr>
        <w:instrText xml:space="preserve">U</w:instrText>
      </w:r>
      <w:r>
        <w:instrText xml:space="preserve">)</w:instrText>
      </w:r>
      <w:r>
        <w:fldChar w:fldCharType="end"/>
      </w:r>
      <w:r>
        <w:rPr>
          <w:rFonts w:ascii="Times New Roman" w:hAnsi="Times New Roman" w:eastAsia="Times New Roman" w:cs="Times New Roman"/>
          <w:color w:val="648676"/>
          <w:position w:val="-12"/>
          <w:sz w:val="67"/>
          <w:szCs w:val="67"/>
        </w:rPr>
        <w:drawing>
          <wp:inline distT="0" distB="0" distL="0" distR="0">
            <wp:extent cx="125095" cy="323850"/>
            <wp:effectExtent l="0" t="0" r="0" b="0"/>
            <wp:docPr id="288" name="IM 288"/>
            <wp:cNvGraphicFramePr/>
            <a:graphic xmlns:a="http://schemas.openxmlformats.org/drawingml/2006/main">
              <a:graphicData uri="http://schemas.openxmlformats.org/drawingml/2006/picture">
                <pic:pic xmlns:pic="http://schemas.openxmlformats.org/drawingml/2006/picture">
                  <pic:nvPicPr>
                    <pic:cNvPr id="288" name="IM 288"/>
                    <pic:cNvPicPr/>
                  </pic:nvPicPr>
                  <pic:blipFill>
                    <a:blip r:embed="rId174"/>
                    <a:stretch>
                      <a:fillRect/>
                    </a:stretch>
                  </pic:blipFill>
                  <pic:spPr>
                    <a:xfrm>
                      <a:off x="0" y="0"/>
                      <a:ext cx="125311" cy="324459"/>
                    </a:xfrm>
                    <a:prstGeom prst="rect">
                      <a:avLst/>
                    </a:prstGeom>
                  </pic:spPr>
                </pic:pic>
              </a:graphicData>
            </a:graphic>
          </wp:inline>
        </w:drawing>
      </w:r>
      <w:r>
        <w:rPr>
          <w:rFonts w:ascii="Times New Roman" w:hAnsi="Times New Roman" w:eastAsia="Times New Roman" w:cs="Times New Roman"/>
          <w:color w:val="648676"/>
          <w:position w:val="-12"/>
          <w:sz w:val="67"/>
          <w:szCs w:val="67"/>
        </w:rPr>
        <w:drawing>
          <wp:inline distT="0" distB="0" distL="0" distR="0">
            <wp:extent cx="131445" cy="321945"/>
            <wp:effectExtent l="0" t="0" r="0" b="0"/>
            <wp:docPr id="290" name="IM 290"/>
            <wp:cNvGraphicFramePr/>
            <a:graphic xmlns:a="http://schemas.openxmlformats.org/drawingml/2006/main">
              <a:graphicData uri="http://schemas.openxmlformats.org/drawingml/2006/picture">
                <pic:pic xmlns:pic="http://schemas.openxmlformats.org/drawingml/2006/picture">
                  <pic:nvPicPr>
                    <pic:cNvPr id="290" name="IM 290"/>
                    <pic:cNvPicPr/>
                  </pic:nvPicPr>
                  <pic:blipFill>
                    <a:blip r:embed="rId175"/>
                    <a:stretch>
                      <a:fillRect/>
                    </a:stretch>
                  </pic:blipFill>
                  <pic:spPr>
                    <a:xfrm>
                      <a:off x="0" y="0"/>
                      <a:ext cx="131655" cy="322431"/>
                    </a:xfrm>
                    <a:prstGeom prst="rect">
                      <a:avLst/>
                    </a:prstGeom>
                  </pic:spPr>
                </pic:pic>
              </a:graphicData>
            </a:graphic>
          </wp:inline>
        </w:drawing>
      </w:r>
      <w:r>
        <w:rPr>
          <w:rFonts w:ascii="Times New Roman" w:hAnsi="Times New Roman" w:eastAsia="Times New Roman" w:cs="Times New Roman"/>
          <w:color w:val="648676"/>
          <w:spacing w:val="14"/>
          <w:position w:val="-7"/>
          <w:sz w:val="67"/>
          <w:szCs w:val="67"/>
        </w:rPr>
        <w:t>4</w:t>
      </w:r>
      <w:r>
        <w:rPr>
          <w:rFonts w:ascii="Times New Roman" w:hAnsi="Times New Roman" w:eastAsia="Times New Roman" w:cs="Times New Roman"/>
          <w:color w:val="648676"/>
          <w:spacing w:val="65"/>
          <w:position w:val="-7"/>
          <w:sz w:val="67"/>
          <w:szCs w:val="67"/>
        </w:rPr>
        <w:t xml:space="preserve"> </w:t>
      </w:r>
      <w:r>
        <w:rPr>
          <w:rFonts w:ascii="微软雅黑" w:hAnsi="微软雅黑" w:eastAsia="微软雅黑" w:cs="微软雅黑"/>
          <w:color w:val="648676"/>
          <w:spacing w:val="14"/>
          <w:position w:val="2"/>
          <w:sz w:val="32"/>
          <w:szCs w:val="32"/>
        </w:rPr>
        <w:t>敏捷式数据资产管理</w:t>
      </w:r>
    </w:p>
    <w:p w14:paraId="6D28F69D">
      <w:pPr>
        <w:spacing w:before="219" w:line="289" w:lineRule="auto"/>
        <w:ind w:left="978" w:right="724" w:firstLine="482"/>
        <w:jc w:val="both"/>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数据资产管理是一项长期性、复杂性工作，  敏捷化的管理模式将有效节约人力</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和时间成本。敏捷式数据资产管理主要包括形成敏捷组</w:t>
      </w:r>
      <w:r>
        <w:rPr>
          <w:rFonts w:ascii="微软雅黑" w:hAnsi="微软雅黑" w:eastAsia="微软雅黑" w:cs="微软雅黑"/>
          <w:color w:val="231F20"/>
          <w:sz w:val="22"/>
          <w:szCs w:val="22"/>
        </w:rPr>
        <w:t xml:space="preserve">织、建立敏捷机制、采用敏 </w:t>
      </w:r>
      <w:r>
        <w:rPr>
          <w:rFonts w:ascii="微软雅黑" w:hAnsi="微软雅黑" w:eastAsia="微软雅黑" w:cs="微软雅黑"/>
          <w:color w:val="231F20"/>
          <w:spacing w:val="-2"/>
          <w:sz w:val="22"/>
          <w:szCs w:val="22"/>
        </w:rPr>
        <w:t>捷技术三个方面。</w:t>
      </w:r>
    </w:p>
    <w:p w14:paraId="6AFCFD36">
      <w:pPr>
        <w:spacing w:before="21" w:line="291" w:lineRule="auto"/>
        <w:ind w:left="977" w:right="628" w:firstLine="481"/>
        <w:jc w:val="both"/>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敏捷组织包括数据资产管理项目办公室、敏捷项目组两部分。</w:t>
      </w:r>
      <w:r>
        <w:rPr>
          <w:rFonts w:ascii="微软雅黑" w:hAnsi="微软雅黑" w:eastAsia="微软雅黑" w:cs="微软雅黑"/>
          <w:color w:val="231F20"/>
          <w:spacing w:val="59"/>
          <w:w w:val="101"/>
          <w:sz w:val="22"/>
          <w:szCs w:val="22"/>
        </w:rPr>
        <w:t xml:space="preserve"> </w:t>
      </w:r>
      <w:r>
        <w:rPr>
          <w:rFonts w:ascii="微软雅黑" w:hAnsi="微软雅黑" w:eastAsia="微软雅黑" w:cs="微软雅黑"/>
          <w:color w:val="231F20"/>
          <w:spacing w:val="-4"/>
          <w:sz w:val="22"/>
          <w:szCs w:val="22"/>
        </w:rPr>
        <w:t>数据资产管理项</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目办公室可下设于数据资产管理委员，指导在数据项</w:t>
      </w:r>
      <w:r>
        <w:rPr>
          <w:rFonts w:ascii="微软雅黑" w:hAnsi="微软雅黑" w:eastAsia="微软雅黑" w:cs="微软雅黑"/>
          <w:color w:val="231F20"/>
          <w:sz w:val="22"/>
          <w:szCs w:val="22"/>
        </w:rPr>
        <w:t>目中建立跨层次、跨部门、跨  团队的团队，负责定期开展数据项目复盘，建立业务案例。</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z w:val="22"/>
          <w:szCs w:val="22"/>
        </w:rPr>
        <w:t xml:space="preserve">建敏捷项目组是针对具  </w:t>
      </w:r>
      <w:r>
        <w:rPr>
          <w:rFonts w:ascii="微软雅黑" w:hAnsi="微软雅黑" w:eastAsia="微软雅黑" w:cs="微软雅黑"/>
          <w:color w:val="231F20"/>
          <w:spacing w:val="-3"/>
          <w:sz w:val="22"/>
          <w:szCs w:val="22"/>
        </w:rPr>
        <w:t>体的数据项目，根据数据资产管理角色与职责，从实体部门选择合适人员组建而成。</w:t>
      </w:r>
      <w:r>
        <w:rPr>
          <w:rFonts w:ascii="微软雅黑" w:hAnsi="微软雅黑" w:eastAsia="微软雅黑" w:cs="微软雅黑"/>
          <w:color w:val="231F20"/>
          <w:spacing w:val="17"/>
          <w:w w:val="101"/>
          <w:sz w:val="22"/>
          <w:szCs w:val="22"/>
        </w:rPr>
        <w:t xml:space="preserve"> </w:t>
      </w:r>
      <w:r>
        <w:rPr>
          <w:rFonts w:ascii="微软雅黑" w:hAnsi="微软雅黑" w:eastAsia="微软雅黑" w:cs="微软雅黑"/>
          <w:color w:val="231F20"/>
          <w:spacing w:val="5"/>
          <w:sz w:val="22"/>
          <w:szCs w:val="22"/>
        </w:rPr>
        <w:t>通常来说，项目人数控制在 5-7 个以内会最大化协作和沟通的效率。同时，数据</w:t>
      </w:r>
      <w:r>
        <w:rPr>
          <w:rFonts w:ascii="微软雅黑" w:hAnsi="微软雅黑" w:eastAsia="微软雅黑" w:cs="微软雅黑"/>
          <w:color w:val="231F20"/>
          <w:spacing w:val="8"/>
          <w:sz w:val="22"/>
          <w:szCs w:val="22"/>
        </w:rPr>
        <w:t xml:space="preserve">  </w:t>
      </w:r>
      <w:r>
        <w:rPr>
          <w:rFonts w:ascii="微软雅黑" w:hAnsi="微软雅黑" w:eastAsia="微软雅黑" w:cs="微软雅黑"/>
          <w:color w:val="231F20"/>
          <w:spacing w:val="1"/>
          <w:sz w:val="22"/>
          <w:szCs w:val="22"/>
        </w:rPr>
        <w:t>项目经理除对项目负责外，也对组织级数据资产管理负</w:t>
      </w:r>
      <w:r>
        <w:rPr>
          <w:rFonts w:ascii="微软雅黑" w:hAnsi="微软雅黑" w:eastAsia="微软雅黑" w:cs="微软雅黑"/>
          <w:color w:val="231F20"/>
          <w:sz w:val="22"/>
          <w:szCs w:val="22"/>
        </w:rPr>
        <w:t xml:space="preserve">责，这意味着项目经理需与  </w:t>
      </w:r>
      <w:r>
        <w:rPr>
          <w:rFonts w:ascii="微软雅黑" w:hAnsi="微软雅黑" w:eastAsia="微软雅黑" w:cs="微软雅黑"/>
          <w:color w:val="231F20"/>
          <w:spacing w:val="-3"/>
          <w:sz w:val="22"/>
          <w:szCs w:val="22"/>
        </w:rPr>
        <w:t>包括</w:t>
      </w:r>
      <w:r>
        <w:rPr>
          <w:rFonts w:ascii="微软雅黑" w:hAnsi="微软雅黑" w:eastAsia="微软雅黑" w:cs="微软雅黑"/>
          <w:color w:val="231F20"/>
          <w:spacing w:val="-13"/>
          <w:sz w:val="22"/>
          <w:szCs w:val="22"/>
        </w:rPr>
        <w:t xml:space="preserve"> </w:t>
      </w:r>
      <w:r>
        <w:rPr>
          <w:rFonts w:ascii="微软雅黑" w:hAnsi="微软雅黑" w:eastAsia="微软雅黑" w:cs="微软雅黑"/>
          <w:color w:val="231F20"/>
          <w:spacing w:val="-3"/>
          <w:sz w:val="22"/>
          <w:szCs w:val="22"/>
        </w:rPr>
        <w:t>CDO</w:t>
      </w:r>
      <w:r>
        <w:rPr>
          <w:rFonts w:ascii="微软雅黑" w:hAnsi="微软雅黑" w:eastAsia="微软雅黑" w:cs="微软雅黑"/>
          <w:color w:val="231F20"/>
          <w:spacing w:val="-19"/>
          <w:sz w:val="22"/>
          <w:szCs w:val="22"/>
        </w:rPr>
        <w:t xml:space="preserve"> </w:t>
      </w:r>
      <w:r>
        <w:rPr>
          <w:rFonts w:ascii="微软雅黑" w:hAnsi="微软雅黑" w:eastAsia="微软雅黑" w:cs="微软雅黑"/>
          <w:color w:val="231F20"/>
          <w:spacing w:val="-3"/>
          <w:sz w:val="22"/>
          <w:szCs w:val="22"/>
        </w:rPr>
        <w:t>或数据架构师等角色保持良好合作。此外，利用</w:t>
      </w:r>
      <w:r>
        <w:rPr>
          <w:rFonts w:ascii="微软雅黑" w:hAnsi="微软雅黑" w:eastAsia="微软雅黑" w:cs="微软雅黑"/>
          <w:color w:val="231F20"/>
          <w:spacing w:val="-18"/>
          <w:sz w:val="22"/>
          <w:szCs w:val="22"/>
        </w:rPr>
        <w:t xml:space="preserve"> </w:t>
      </w:r>
      <w:r>
        <w:rPr>
          <w:rFonts w:ascii="微软雅黑" w:hAnsi="微软雅黑" w:eastAsia="微软雅黑" w:cs="微软雅黑"/>
          <w:color w:val="231F20"/>
          <w:spacing w:val="-3"/>
          <w:sz w:val="22"/>
          <w:szCs w:val="22"/>
        </w:rPr>
        <w:t>Jira、Slack</w:t>
      </w:r>
      <w:r>
        <w:rPr>
          <w:rFonts w:ascii="微软雅黑" w:hAnsi="微软雅黑" w:eastAsia="微软雅黑" w:cs="微软雅黑"/>
          <w:color w:val="231F20"/>
          <w:spacing w:val="-21"/>
          <w:sz w:val="22"/>
          <w:szCs w:val="22"/>
        </w:rPr>
        <w:t xml:space="preserve"> </w:t>
      </w:r>
      <w:r>
        <w:rPr>
          <w:rFonts w:ascii="微软雅黑" w:hAnsi="微软雅黑" w:eastAsia="微软雅黑" w:cs="微软雅黑"/>
          <w:color w:val="231F20"/>
          <w:spacing w:val="-3"/>
          <w:sz w:val="22"/>
          <w:szCs w:val="22"/>
        </w:rPr>
        <w:t>等协作工具，</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以及项目管理工具，提升项目组内各方的沟通合作效率。</w:t>
      </w:r>
    </w:p>
    <w:p w14:paraId="1C48BBBC">
      <w:pPr>
        <w:spacing w:before="13" w:line="291" w:lineRule="auto"/>
        <w:ind w:left="978" w:right="655" w:firstLine="481"/>
        <w:jc w:val="both"/>
        <w:rPr>
          <w:rFonts w:ascii="微软雅黑" w:hAnsi="微软雅黑" w:eastAsia="微软雅黑" w:cs="微软雅黑"/>
          <w:sz w:val="22"/>
          <w:szCs w:val="22"/>
        </w:rPr>
      </w:pPr>
      <w:r>
        <w:rPr>
          <w:rFonts w:ascii="微软雅黑" w:hAnsi="微软雅黑" w:eastAsia="微软雅黑" w:cs="微软雅黑"/>
          <w:color w:val="231F20"/>
          <w:spacing w:val="6"/>
          <w:sz w:val="22"/>
          <w:szCs w:val="22"/>
        </w:rPr>
        <w:t>敏捷机制方面是指充分利用技术工具，及时响应数据消费端的需求，并在提</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z w:val="22"/>
          <w:szCs w:val="22"/>
        </w:rPr>
        <w:t>供数据服务过程中与数据消费端保持良好沟通。例如，在数据产品上线后采用 A/B</w:t>
      </w:r>
      <w:r>
        <w:rPr>
          <w:rFonts w:ascii="微软雅黑" w:hAnsi="微软雅黑" w:eastAsia="微软雅黑" w:cs="微软雅黑"/>
          <w:color w:val="231F20"/>
          <w:spacing w:val="9"/>
          <w:sz w:val="22"/>
          <w:szCs w:val="22"/>
        </w:rPr>
        <w:t xml:space="preserve">  </w:t>
      </w:r>
      <w:r>
        <w:rPr>
          <w:rFonts w:ascii="微软雅黑" w:hAnsi="微软雅黑" w:eastAsia="微软雅黑" w:cs="微软雅黑"/>
          <w:color w:val="231F20"/>
          <w:spacing w:val="-5"/>
          <w:sz w:val="22"/>
          <w:szCs w:val="22"/>
        </w:rPr>
        <w:t>测试方式，根据用户反馈优化产品。此外，</w:t>
      </w:r>
      <w:r>
        <w:rPr>
          <w:rFonts w:ascii="微软雅黑" w:hAnsi="微软雅黑" w:eastAsia="微软雅黑" w:cs="微软雅黑"/>
          <w:color w:val="231F20"/>
          <w:spacing w:val="15"/>
          <w:sz w:val="22"/>
          <w:szCs w:val="22"/>
        </w:rPr>
        <w:t xml:space="preserve"> </w:t>
      </w:r>
      <w:r>
        <w:rPr>
          <w:rFonts w:ascii="微软雅黑" w:hAnsi="微软雅黑" w:eastAsia="微软雅黑" w:cs="微软雅黑"/>
          <w:color w:val="231F20"/>
          <w:spacing w:val="-5"/>
          <w:sz w:val="22"/>
          <w:szCs w:val="22"/>
        </w:rPr>
        <w:t>在</w:t>
      </w:r>
      <w:r>
        <w:rPr>
          <w:rFonts w:ascii="微软雅黑" w:hAnsi="微软雅黑" w:eastAsia="微软雅黑" w:cs="微软雅黑"/>
          <w:color w:val="231F20"/>
          <w:spacing w:val="-6"/>
          <w:sz w:val="22"/>
          <w:szCs w:val="22"/>
        </w:rPr>
        <w:t>统一组织级数据资产管理制度体系下，</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敏捷项目组根据项目特定需求，通过快速运行、快速</w:t>
      </w:r>
      <w:r>
        <w:rPr>
          <w:rFonts w:ascii="微软雅黑" w:hAnsi="微软雅黑" w:eastAsia="微软雅黑" w:cs="微软雅黑"/>
          <w:color w:val="231F20"/>
          <w:sz w:val="22"/>
          <w:szCs w:val="22"/>
        </w:rPr>
        <w:t xml:space="preserve">试错的方式，迭代数据资产管  </w:t>
      </w:r>
      <w:r>
        <w:rPr>
          <w:rFonts w:ascii="微软雅黑" w:hAnsi="微软雅黑" w:eastAsia="微软雅黑" w:cs="微软雅黑"/>
          <w:color w:val="231F20"/>
          <w:spacing w:val="-2"/>
          <w:sz w:val="22"/>
          <w:szCs w:val="22"/>
        </w:rPr>
        <w:t>理操作细则与标准规范。</w:t>
      </w:r>
    </w:p>
    <w:p w14:paraId="6FD2CBF5">
      <w:pPr>
        <w:spacing w:before="14" w:line="291" w:lineRule="auto"/>
        <w:ind w:left="977" w:right="723" w:firstLine="481"/>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 xml:space="preserve">敏捷技术方面是指将 </w:t>
      </w:r>
      <w:r>
        <w:rPr>
          <w:rFonts w:ascii="微软雅黑" w:hAnsi="微软雅黑" w:eastAsia="微软雅黑" w:cs="微软雅黑"/>
          <w:color w:val="231F20"/>
          <w:sz w:val="22"/>
          <w:szCs w:val="22"/>
        </w:rPr>
        <w:t>DevOps</w:t>
      </w:r>
      <w:r>
        <w:rPr>
          <w:rFonts w:ascii="微软雅黑" w:hAnsi="微软雅黑" w:eastAsia="微软雅黑" w:cs="微软雅黑"/>
          <w:color w:val="231F20"/>
          <w:spacing w:val="4"/>
          <w:sz w:val="22"/>
          <w:szCs w:val="22"/>
        </w:rPr>
        <w:t xml:space="preserve"> 对于软件开发的敏捷技术要求用于数据生产，</w:t>
      </w:r>
      <w:r>
        <w:rPr>
          <w:rFonts w:ascii="微软雅黑" w:hAnsi="微软雅黑" w:eastAsia="微软雅黑" w:cs="微软雅黑"/>
          <w:color w:val="231F20"/>
          <w:spacing w:val="5"/>
          <w:sz w:val="22"/>
          <w:szCs w:val="22"/>
        </w:rPr>
        <w:t xml:space="preserve"> 支持数据设计、</w:t>
      </w:r>
      <w:r>
        <w:rPr>
          <w:rFonts w:ascii="微软雅黑" w:hAnsi="微软雅黑" w:eastAsia="微软雅黑" w:cs="微软雅黑"/>
          <w:color w:val="231F20"/>
          <w:sz w:val="22"/>
          <w:szCs w:val="22"/>
        </w:rPr>
        <w:t>ETL</w:t>
      </w:r>
      <w:r>
        <w:rPr>
          <w:rFonts w:ascii="微软雅黑" w:hAnsi="微软雅黑" w:eastAsia="微软雅黑" w:cs="微软雅黑"/>
          <w:color w:val="231F20"/>
          <w:spacing w:val="5"/>
          <w:sz w:val="22"/>
          <w:szCs w:val="22"/>
        </w:rPr>
        <w:t>、</w:t>
      </w:r>
      <w:r>
        <w:rPr>
          <w:rFonts w:ascii="微软雅黑" w:hAnsi="微软雅黑" w:eastAsia="微软雅黑" w:cs="微软雅黑"/>
          <w:color w:val="231F20"/>
          <w:sz w:val="22"/>
          <w:szCs w:val="22"/>
        </w:rPr>
        <w:t>CI</w:t>
      </w:r>
      <w:r>
        <w:rPr>
          <w:rFonts w:ascii="微软雅黑" w:hAnsi="微软雅黑" w:eastAsia="微软雅黑" w:cs="微软雅黑"/>
          <w:color w:val="231F20"/>
          <w:spacing w:val="5"/>
          <w:sz w:val="22"/>
          <w:szCs w:val="22"/>
        </w:rPr>
        <w:t>/</w:t>
      </w:r>
      <w:r>
        <w:rPr>
          <w:rFonts w:ascii="微软雅黑" w:hAnsi="微软雅黑" w:eastAsia="微软雅黑" w:cs="微软雅黑"/>
          <w:color w:val="231F20"/>
          <w:sz w:val="22"/>
          <w:szCs w:val="22"/>
        </w:rPr>
        <w:t>CD</w:t>
      </w:r>
      <w:r>
        <w:rPr>
          <w:rFonts w:ascii="微软雅黑" w:hAnsi="微软雅黑" w:eastAsia="微软雅黑" w:cs="微软雅黑"/>
          <w:color w:val="231F20"/>
          <w:spacing w:val="5"/>
          <w:sz w:val="22"/>
          <w:szCs w:val="22"/>
        </w:rPr>
        <w:t>、部署、交付、运维等环节的</w:t>
      </w:r>
      <w:r>
        <w:rPr>
          <w:rFonts w:ascii="微软雅黑" w:hAnsi="微软雅黑" w:eastAsia="微软雅黑" w:cs="微软雅黑"/>
          <w:color w:val="231F20"/>
          <w:spacing w:val="4"/>
          <w:sz w:val="22"/>
          <w:szCs w:val="22"/>
        </w:rPr>
        <w:t>处理敏捷性。一是通过</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设计数据开发流水线，定义数据开发环节与流转业务逻</w:t>
      </w:r>
      <w:r>
        <w:rPr>
          <w:rFonts w:ascii="微软雅黑" w:hAnsi="微软雅黑" w:eastAsia="微软雅黑" w:cs="微软雅黑"/>
          <w:color w:val="231F20"/>
          <w:sz w:val="22"/>
          <w:szCs w:val="22"/>
        </w:rPr>
        <w:t xml:space="preserve">辑。二是依托数据管道，根 </w:t>
      </w:r>
      <w:r>
        <w:rPr>
          <w:rFonts w:ascii="微软雅黑" w:hAnsi="微软雅黑" w:eastAsia="微软雅黑" w:cs="微软雅黑"/>
          <w:color w:val="231F20"/>
          <w:spacing w:val="1"/>
          <w:sz w:val="22"/>
          <w:szCs w:val="22"/>
        </w:rPr>
        <w:t>据数据开发流水线，实现数据的自动化采集、转</w:t>
      </w:r>
      <w:r>
        <w:rPr>
          <w:rFonts w:ascii="微软雅黑" w:hAnsi="微软雅黑" w:eastAsia="微软雅黑" w:cs="微软雅黑"/>
          <w:color w:val="231F20"/>
          <w:sz w:val="22"/>
          <w:szCs w:val="22"/>
        </w:rPr>
        <w:t xml:space="preserve">换、加载，并对数据管道中的任务 </w:t>
      </w:r>
      <w:r>
        <w:rPr>
          <w:rFonts w:ascii="微软雅黑" w:hAnsi="微软雅黑" w:eastAsia="微软雅黑" w:cs="微软雅黑"/>
          <w:color w:val="231F20"/>
          <w:spacing w:val="1"/>
          <w:sz w:val="22"/>
          <w:szCs w:val="22"/>
        </w:rPr>
        <w:t>代码、程序进行版本管理和运行监控。三是部署自动化测试套</w:t>
      </w:r>
      <w:r>
        <w:rPr>
          <w:rFonts w:ascii="微软雅黑" w:hAnsi="微软雅黑" w:eastAsia="微软雅黑" w:cs="微软雅黑"/>
          <w:color w:val="231F20"/>
          <w:sz w:val="22"/>
          <w:szCs w:val="22"/>
        </w:rPr>
        <w:t xml:space="preserve">件支持持续集成 / 持 </w:t>
      </w:r>
      <w:r>
        <w:rPr>
          <w:rFonts w:ascii="微软雅黑" w:hAnsi="微软雅黑" w:eastAsia="微软雅黑" w:cs="微软雅黑"/>
          <w:color w:val="231F20"/>
          <w:spacing w:val="2"/>
          <w:sz w:val="22"/>
          <w:szCs w:val="22"/>
        </w:rPr>
        <w:t>续开发 (</w:t>
      </w:r>
      <w:r>
        <w:rPr>
          <w:rFonts w:ascii="微软雅黑" w:hAnsi="微软雅黑" w:eastAsia="微软雅黑" w:cs="微软雅黑"/>
          <w:color w:val="231F20"/>
          <w:sz w:val="22"/>
          <w:szCs w:val="22"/>
        </w:rPr>
        <w:t>CI</w:t>
      </w:r>
      <w:r>
        <w:rPr>
          <w:rFonts w:ascii="微软雅黑" w:hAnsi="微软雅黑" w:eastAsia="微软雅黑" w:cs="微软雅黑"/>
          <w:color w:val="231F20"/>
          <w:spacing w:val="2"/>
          <w:sz w:val="22"/>
          <w:szCs w:val="22"/>
        </w:rPr>
        <w:t>/</w:t>
      </w:r>
      <w:r>
        <w:rPr>
          <w:rFonts w:ascii="微软雅黑" w:hAnsi="微软雅黑" w:eastAsia="微软雅黑" w:cs="微软雅黑"/>
          <w:color w:val="231F20"/>
          <w:sz w:val="22"/>
          <w:szCs w:val="22"/>
        </w:rPr>
        <w:t>CD</w:t>
      </w:r>
      <w:r>
        <w:rPr>
          <w:rFonts w:ascii="微软雅黑" w:hAnsi="微软雅黑" w:eastAsia="微软雅黑" w:cs="微软雅黑"/>
          <w:color w:val="231F20"/>
          <w:spacing w:val="2"/>
          <w:sz w:val="22"/>
          <w:szCs w:val="22"/>
        </w:rPr>
        <w:t xml:space="preserve">)，并利用低代码开发、灵活配置模板、可视化任务编排等方式，提 </w:t>
      </w:r>
      <w:r>
        <w:rPr>
          <w:rFonts w:ascii="微软雅黑" w:hAnsi="微软雅黑" w:eastAsia="微软雅黑" w:cs="微软雅黑"/>
          <w:color w:val="231F20"/>
          <w:sz w:val="22"/>
          <w:szCs w:val="22"/>
        </w:rPr>
        <w:t>升数据开发、测试和部署的效率。</w:t>
      </w:r>
      <w:r>
        <w:rPr>
          <w:rFonts w:ascii="微软雅黑" w:hAnsi="微软雅黑" w:eastAsia="微软雅黑" w:cs="微软雅黑"/>
          <w:color w:val="231F20"/>
          <w:spacing w:val="-40"/>
          <w:sz w:val="22"/>
          <w:szCs w:val="22"/>
        </w:rPr>
        <w:t xml:space="preserve"> </w:t>
      </w:r>
      <w:r>
        <w:rPr>
          <w:rFonts w:ascii="微软雅黑" w:hAnsi="微软雅黑" w:eastAsia="微软雅黑" w:cs="微软雅黑"/>
          <w:color w:val="231F20"/>
          <w:sz w:val="22"/>
          <w:szCs w:val="22"/>
        </w:rPr>
        <w:t>四是持续利用元数据对数据模型、数据标</w:t>
      </w:r>
      <w:r>
        <w:rPr>
          <w:rFonts w:ascii="微软雅黑" w:hAnsi="微软雅黑" w:eastAsia="微软雅黑" w:cs="微软雅黑"/>
          <w:color w:val="231F20"/>
          <w:spacing w:val="-1"/>
          <w:sz w:val="22"/>
          <w:szCs w:val="22"/>
        </w:rPr>
        <w:t>准、数</w:t>
      </w:r>
    </w:p>
    <w:p w14:paraId="77312FC9">
      <w:pPr>
        <w:pStyle w:val="2"/>
        <w:spacing w:line="342" w:lineRule="auto"/>
      </w:pPr>
    </w:p>
    <w:p w14:paraId="2BAF79DD">
      <w:pPr>
        <w:pStyle w:val="2"/>
        <w:spacing w:line="343" w:lineRule="auto"/>
      </w:pPr>
    </w:p>
    <w:p w14:paraId="792FC43C">
      <w:pPr>
        <w:spacing w:before="79" w:line="212" w:lineRule="auto"/>
        <w:ind w:left="5513"/>
        <w:rPr>
          <w:rFonts w:hint="eastAsia" w:ascii="宋体" w:hAnsi="宋体" w:eastAsia="宋体" w:cs="宋体"/>
          <w:sz w:val="24"/>
          <w:szCs w:val="24"/>
          <w:lang w:eastAsia="zh-CN"/>
        </w:rPr>
      </w:pPr>
      <w:r>
        <w:pict>
          <v:shape id="_x0000_s1299" o:spid="_x0000_s1299" o:spt="202" type="#_x0000_t202" style="position:absolute;left:0pt;margin-left:241.25pt;margin-top:-1.75pt;height:11.35pt;width:12.7pt;z-index:251886592;mso-width-relative:page;mso-height-relative:page;" filled="f" stroked="f" coordsize="21600,21600">
            <v:path/>
            <v:fill on="f" focussize="0,0"/>
            <v:stroke on="f"/>
            <v:imagedata o:title=""/>
            <o:lock v:ext="edit" aspectratio="f"/>
            <v:textbox inset="0mm,0mm,0mm,0mm">
              <w:txbxContent>
                <w:p w14:paraId="5C83A968">
                  <w:pPr>
                    <w:pStyle w:val="2"/>
                    <w:spacing w:before="20" w:line="194" w:lineRule="auto"/>
                    <w:ind w:left="20"/>
                    <w:rPr>
                      <w:sz w:val="20"/>
                      <w:szCs w:val="20"/>
                    </w:rPr>
                  </w:pPr>
                  <w:r>
                    <w:rPr>
                      <w:color w:val="231F20"/>
                      <w:spacing w:val="-3"/>
                      <w:sz w:val="20"/>
                      <w:szCs w:val="20"/>
                    </w:rPr>
                    <w:t>38</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513EE4FA">
      <w:pPr>
        <w:spacing w:line="212" w:lineRule="auto"/>
        <w:rPr>
          <w:rFonts w:ascii="宋体" w:hAnsi="宋体" w:eastAsia="宋体" w:cs="宋体"/>
          <w:sz w:val="24"/>
          <w:szCs w:val="24"/>
        </w:rPr>
        <w:sectPr>
          <w:pgSz w:w="11906" w:h="16158"/>
          <w:pgMar w:top="400" w:right="1247" w:bottom="400" w:left="1004" w:header="0" w:footer="0" w:gutter="0"/>
          <w:cols w:space="720" w:num="1"/>
        </w:sectPr>
      </w:pPr>
    </w:p>
    <w:p w14:paraId="40396451">
      <w:pPr>
        <w:pStyle w:val="2"/>
        <w:spacing w:line="349" w:lineRule="auto"/>
      </w:pPr>
    </w:p>
    <w:p w14:paraId="7E068098">
      <w:pPr>
        <w:pStyle w:val="2"/>
        <w:spacing w:line="350" w:lineRule="auto"/>
      </w:pPr>
    </w:p>
    <w:p w14:paraId="37B8E211">
      <w:pPr>
        <w:spacing w:before="80" w:line="182" w:lineRule="auto"/>
        <w:rPr>
          <w:rFonts w:ascii="Segoe UI" w:hAnsi="Segoe UI" w:eastAsia="Segoe UI" w:cs="Segoe UI"/>
          <w:sz w:val="24"/>
          <w:szCs w:val="24"/>
        </w:rPr>
      </w:pPr>
      <w:r>
        <w:rPr>
          <w:rFonts w:ascii="Segoe UI" w:hAnsi="Segoe UI" w:eastAsia="Segoe UI" w:cs="Segoe UI"/>
          <w:b/>
          <w:bCs/>
          <w:color w:val="648676"/>
          <w:spacing w:val="25"/>
          <w:w w:val="111"/>
          <w:sz w:val="24"/>
          <w:szCs w:val="24"/>
        </w:rPr>
        <w:t>CHAPTER -4</w:t>
      </w:r>
    </w:p>
    <w:p w14:paraId="06FBF347">
      <w:pPr>
        <w:spacing w:before="55" w:line="178" w:lineRule="auto"/>
        <w:ind w:left="405"/>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数据资产管理实践步骤</w:t>
      </w:r>
    </w:p>
    <w:p w14:paraId="2DF84FC4">
      <w:pPr>
        <w:pStyle w:val="2"/>
        <w:spacing w:line="285" w:lineRule="auto"/>
      </w:pPr>
    </w:p>
    <w:p w14:paraId="06DC2BD2">
      <w:pPr>
        <w:pStyle w:val="2"/>
        <w:spacing w:line="285" w:lineRule="auto"/>
      </w:pPr>
    </w:p>
    <w:p w14:paraId="559C587D">
      <w:pPr>
        <w:pStyle w:val="2"/>
        <w:spacing w:line="285" w:lineRule="auto"/>
      </w:pPr>
    </w:p>
    <w:p w14:paraId="63A4EEA0">
      <w:pPr>
        <w:pStyle w:val="2"/>
        <w:spacing w:line="285" w:lineRule="auto"/>
      </w:pPr>
      <w:r>
        <w:pict>
          <v:group id="_x0000_s1300" o:spid="_x0000_s1300" o:spt="203" style="position:absolute;left:0pt;margin-left:23.9pt;margin-top:19pt;height:485.05pt;width:12.35pt;z-index:251889664;mso-width-relative:page;mso-height-relative:page;" coordsize="247,9700">
            <o:lock v:ext="edit"/>
            <v:shape id="_x0000_s1301" o:spid="_x0000_s1301" style="position:absolute;left:0;top:30;height:9670;width:247;" filled="f" stroked="t" coordsize="247,9670" path="m236,9660c157,9639,20,9569,10,9330m10,9241l10,10e">
              <v:fill on="f" focussize="0,0"/>
              <v:stroke weight="1pt" color="#648676" miterlimit="4" dashstyle="dash" endcap="round"/>
              <v:imagedata o:title=""/>
              <o:lock v:ext="edit"/>
            </v:shape>
            <v:shape id="_x0000_s1302" o:spid="_x0000_s1302" style="position:absolute;left:0;top:0;height:9342;width:20;" filled="f" stroked="t" coordsize="20,9342" path="m10,9331l10,9331m10,10l10,10e">
              <v:fill on="f" focussize="0,0"/>
              <v:stroke weight="1pt" color="#648676" miterlimit="4" endcap="round"/>
              <v:imagedata o:title=""/>
              <o:lock v:ext="edit"/>
            </v:shape>
          </v:group>
        </w:pict>
      </w:r>
      <w:r>
        <w:pict>
          <v:group id="_x0000_s1303" o:spid="_x0000_s1303" o:spt="203" style="position:absolute;left:0pt;margin-left:455.4pt;margin-top:19pt;height:485.5pt;width:15.2pt;z-index:251888640;mso-width-relative:page;mso-height-relative:page;" coordsize="303,9710">
            <o:lock v:ext="edit"/>
            <v:shape id="_x0000_s1304" o:spid="_x0000_s1304" style="position:absolute;left:28;top:60;height:9649;width:275;" filled="f" stroked="t" coordsize="275,9649" path="m264,10l264,9241m260,9329c247,9427,198,9620,10,9638e">
              <v:fill on="f" focussize="0,0"/>
              <v:stroke weight="1pt" color="#648676" miterlimit="4" dashstyle="dash" endcap="round"/>
              <v:imagedata o:title=""/>
              <o:lock v:ext="edit"/>
            </v:shape>
            <v:shape id="_x0000_s1305" o:spid="_x0000_s1305" style="position:absolute;left:0;top:0;height:9710;width:303;" filled="f" stroked="t" coordsize="303,9710" path="m293,10l293,10m293,9331l293,9331m10,9699l10,9699e">
              <v:fill on="f" focussize="0,0"/>
              <v:stroke weight="1pt" color="#648676" miterlimit="4" endcap="round"/>
              <v:imagedata o:title=""/>
              <o:lock v:ext="edit"/>
            </v:shape>
          </v:group>
        </w:pict>
      </w:r>
    </w:p>
    <w:p w14:paraId="69D5B70B">
      <w:pPr>
        <w:spacing w:before="95" w:line="206" w:lineRule="auto"/>
        <w:ind w:left="973"/>
        <w:rPr>
          <w:rFonts w:ascii="微软雅黑" w:hAnsi="微软雅黑" w:eastAsia="微软雅黑" w:cs="微软雅黑"/>
          <w:sz w:val="22"/>
          <w:szCs w:val="22"/>
        </w:rPr>
      </w:pPr>
      <w:r>
        <w:drawing>
          <wp:anchor distT="0" distB="0" distL="0" distR="0" simplePos="0" relativeHeight="251887616" behindDoc="1" locked="0" layoutInCell="1" allowOverlap="1">
            <wp:simplePos x="0" y="0"/>
            <wp:positionH relativeFrom="column">
              <wp:posOffset>153670</wp:posOffset>
            </wp:positionH>
            <wp:positionV relativeFrom="paragraph">
              <wp:posOffset>-101600</wp:posOffset>
            </wp:positionV>
            <wp:extent cx="5972175" cy="6492240"/>
            <wp:effectExtent l="0" t="0" r="0" b="0"/>
            <wp:wrapNone/>
            <wp:docPr id="292" name="IM 292"/>
            <wp:cNvGraphicFramePr/>
            <a:graphic xmlns:a="http://schemas.openxmlformats.org/drawingml/2006/main">
              <a:graphicData uri="http://schemas.openxmlformats.org/drawingml/2006/picture">
                <pic:pic xmlns:pic="http://schemas.openxmlformats.org/drawingml/2006/picture">
                  <pic:nvPicPr>
                    <pic:cNvPr id="292" name="IM 292"/>
                    <pic:cNvPicPr/>
                  </pic:nvPicPr>
                  <pic:blipFill>
                    <a:blip r:embed="rId176"/>
                    <a:stretch>
                      <a:fillRect/>
                    </a:stretch>
                  </pic:blipFill>
                  <pic:spPr>
                    <a:xfrm>
                      <a:off x="0" y="0"/>
                      <a:ext cx="5972403" cy="6492011"/>
                    </a:xfrm>
                    <a:prstGeom prst="rect">
                      <a:avLst/>
                    </a:prstGeom>
                  </pic:spPr>
                </pic:pic>
              </a:graphicData>
            </a:graphic>
          </wp:anchor>
        </w:drawing>
      </w:r>
      <w:bookmarkStart w:id="44" w:name="bookmark46"/>
      <w:bookmarkEnd w:id="44"/>
      <w:r>
        <w:rPr>
          <w:rFonts w:ascii="微软雅黑" w:hAnsi="微软雅黑" w:eastAsia="微软雅黑" w:cs="微软雅黑"/>
          <w:color w:val="231F20"/>
          <w:spacing w:val="1"/>
          <w:sz w:val="22"/>
          <w:szCs w:val="22"/>
        </w:rPr>
        <w:t>据质量的应用进行检查，使用修复工具进行异常处理，以保证交付数据的可信</w:t>
      </w:r>
      <w:r>
        <w:rPr>
          <w:rFonts w:ascii="微软雅黑" w:hAnsi="微软雅黑" w:eastAsia="微软雅黑" w:cs="微软雅黑"/>
          <w:color w:val="231F20"/>
          <w:sz w:val="22"/>
          <w:szCs w:val="22"/>
        </w:rPr>
        <w:t>。五</w:t>
      </w:r>
    </w:p>
    <w:p w14:paraId="6B33D77E">
      <w:pPr>
        <w:spacing w:before="136" w:line="206" w:lineRule="auto"/>
        <w:ind w:left="972"/>
        <w:rPr>
          <w:rFonts w:ascii="微软雅黑" w:hAnsi="微软雅黑" w:eastAsia="微软雅黑" w:cs="微软雅黑"/>
          <w:sz w:val="22"/>
          <w:szCs w:val="22"/>
        </w:rPr>
      </w:pPr>
      <w:r>
        <w:rPr>
          <w:rFonts w:ascii="微软雅黑" w:hAnsi="微软雅黑" w:eastAsia="微软雅黑" w:cs="微软雅黑"/>
          <w:color w:val="231F20"/>
          <w:spacing w:val="-8"/>
          <w:sz w:val="22"/>
          <w:szCs w:val="22"/>
        </w:rPr>
        <w:t>是通过监控数据管道中数据、任务、程序、代码的执行与质量情况，</w:t>
      </w:r>
      <w:r>
        <w:rPr>
          <w:rFonts w:ascii="微软雅黑" w:hAnsi="微软雅黑" w:eastAsia="微软雅黑" w:cs="微软雅黑"/>
          <w:color w:val="231F20"/>
          <w:spacing w:val="-9"/>
          <w:sz w:val="22"/>
          <w:szCs w:val="22"/>
        </w:rPr>
        <w:t>支持回溯和审计。</w:t>
      </w:r>
    </w:p>
    <w:p w14:paraId="19B06493">
      <w:pPr>
        <w:pStyle w:val="2"/>
        <w:spacing w:line="245" w:lineRule="auto"/>
      </w:pPr>
    </w:p>
    <w:p w14:paraId="7B393CBE">
      <w:pPr>
        <w:pStyle w:val="2"/>
        <w:spacing w:line="245" w:lineRule="auto"/>
      </w:pPr>
    </w:p>
    <w:p w14:paraId="62488AC1">
      <w:pPr>
        <w:pStyle w:val="2"/>
        <w:spacing w:line="246" w:lineRule="auto"/>
      </w:pPr>
    </w:p>
    <w:p w14:paraId="525937A0">
      <w:pPr>
        <w:pStyle w:val="2"/>
        <w:spacing w:line="246" w:lineRule="auto"/>
      </w:pPr>
    </w:p>
    <w:p w14:paraId="02542FB5">
      <w:pPr>
        <w:pStyle w:val="2"/>
        <w:spacing w:line="246" w:lineRule="auto"/>
      </w:pPr>
    </w:p>
    <w:p w14:paraId="74B033D3">
      <w:pPr>
        <w:pStyle w:val="2"/>
        <w:spacing w:line="246" w:lineRule="auto"/>
      </w:pPr>
    </w:p>
    <w:p w14:paraId="2464FAAB">
      <w:pPr>
        <w:pStyle w:val="2"/>
        <w:spacing w:line="246" w:lineRule="auto"/>
      </w:pPr>
    </w:p>
    <w:p w14:paraId="3E34D8A9">
      <w:pPr>
        <w:pStyle w:val="2"/>
        <w:spacing w:line="246" w:lineRule="auto"/>
      </w:pPr>
    </w:p>
    <w:p w14:paraId="74D1B7CF">
      <w:pPr>
        <w:pStyle w:val="2"/>
        <w:spacing w:line="246" w:lineRule="auto"/>
      </w:pPr>
    </w:p>
    <w:p w14:paraId="68655DA8">
      <w:pPr>
        <w:pStyle w:val="2"/>
        <w:spacing w:line="246" w:lineRule="auto"/>
      </w:pPr>
    </w:p>
    <w:p w14:paraId="1A715B93">
      <w:pPr>
        <w:pStyle w:val="2"/>
        <w:spacing w:line="246" w:lineRule="auto"/>
      </w:pPr>
    </w:p>
    <w:p w14:paraId="3A39F89D">
      <w:pPr>
        <w:pStyle w:val="2"/>
        <w:spacing w:line="246" w:lineRule="auto"/>
      </w:pPr>
    </w:p>
    <w:p w14:paraId="45621528">
      <w:pPr>
        <w:pStyle w:val="2"/>
        <w:spacing w:line="246" w:lineRule="auto"/>
      </w:pPr>
    </w:p>
    <w:p w14:paraId="7531B3D4">
      <w:pPr>
        <w:pStyle w:val="2"/>
        <w:spacing w:line="246" w:lineRule="auto"/>
      </w:pPr>
    </w:p>
    <w:p w14:paraId="6BAC4A11">
      <w:pPr>
        <w:pStyle w:val="2"/>
        <w:spacing w:line="246" w:lineRule="auto"/>
      </w:pPr>
    </w:p>
    <w:p w14:paraId="5EC698E4">
      <w:pPr>
        <w:pStyle w:val="2"/>
        <w:spacing w:line="246" w:lineRule="auto"/>
      </w:pPr>
    </w:p>
    <w:p w14:paraId="2B291F40">
      <w:pPr>
        <w:spacing w:before="85" w:line="204" w:lineRule="auto"/>
        <w:ind w:left="3443"/>
        <w:rPr>
          <w:rFonts w:ascii="微软雅黑" w:hAnsi="微软雅黑" w:eastAsia="微软雅黑" w:cs="微软雅黑"/>
          <w:sz w:val="20"/>
          <w:szCs w:val="20"/>
        </w:rPr>
      </w:pPr>
      <w:r>
        <w:rPr>
          <w:rFonts w:ascii="微软雅黑" w:hAnsi="微软雅黑" w:eastAsia="微软雅黑" w:cs="微软雅黑"/>
          <w:color w:val="231F20"/>
          <w:spacing w:val="2"/>
          <w:sz w:val="20"/>
          <w:szCs w:val="20"/>
        </w:rPr>
        <w:t>图</w:t>
      </w:r>
      <w:r>
        <w:rPr>
          <w:rFonts w:ascii="微软雅黑" w:hAnsi="微软雅黑" w:eastAsia="微软雅黑" w:cs="微软雅黑"/>
          <w:color w:val="231F20"/>
          <w:spacing w:val="32"/>
          <w:w w:val="101"/>
          <w:sz w:val="20"/>
          <w:szCs w:val="20"/>
        </w:rPr>
        <w:t xml:space="preserve"> </w:t>
      </w:r>
      <w:r>
        <w:rPr>
          <w:rFonts w:ascii="微软雅黑" w:hAnsi="微软雅黑" w:eastAsia="微软雅黑" w:cs="微软雅黑"/>
          <w:color w:val="231F20"/>
          <w:spacing w:val="2"/>
          <w:sz w:val="20"/>
          <w:szCs w:val="20"/>
        </w:rPr>
        <w:t>18 敏捷式数据资产管理示意图</w:t>
      </w:r>
    </w:p>
    <w:p w14:paraId="6D86B0CE">
      <w:pPr>
        <w:pStyle w:val="2"/>
        <w:spacing w:line="315" w:lineRule="auto"/>
      </w:pPr>
    </w:p>
    <w:p w14:paraId="0E327F95">
      <w:pPr>
        <w:spacing w:before="94" w:line="181" w:lineRule="auto"/>
        <w:ind w:left="1454"/>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广东移动引入敏捷技术，提升数据资产开发者的工作效</w:t>
      </w:r>
      <w:r>
        <w:rPr>
          <w:rFonts w:ascii="微软雅黑" w:hAnsi="微软雅黑" w:eastAsia="微软雅黑" w:cs="微软雅黑"/>
          <w:color w:val="231F20"/>
          <w:spacing w:val="-2"/>
          <w:sz w:val="22"/>
          <w:szCs w:val="22"/>
        </w:rPr>
        <w:t>率。可视化数据开发，</w:t>
      </w:r>
    </w:p>
    <w:p w14:paraId="292E4DEB">
      <w:pPr>
        <w:spacing w:before="164" w:line="206" w:lineRule="auto"/>
        <w:ind w:left="972"/>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针对代码开发能力不足、代码开发周期长等问题，可</w:t>
      </w:r>
      <w:r>
        <w:rPr>
          <w:rFonts w:ascii="微软雅黑" w:hAnsi="微软雅黑" w:eastAsia="微软雅黑" w:cs="微软雅黑"/>
          <w:color w:val="231F20"/>
          <w:sz w:val="22"/>
          <w:szCs w:val="22"/>
        </w:rPr>
        <w:t>视化数据源配置、任务编排等</w:t>
      </w:r>
    </w:p>
    <w:p w14:paraId="5DC7D56C">
      <w:pPr>
        <w:spacing w:before="136" w:line="206" w:lineRule="auto"/>
        <w:ind w:left="973"/>
        <w:rPr>
          <w:rFonts w:ascii="微软雅黑" w:hAnsi="微软雅黑" w:eastAsia="微软雅黑" w:cs="微软雅黑"/>
          <w:sz w:val="22"/>
          <w:szCs w:val="22"/>
        </w:rPr>
      </w:pPr>
      <w:r>
        <w:rPr>
          <w:rFonts w:ascii="微软雅黑" w:hAnsi="微软雅黑" w:eastAsia="微软雅黑" w:cs="微软雅黑"/>
          <w:color w:val="231F20"/>
          <w:sz w:val="22"/>
          <w:szCs w:val="22"/>
        </w:rPr>
        <w:t>环节。同时，通过模板复用、</w:t>
      </w:r>
      <w:r>
        <w:rPr>
          <w:rFonts w:ascii="微软雅黑" w:hAnsi="微软雅黑" w:eastAsia="微软雅黑" w:cs="微软雅黑"/>
          <w:color w:val="231F20"/>
          <w:spacing w:val="-40"/>
          <w:sz w:val="22"/>
          <w:szCs w:val="22"/>
        </w:rPr>
        <w:t xml:space="preserve"> </w:t>
      </w:r>
      <w:r>
        <w:rPr>
          <w:rFonts w:ascii="微软雅黑" w:hAnsi="微软雅黑" w:eastAsia="微软雅黑" w:cs="微软雅黑"/>
          <w:color w:val="231F20"/>
          <w:sz w:val="22"/>
          <w:szCs w:val="22"/>
        </w:rPr>
        <w:t>一键调度以及转</w:t>
      </w:r>
      <w:r>
        <w:rPr>
          <w:rFonts w:ascii="微软雅黑" w:hAnsi="微软雅黑" w:eastAsia="微软雅黑" w:cs="微软雅黑"/>
          <w:color w:val="231F20"/>
          <w:spacing w:val="-1"/>
          <w:sz w:val="22"/>
          <w:szCs w:val="22"/>
        </w:rPr>
        <w:t>换编排页面，缩短数据开发时间。</w:t>
      </w:r>
      <w:r>
        <w:rPr>
          <w:rFonts w:ascii="微软雅黑" w:hAnsi="微软雅黑" w:eastAsia="微软雅黑" w:cs="微软雅黑"/>
          <w:color w:val="231F20"/>
          <w:spacing w:val="-41"/>
          <w:sz w:val="22"/>
          <w:szCs w:val="22"/>
        </w:rPr>
        <w:t xml:space="preserve"> </w:t>
      </w:r>
      <w:r>
        <w:rPr>
          <w:rFonts w:ascii="微软雅黑" w:hAnsi="微软雅黑" w:eastAsia="微软雅黑" w:cs="微软雅黑"/>
          <w:color w:val="231F20"/>
          <w:spacing w:val="-1"/>
          <w:sz w:val="22"/>
          <w:szCs w:val="22"/>
        </w:rPr>
        <w:t>构</w:t>
      </w:r>
    </w:p>
    <w:p w14:paraId="10D2C390">
      <w:pPr>
        <w:spacing w:before="135" w:line="203" w:lineRule="auto"/>
        <w:ind w:left="972"/>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建轻量级测试环境，通过持续集成 / 持续开发</w:t>
      </w:r>
      <w:r>
        <w:rPr>
          <w:rFonts w:ascii="微软雅黑" w:hAnsi="微软雅黑" w:eastAsia="微软雅黑" w:cs="微软雅黑"/>
          <w:color w:val="231F20"/>
          <w:spacing w:val="31"/>
          <w:sz w:val="22"/>
          <w:szCs w:val="22"/>
        </w:rPr>
        <w:t xml:space="preserve"> </w:t>
      </w:r>
      <w:r>
        <w:rPr>
          <w:rFonts w:ascii="微软雅黑" w:hAnsi="微软雅黑" w:eastAsia="微软雅黑" w:cs="微软雅黑"/>
          <w:color w:val="231F20"/>
          <w:spacing w:val="1"/>
          <w:sz w:val="22"/>
          <w:szCs w:val="22"/>
        </w:rPr>
        <w:t>(</w:t>
      </w:r>
      <w:r>
        <w:rPr>
          <w:rFonts w:ascii="微软雅黑" w:hAnsi="微软雅黑" w:eastAsia="微软雅黑" w:cs="微软雅黑"/>
          <w:color w:val="231F20"/>
          <w:sz w:val="22"/>
          <w:szCs w:val="22"/>
        </w:rPr>
        <w:t>CI</w:t>
      </w:r>
      <w:r>
        <w:rPr>
          <w:rFonts w:ascii="微软雅黑" w:hAnsi="微软雅黑" w:eastAsia="微软雅黑" w:cs="微软雅黑"/>
          <w:color w:val="231F20"/>
          <w:spacing w:val="1"/>
          <w:sz w:val="22"/>
          <w:szCs w:val="22"/>
        </w:rPr>
        <w:t>/</w:t>
      </w:r>
      <w:r>
        <w:rPr>
          <w:rFonts w:ascii="微软雅黑" w:hAnsi="微软雅黑" w:eastAsia="微软雅黑" w:cs="微软雅黑"/>
          <w:color w:val="231F20"/>
          <w:sz w:val="22"/>
          <w:szCs w:val="22"/>
        </w:rPr>
        <w:t>CD</w:t>
      </w:r>
      <w:r>
        <w:rPr>
          <w:rFonts w:ascii="微软雅黑" w:hAnsi="微软雅黑" w:eastAsia="微软雅黑" w:cs="微软雅黑"/>
          <w:color w:val="231F20"/>
          <w:spacing w:val="1"/>
          <w:sz w:val="22"/>
          <w:szCs w:val="22"/>
        </w:rPr>
        <w:t>)，在数据生产的各个环节对</w:t>
      </w:r>
    </w:p>
    <w:p w14:paraId="33F65C47">
      <w:pPr>
        <w:spacing w:before="142" w:line="206" w:lineRule="auto"/>
        <w:ind w:left="973"/>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输入输出和业务逻辑进行自动化测试，包括数据</w:t>
      </w:r>
      <w:r>
        <w:rPr>
          <w:rFonts w:ascii="微软雅黑" w:hAnsi="微软雅黑" w:eastAsia="微软雅黑" w:cs="微软雅黑"/>
          <w:color w:val="231F20"/>
          <w:sz w:val="22"/>
          <w:szCs w:val="22"/>
        </w:rPr>
        <w:t>口径、表格式、表属性等，以确保</w:t>
      </w:r>
    </w:p>
    <w:p w14:paraId="68BC7305">
      <w:pPr>
        <w:spacing w:before="136" w:line="206" w:lineRule="auto"/>
        <w:ind w:left="971"/>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质量稳定。此外，在测试环境提供轻量级的数据量，辅</w:t>
      </w:r>
      <w:r>
        <w:rPr>
          <w:rFonts w:ascii="微软雅黑" w:hAnsi="微软雅黑" w:eastAsia="微软雅黑" w:cs="微软雅黑"/>
          <w:color w:val="231F20"/>
          <w:sz w:val="22"/>
          <w:szCs w:val="22"/>
        </w:rPr>
        <w:t>助数据测试人员快速验证程</w:t>
      </w:r>
    </w:p>
    <w:p w14:paraId="14BBD8EF">
      <w:pPr>
        <w:spacing w:before="136" w:line="206" w:lineRule="auto"/>
        <w:ind w:left="972"/>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序与结果，提高数据测试效率。自动化部署，实现自动从测试环境中获取数据模型、</w:t>
      </w:r>
    </w:p>
    <w:p w14:paraId="0F30B35F">
      <w:pPr>
        <w:spacing w:before="136" w:line="206" w:lineRule="auto"/>
        <w:ind w:left="971"/>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代码配置，并以增量迭代的方式迁移至生产环境，大</w:t>
      </w:r>
      <w:r>
        <w:rPr>
          <w:rFonts w:ascii="微软雅黑" w:hAnsi="微软雅黑" w:eastAsia="微软雅黑" w:cs="微软雅黑"/>
          <w:color w:val="231F20"/>
          <w:sz w:val="22"/>
          <w:szCs w:val="22"/>
        </w:rPr>
        <w:t>大节约了从测试环境到生产环</w:t>
      </w:r>
    </w:p>
    <w:p w14:paraId="624BFB79">
      <w:pPr>
        <w:spacing w:before="135" w:line="207" w:lineRule="auto"/>
        <w:ind w:left="973"/>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境的测试和部署工作的人力成本。</w:t>
      </w:r>
    </w:p>
    <w:p w14:paraId="2C2B1634">
      <w:pPr>
        <w:pStyle w:val="2"/>
        <w:spacing w:line="290" w:lineRule="auto"/>
      </w:pPr>
      <w:r>
        <w:pict>
          <v:group id="_x0000_s1306" o:spid="_x0000_s1306" o:spt="203" style="position:absolute;left:0pt;margin-left:38.05pt;margin-top:8.05pt;height:1.05pt;width:415.4pt;z-index:251891712;mso-width-relative:page;mso-height-relative:page;" coordsize="8307,20">
            <o:lock v:ext="edit"/>
            <v:shape id="_x0000_s1307" o:spid="_x0000_s1307" style="position:absolute;left:30;top:0;height:20;width:8277;" filled="f" stroked="t" coordsize="8277,20" path="m8266,10l10,10e">
              <v:fill on="f" focussize="0,0"/>
              <v:stroke weight="1pt" color="#648676" miterlimit="4" dashstyle="dash" endcap="round"/>
              <v:imagedata o:title=""/>
              <o:lock v:ext="edit"/>
            </v:shape>
            <v:shape id="_x0000_s1308" o:spid="_x0000_s1308" style="position:absolute;left:0;top:0;height:20;width:20;" filled="f" stroked="t" coordsize="20,20" path="m10,10l10,10e">
              <v:fill on="f" focussize="0,0"/>
              <v:stroke weight="1pt" color="#648676" miterlimit="4" endcap="round"/>
              <v:imagedata o:title=""/>
              <o:lock v:ext="edit"/>
            </v:shape>
          </v:group>
        </w:pict>
      </w:r>
    </w:p>
    <w:p w14:paraId="6D61D877">
      <w:pPr>
        <w:pStyle w:val="2"/>
        <w:spacing w:line="290" w:lineRule="auto"/>
      </w:pPr>
    </w:p>
    <w:p w14:paraId="59E75779">
      <w:pPr>
        <w:pStyle w:val="2"/>
        <w:spacing w:line="291" w:lineRule="auto"/>
      </w:pPr>
    </w:p>
    <w:p w14:paraId="06D6B820">
      <w:pPr>
        <w:pStyle w:val="2"/>
        <w:spacing w:line="291" w:lineRule="auto"/>
      </w:pPr>
    </w:p>
    <w:p w14:paraId="1C7D161D">
      <w:pPr>
        <w:spacing w:before="95" w:line="288" w:lineRule="auto"/>
        <w:ind w:left="248" w:right="1" w:firstLine="480"/>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第四步是创新数据应用，丰富数据服务。组织应加强数据应用和服务的创新，围绕</w:t>
      </w:r>
      <w:r>
        <w:rPr>
          <w:rFonts w:ascii="微软雅黑" w:hAnsi="微软雅黑" w:eastAsia="微软雅黑" w:cs="微软雅黑"/>
          <w:color w:val="231F20"/>
          <w:spacing w:val="2"/>
          <w:sz w:val="22"/>
          <w:szCs w:val="22"/>
        </w:rPr>
        <w:t>降低数据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使用难度、扩大数据覆盖范围、增加数据供给能力等方面开展。通过数据可视化、搜索式分析、</w:t>
      </w:r>
      <w:r>
        <w:rPr>
          <w:rFonts w:ascii="微软雅黑" w:hAnsi="微软雅黑" w:eastAsia="微软雅黑" w:cs="微软雅黑"/>
          <w:color w:val="231F20"/>
          <w:spacing w:val="16"/>
          <w:sz w:val="22"/>
          <w:szCs w:val="22"/>
        </w:rPr>
        <w:t xml:space="preserve"> </w:t>
      </w:r>
      <w:r>
        <w:rPr>
          <w:rFonts w:ascii="微软雅黑" w:hAnsi="微软雅黑" w:eastAsia="微软雅黑" w:cs="微软雅黑"/>
          <w:color w:val="231F20"/>
          <w:spacing w:val="3"/>
          <w:sz w:val="22"/>
          <w:szCs w:val="22"/>
        </w:rPr>
        <w:t>数据产品化、产品服务化等角度降低数据使用难度；通过数据“平民化”（如自助式数据分析、</w:t>
      </w:r>
    </w:p>
    <w:p w14:paraId="4022610B">
      <w:pPr>
        <w:pStyle w:val="2"/>
        <w:spacing w:before="252" w:line="194" w:lineRule="auto"/>
        <w:ind w:left="4845"/>
        <w:rPr>
          <w:sz w:val="20"/>
          <w:szCs w:val="20"/>
        </w:rPr>
      </w:pPr>
      <w:r>
        <w:pict>
          <v:shape id="_x0000_s1309" o:spid="_x0000_s1309" o:spt="202" type="#_x0000_t202" style="position:absolute;left:0pt;margin-left:274.65pt;margin-top:16.25pt;height:15.95pt;width:199.4pt;z-index:251890688;mso-width-relative:page;mso-height-relative:page;" filled="f" stroked="f" coordsize="21600,21600">
            <v:path/>
            <v:fill on="f" focussize="0,0"/>
            <v:stroke on="f"/>
            <v:imagedata o:title=""/>
            <o:lock v:ext="edit" aspectratio="f"/>
            <v:textbox inset="0mm,0mm,0mm,0mm">
              <w:txbxContent>
                <w:p w14:paraId="72DB95BB">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3"/>
          <w:sz w:val="20"/>
          <w:szCs w:val="20"/>
        </w:rPr>
        <w:t>39</w:t>
      </w:r>
    </w:p>
    <w:p w14:paraId="5199C9A1">
      <w:pPr>
        <w:spacing w:line="194" w:lineRule="auto"/>
        <w:rPr>
          <w:sz w:val="20"/>
          <w:szCs w:val="20"/>
        </w:rPr>
        <w:sectPr>
          <w:pgSz w:w="11906" w:h="16158"/>
          <w:pgMar w:top="400" w:right="1252" w:bottom="400" w:left="1004" w:header="0" w:footer="0" w:gutter="0"/>
          <w:cols w:space="720" w:num="1"/>
        </w:sectPr>
      </w:pPr>
    </w:p>
    <w:p w14:paraId="54F5CC15">
      <w:pPr>
        <w:pStyle w:val="2"/>
        <w:spacing w:line="349" w:lineRule="auto"/>
      </w:pPr>
    </w:p>
    <w:p w14:paraId="630A1624">
      <w:pPr>
        <w:pStyle w:val="2"/>
        <w:spacing w:line="350" w:lineRule="auto"/>
      </w:pPr>
    </w:p>
    <w:p w14:paraId="4B4ECE1A">
      <w:pPr>
        <w:spacing w:before="80" w:line="182" w:lineRule="auto"/>
        <w:rPr>
          <w:rFonts w:ascii="Segoe UI" w:hAnsi="Segoe UI" w:eastAsia="Segoe UI" w:cs="Segoe UI"/>
          <w:sz w:val="24"/>
          <w:szCs w:val="24"/>
        </w:rPr>
      </w:pPr>
      <w:r>
        <w:rPr>
          <w:rFonts w:ascii="Segoe UI" w:hAnsi="Segoe UI" w:eastAsia="Segoe UI" w:cs="Segoe UI"/>
          <w:b/>
          <w:bCs/>
          <w:color w:val="648676"/>
          <w:spacing w:val="25"/>
          <w:w w:val="111"/>
          <w:sz w:val="24"/>
          <w:szCs w:val="24"/>
        </w:rPr>
        <w:t>CHAPTER -4</w:t>
      </w:r>
    </w:p>
    <w:p w14:paraId="09A39DB4">
      <w:pPr>
        <w:spacing w:before="55" w:line="178" w:lineRule="auto"/>
        <w:ind w:left="405"/>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数据资产管理实践步骤</w:t>
      </w:r>
    </w:p>
    <w:p w14:paraId="6C0930CE">
      <w:pPr>
        <w:pStyle w:val="2"/>
        <w:spacing w:line="292" w:lineRule="auto"/>
      </w:pPr>
    </w:p>
    <w:p w14:paraId="7C41A1B9">
      <w:pPr>
        <w:pStyle w:val="2"/>
        <w:spacing w:line="292" w:lineRule="auto"/>
      </w:pPr>
    </w:p>
    <w:p w14:paraId="703A907D">
      <w:pPr>
        <w:pStyle w:val="2"/>
        <w:spacing w:line="292" w:lineRule="auto"/>
      </w:pPr>
    </w:p>
    <w:p w14:paraId="779AB831">
      <w:pPr>
        <w:spacing w:before="94" w:line="286" w:lineRule="auto"/>
        <w:ind w:left="248" w:right="96"/>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数据应用商店、数据超市等</w:t>
      </w:r>
      <w:r>
        <w:rPr>
          <w:rFonts w:ascii="微软雅黑" w:hAnsi="微软雅黑" w:eastAsia="微软雅黑" w:cs="微软雅黑"/>
          <w:color w:val="231F20"/>
          <w:spacing w:val="8"/>
          <w:sz w:val="22"/>
          <w:szCs w:val="22"/>
        </w:rPr>
        <w:t>），</w:t>
      </w:r>
      <w:r>
        <w:rPr>
          <w:rFonts w:ascii="微软雅黑" w:hAnsi="微软雅黑" w:eastAsia="微软雅黑" w:cs="微软雅黑"/>
          <w:color w:val="231F20"/>
          <w:spacing w:val="3"/>
          <w:sz w:val="22"/>
          <w:szCs w:val="22"/>
        </w:rPr>
        <w:t>使更多一线业务人员直接参与数据分析过程；通过数据消费者、</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数据生产者之间灵活的角色转变，增加数据的供给能力（如形成数据众筹众享模式）。</w:t>
      </w:r>
    </w:p>
    <w:p w14:paraId="2A49B082">
      <w:pPr>
        <w:spacing w:before="20" w:line="277" w:lineRule="auto"/>
        <w:ind w:left="247" w:right="93" w:firstLine="481"/>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第四步的交付物主要包括：数据应用产品清单、数据应用服务操作手册、数据应用服务用户</w:t>
      </w:r>
      <w:r>
        <w:rPr>
          <w:rFonts w:ascii="微软雅黑" w:hAnsi="微软雅黑" w:eastAsia="微软雅黑" w:cs="微软雅黑"/>
          <w:color w:val="231F20"/>
          <w:spacing w:val="18"/>
          <w:w w:val="101"/>
          <w:sz w:val="22"/>
          <w:szCs w:val="22"/>
        </w:rPr>
        <w:t xml:space="preserve"> </w:t>
      </w:r>
      <w:r>
        <w:rPr>
          <w:rFonts w:ascii="微软雅黑" w:hAnsi="微软雅黑" w:eastAsia="微软雅黑" w:cs="微软雅黑"/>
          <w:color w:val="231F20"/>
          <w:spacing w:val="-5"/>
          <w:sz w:val="22"/>
          <w:szCs w:val="22"/>
        </w:rPr>
        <w:t>指南。</w:t>
      </w:r>
    </w:p>
    <w:p w14:paraId="1EA84E88">
      <w:pPr>
        <w:pStyle w:val="2"/>
        <w:spacing w:line="385" w:lineRule="auto"/>
      </w:pPr>
    </w:p>
    <w:p w14:paraId="1DDA7E3B">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9"/>
          <w:sz w:val="28"/>
          <w:szCs w:val="28"/>
        </w:rPr>
        <w:t>( 三 )</w:t>
      </w:r>
      <w:r>
        <w:rPr>
          <w:rFonts w:ascii="微软雅黑" w:hAnsi="微软雅黑" w:eastAsia="微软雅黑" w:cs="微软雅黑"/>
          <w:color w:val="648676"/>
          <w:spacing w:val="34"/>
          <w:sz w:val="28"/>
          <w:szCs w:val="28"/>
        </w:rPr>
        <w:t xml:space="preserve"> </w:t>
      </w:r>
      <w:r>
        <w:rPr>
          <w:rFonts w:ascii="微软雅黑" w:hAnsi="微软雅黑" w:eastAsia="微软雅黑" w:cs="微软雅黑"/>
          <w:color w:val="648676"/>
          <w:spacing w:val="9"/>
          <w:sz w:val="28"/>
          <w:szCs w:val="28"/>
        </w:rPr>
        <w:t>第三阶段：稽核检查</w:t>
      </w:r>
    </w:p>
    <w:p w14:paraId="5EB9F943">
      <w:pPr>
        <w:pStyle w:val="2"/>
        <w:spacing w:line="410" w:lineRule="auto"/>
      </w:pPr>
    </w:p>
    <w:p w14:paraId="3F79EE48">
      <w:pPr>
        <w:spacing w:before="95" w:line="289" w:lineRule="auto"/>
        <w:ind w:left="247"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组织在第二阶段基本完成由原始数据到数据资源的转变，第三阶段稽核检查关注于如何评价</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5"/>
          <w:sz w:val="22"/>
          <w:szCs w:val="22"/>
        </w:rPr>
        <w:t>数据资源化成果、改进管理方法，</w:t>
      </w:r>
      <w:r>
        <w:rPr>
          <w:rFonts w:ascii="微软雅黑" w:hAnsi="微软雅黑" w:eastAsia="微软雅黑" w:cs="微软雅黑"/>
          <w:color w:val="231F20"/>
          <w:spacing w:val="-31"/>
          <w:sz w:val="22"/>
          <w:szCs w:val="22"/>
        </w:rPr>
        <w:t xml:space="preserve"> </w:t>
      </w:r>
      <w:r>
        <w:rPr>
          <w:rFonts w:ascii="微软雅黑" w:hAnsi="微软雅黑" w:eastAsia="微软雅黑" w:cs="微软雅黑"/>
          <w:color w:val="231F20"/>
          <w:spacing w:val="-5"/>
          <w:sz w:val="22"/>
          <w:szCs w:val="22"/>
        </w:rPr>
        <w:t>该阶段的主要目标</w:t>
      </w:r>
      <w:r>
        <w:rPr>
          <w:rFonts w:ascii="微软雅黑" w:hAnsi="微软雅黑" w:eastAsia="微软雅黑" w:cs="微软雅黑"/>
          <w:color w:val="231F20"/>
          <w:spacing w:val="-6"/>
          <w:sz w:val="22"/>
          <w:szCs w:val="22"/>
        </w:rPr>
        <w:t>是根据既定标准规范，适应业务和数据的变化，</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通过对数据资源化过程与成果开展常态化检查，优化数据资产管理模式与方法。</w:t>
      </w:r>
    </w:p>
    <w:p w14:paraId="72666EC8">
      <w:pPr>
        <w:spacing w:before="13" w:line="291" w:lineRule="auto"/>
        <w:ind w:left="247" w:right="68" w:firstLine="481"/>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标准规范是常态化检查的基础与前提，主要包括数据</w:t>
      </w:r>
      <w:r>
        <w:rPr>
          <w:rFonts w:ascii="微软雅黑" w:hAnsi="微软雅黑" w:eastAsia="微软雅黑" w:cs="微软雅黑"/>
          <w:color w:val="231F20"/>
          <w:sz w:val="22"/>
          <w:szCs w:val="22"/>
        </w:rPr>
        <w:t xml:space="preserve">模型与业务架构和 IT 架构一致性、数据 </w:t>
      </w:r>
      <w:r>
        <w:rPr>
          <w:rFonts w:ascii="微软雅黑" w:hAnsi="微软雅黑" w:eastAsia="微软雅黑" w:cs="微软雅黑"/>
          <w:color w:val="231F20"/>
          <w:spacing w:val="3"/>
          <w:sz w:val="22"/>
          <w:szCs w:val="22"/>
        </w:rPr>
        <w:t>标准落地、数据质量、数据安全合规、数据开发规范性等。平台工具是常态化检查的有效方式，</w:t>
      </w:r>
      <w:r>
        <w:rPr>
          <w:rFonts w:ascii="微软雅黑" w:hAnsi="微软雅黑" w:eastAsia="微软雅黑" w:cs="微软雅黑"/>
          <w:color w:val="231F20"/>
          <w:spacing w:val="9"/>
          <w:sz w:val="22"/>
          <w:szCs w:val="22"/>
        </w:rPr>
        <w:t xml:space="preserve"> </w:t>
      </w:r>
      <w:r>
        <w:rPr>
          <w:rFonts w:ascii="微软雅黑" w:hAnsi="微软雅黑" w:eastAsia="微软雅黑" w:cs="微软雅黑"/>
          <w:color w:val="231F20"/>
          <w:spacing w:val="4"/>
          <w:sz w:val="22"/>
          <w:szCs w:val="22"/>
        </w:rPr>
        <w:t>相较于人工操作，节约人力物力，确保检查结果准确性，提升检查效率。定期总结、建立基</w:t>
      </w:r>
      <w:r>
        <w:rPr>
          <w:rFonts w:ascii="微软雅黑" w:hAnsi="微软雅黑" w:eastAsia="微软雅黑" w:cs="微软雅黑"/>
          <w:color w:val="231F20"/>
          <w:spacing w:val="3"/>
          <w:sz w:val="22"/>
          <w:szCs w:val="22"/>
        </w:rPr>
        <w:t>线是</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常态化检查的关键过程，对检查结果进行统计分析，形成检查指标与能力基线，评价数据</w:t>
      </w:r>
      <w:r>
        <w:rPr>
          <w:rFonts w:ascii="微软雅黑" w:hAnsi="微软雅黑" w:eastAsia="微软雅黑" w:cs="微软雅黑"/>
          <w:color w:val="231F20"/>
          <w:spacing w:val="3"/>
          <w:sz w:val="22"/>
          <w:szCs w:val="22"/>
        </w:rPr>
        <w:t>资源化</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效果，与相关利益方、参与方确定整改方案，持续改进管理模式与方法。</w:t>
      </w:r>
    </w:p>
    <w:p w14:paraId="4845A1D8">
      <w:pPr>
        <w:spacing w:before="16" w:line="276" w:lineRule="auto"/>
        <w:ind w:left="247" w:right="76" w:firstLine="481"/>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第三阶段主要交付物包括：数据资产管理检查办法、数据资产管理检查总结、数据</w:t>
      </w:r>
      <w:r>
        <w:rPr>
          <w:rFonts w:ascii="微软雅黑" w:hAnsi="微软雅黑" w:eastAsia="微软雅黑" w:cs="微软雅黑"/>
          <w:color w:val="231F20"/>
          <w:spacing w:val="2"/>
          <w:sz w:val="22"/>
          <w:szCs w:val="22"/>
        </w:rPr>
        <w:t>资产管理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检查基线。</w:t>
      </w:r>
    </w:p>
    <w:p w14:paraId="5F471407">
      <w:pPr>
        <w:spacing w:before="233" w:line="4195" w:lineRule="exact"/>
        <w:ind w:firstLine="242"/>
      </w:pPr>
      <w:r>
        <w:pict>
          <v:group id="_x0000_s1310" o:spid="_x0000_s1310" o:spt="203" style="position:absolute;left:0pt;margin-left:24.15pt;margin-top:20.65pt;height:189.2pt;width:12.35pt;z-index:251893760;mso-width-relative:page;mso-height-relative:page;" coordsize="247,3783">
            <o:lock v:ext="edit"/>
            <v:shape id="_x0000_s1311" o:spid="_x0000_s1311" style="position:absolute;left:0;top:0;height:3753;width:247;" filled="f" stroked="t" coordsize="247,3753" path="m236,10c157,30,20,101,10,340m10,428l10,3743e">
              <v:fill on="f" focussize="0,0"/>
              <v:stroke weight="1pt" color="#648676" miterlimit="4" dashstyle="dash" endcap="round"/>
              <v:imagedata o:title=""/>
              <o:lock v:ext="edit"/>
            </v:shape>
            <v:shape id="_x0000_s1312" o:spid="_x0000_s1312" style="position:absolute;left:0;top:359;height:3425;width:20;" filled="f" stroked="t" coordsize="20,3425" path="m10,10l10,10m10,3414l10,3414e">
              <v:fill on="f" focussize="0,0"/>
              <v:stroke weight="1pt" color="#648676" miterlimit="4" endcap="round"/>
              <v:imagedata o:title=""/>
              <o:lock v:ext="edit"/>
            </v:shape>
          </v:group>
        </w:pict>
      </w:r>
      <w:r>
        <w:rPr>
          <w:position w:val="-83"/>
        </w:rPr>
        <w:pict>
          <v:group id="_x0000_s1313" o:spid="_x0000_s1313" o:spt="203" style="height:209.8pt;width:470.6pt;" coordsize="9412,4196">
            <o:lock v:ext="edit"/>
            <v:rect id="_x0000_s1314" o:spid="_x0000_s1314" o:spt="1" style="position:absolute;left:0;top:0;height:4196;width:9412;" fillcolor="#E9F6FE" filled="t" stroked="f" coordsize="21600,21600">
              <v:path/>
              <v:fill on="t" focussize="0,0"/>
              <v:stroke on="f"/>
              <v:imagedata o:title=""/>
              <o:lock v:ext="edit"/>
            </v:rect>
            <v:shape id="_x0000_s1315" o:spid="_x0000_s1315" o:spt="202" type="#_x0000_t202" style="position:absolute;left:714;top:571;height:3423;width:8060;" filled="f" stroked="f" coordsize="21600,21600">
              <v:path/>
              <v:fill on="f" focussize="0,0"/>
              <v:stroke on="f"/>
              <v:imagedata o:title=""/>
              <o:lock v:ext="edit" aspectratio="f"/>
              <v:textbox inset="0mm,0mm,0mm,0mm">
                <w:txbxContent>
                  <w:p w14:paraId="33F2C49B">
                    <w:pPr>
                      <w:spacing w:before="20" w:line="605" w:lineRule="exact"/>
                      <w:ind w:left="29"/>
                      <w:rPr>
                        <w:rFonts w:ascii="微软雅黑" w:hAnsi="微软雅黑" w:eastAsia="微软雅黑" w:cs="微软雅黑"/>
                        <w:sz w:val="32"/>
                        <w:szCs w:val="32"/>
                      </w:rPr>
                    </w:pPr>
                    <w:r>
                      <w:fldChar w:fldCharType="begin"/>
                    </w:r>
                    <w:r>
                      <w:instrText xml:space="preserve">EQ \* jc3 \* hps14 \o\al(\s\up 12(</w:instrText>
                    </w:r>
                    <w:r>
                      <w:rPr>
                        <w:rFonts w:ascii="Segoe UI" w:hAnsi="Segoe UI" w:eastAsia="Segoe UI" w:cs="Segoe UI"/>
                        <w:b/>
                        <w:bCs/>
                        <w:color w:val="648676"/>
                        <w:spacing w:val="1"/>
                        <w:w w:val="175"/>
                        <w:position w:val="2"/>
                        <w:sz w:val="14"/>
                        <w:szCs w:val="14"/>
                      </w:rPr>
                      <w:instrText xml:space="preserve"> </w:instrText>
                    </w:r>
                    <w:r>
                      <w:rPr>
                        <w:rFonts w:ascii="Segoe UI" w:hAnsi="Segoe UI" w:eastAsia="Segoe UI" w:cs="Segoe UI"/>
                        <w:b/>
                        <w:bCs/>
                        <w:color w:val="648676"/>
                        <w:w w:val="137"/>
                        <w:position w:val="2"/>
                        <w:sz w:val="14"/>
                        <w:szCs w:val="14"/>
                      </w:rPr>
                      <w:instrText xml:space="preserve">SP</w:instrText>
                    </w:r>
                    <w:r>
                      <w:instrText xml:space="preserve">),</w:instrText>
                    </w:r>
                    <w:r>
                      <w:rPr>
                        <w:rFonts w:ascii="Segoe UI" w:hAnsi="Segoe UI" w:eastAsia="Segoe UI" w:cs="Segoe UI"/>
                        <w:b/>
                        <w:bCs/>
                        <w:color w:val="648676"/>
                        <w:w w:val="123"/>
                        <w:position w:val="8"/>
                        <w:sz w:val="20"/>
                        <w:szCs w:val="20"/>
                      </w:rPr>
                      <w:instrText xml:space="preserve">COL</w:instrText>
                    </w:r>
                    <w:r>
                      <w:instrText xml:space="preserve">)</w:instrText>
                    </w:r>
                    <w:r>
                      <w:fldChar w:fldCharType="end"/>
                    </w:r>
                    <w:r>
                      <w:fldChar w:fldCharType="begin"/>
                    </w:r>
                    <w:r>
                      <w:instrText xml:space="preserve">EQ \* jc3 \* hps14 \o\al(\s\up 12(</w:instrText>
                    </w:r>
                    <w:r>
                      <w:rPr>
                        <w:rFonts w:ascii="Segoe UI" w:hAnsi="Segoe UI" w:eastAsia="Segoe UI" w:cs="Segoe UI"/>
                        <w:b/>
                        <w:bCs/>
                        <w:color w:val="648676"/>
                        <w:w w:val="141"/>
                        <w:position w:val="2"/>
                        <w:sz w:val="14"/>
                        <w:szCs w:val="14"/>
                      </w:rPr>
                      <w:instrText xml:space="preserve">E</w:instrText>
                    </w:r>
                    <w:r>
                      <w:instrText xml:space="preserve">),</w:instrText>
                    </w:r>
                    <w:r>
                      <w:rPr>
                        <w:rFonts w:ascii="Segoe UI" w:hAnsi="Segoe UI" w:eastAsia="Segoe UI" w:cs="Segoe UI"/>
                        <w:b/>
                        <w:bCs/>
                        <w:color w:val="648676"/>
                        <w:w w:val="90"/>
                        <w:position w:val="8"/>
                        <w:sz w:val="20"/>
                        <w:szCs w:val="20"/>
                      </w:rPr>
                      <w:instrText xml:space="preserve">U</w:instrText>
                    </w:r>
                    <w:r>
                      <w:instrText xml:space="preserve">)</w:instrText>
                    </w:r>
                    <w:r>
                      <w:fldChar w:fldCharType="end"/>
                    </w:r>
                    <w:r>
                      <w:rPr>
                        <w:rFonts w:ascii="Times New Roman" w:hAnsi="Times New Roman" w:eastAsia="Times New Roman" w:cs="Times New Roman"/>
                        <w:color w:val="648676"/>
                        <w:position w:val="-12"/>
                        <w:sz w:val="67"/>
                        <w:szCs w:val="67"/>
                      </w:rPr>
                      <w:drawing>
                        <wp:inline distT="0" distB="0" distL="0" distR="0">
                          <wp:extent cx="125095" cy="323850"/>
                          <wp:effectExtent l="0" t="0" r="0" b="0"/>
                          <wp:docPr id="294" name="IM 294"/>
                          <wp:cNvGraphicFramePr/>
                          <a:graphic xmlns:a="http://schemas.openxmlformats.org/drawingml/2006/main">
                            <a:graphicData uri="http://schemas.openxmlformats.org/drawingml/2006/picture">
                              <pic:pic xmlns:pic="http://schemas.openxmlformats.org/drawingml/2006/picture">
                                <pic:nvPicPr>
                                  <pic:cNvPr id="294" name="IM 294"/>
                                  <pic:cNvPicPr/>
                                </pic:nvPicPr>
                                <pic:blipFill>
                                  <a:blip r:embed="rId177"/>
                                  <a:stretch>
                                    <a:fillRect/>
                                  </a:stretch>
                                </pic:blipFill>
                                <pic:spPr>
                                  <a:xfrm>
                                    <a:off x="0" y="0"/>
                                    <a:ext cx="125311" cy="324459"/>
                                  </a:xfrm>
                                  <a:prstGeom prst="rect">
                                    <a:avLst/>
                                  </a:prstGeom>
                                </pic:spPr>
                              </pic:pic>
                            </a:graphicData>
                          </a:graphic>
                        </wp:inline>
                      </w:drawing>
                    </w:r>
                    <w:r>
                      <w:rPr>
                        <w:rFonts w:ascii="Times New Roman" w:hAnsi="Times New Roman" w:eastAsia="Times New Roman" w:cs="Times New Roman"/>
                        <w:color w:val="648676"/>
                        <w:position w:val="-12"/>
                        <w:sz w:val="67"/>
                        <w:szCs w:val="67"/>
                      </w:rPr>
                      <w:drawing>
                        <wp:inline distT="0" distB="0" distL="0" distR="0">
                          <wp:extent cx="131445" cy="321945"/>
                          <wp:effectExtent l="0" t="0" r="0" b="0"/>
                          <wp:docPr id="296" name="IM 296"/>
                          <wp:cNvGraphicFramePr/>
                          <a:graphic xmlns:a="http://schemas.openxmlformats.org/drawingml/2006/main">
                            <a:graphicData uri="http://schemas.openxmlformats.org/drawingml/2006/picture">
                              <pic:pic xmlns:pic="http://schemas.openxmlformats.org/drawingml/2006/picture">
                                <pic:nvPicPr>
                                  <pic:cNvPr id="296" name="IM 296"/>
                                  <pic:cNvPicPr/>
                                </pic:nvPicPr>
                                <pic:blipFill>
                                  <a:blip r:embed="rId178"/>
                                  <a:stretch>
                                    <a:fillRect/>
                                  </a:stretch>
                                </pic:blipFill>
                                <pic:spPr>
                                  <a:xfrm>
                                    <a:off x="0" y="0"/>
                                    <a:ext cx="131655" cy="322431"/>
                                  </a:xfrm>
                                  <a:prstGeom prst="rect">
                                    <a:avLst/>
                                  </a:prstGeom>
                                </pic:spPr>
                              </pic:pic>
                            </a:graphicData>
                          </a:graphic>
                        </wp:inline>
                      </w:drawing>
                    </w:r>
                    <w:r>
                      <w:rPr>
                        <w:rFonts w:ascii="Times New Roman" w:hAnsi="Times New Roman" w:eastAsia="Times New Roman" w:cs="Times New Roman"/>
                        <w:color w:val="648676"/>
                        <w:spacing w:val="13"/>
                        <w:position w:val="-7"/>
                        <w:sz w:val="67"/>
                        <w:szCs w:val="67"/>
                      </w:rPr>
                      <w:t>5</w:t>
                    </w:r>
                    <w:r>
                      <w:rPr>
                        <w:rFonts w:ascii="Times New Roman" w:hAnsi="Times New Roman" w:eastAsia="Times New Roman" w:cs="Times New Roman"/>
                        <w:color w:val="648676"/>
                        <w:spacing w:val="100"/>
                        <w:position w:val="-7"/>
                        <w:sz w:val="67"/>
                        <w:szCs w:val="67"/>
                      </w:rPr>
                      <w:t xml:space="preserve"> </w:t>
                    </w:r>
                    <w:r>
                      <w:rPr>
                        <w:rFonts w:ascii="微软雅黑" w:hAnsi="微软雅黑" w:eastAsia="微软雅黑" w:cs="微软雅黑"/>
                        <w:color w:val="648676"/>
                        <w:spacing w:val="13"/>
                        <w:position w:val="2"/>
                        <w:sz w:val="32"/>
                        <w:szCs w:val="32"/>
                      </w:rPr>
                      <w:t>保持业务、数据、</w:t>
                    </w:r>
                    <w:r>
                      <w:rPr>
                        <w:rFonts w:ascii="微软雅黑" w:hAnsi="微软雅黑" w:eastAsia="微软雅黑" w:cs="微软雅黑"/>
                        <w:color w:val="648676"/>
                        <w:position w:val="2"/>
                        <w:sz w:val="32"/>
                        <w:szCs w:val="32"/>
                      </w:rPr>
                      <w:t>IT</w:t>
                    </w:r>
                    <w:r>
                      <w:rPr>
                        <w:rFonts w:ascii="微软雅黑" w:hAnsi="微软雅黑" w:eastAsia="微软雅黑" w:cs="微软雅黑"/>
                        <w:color w:val="648676"/>
                        <w:spacing w:val="13"/>
                        <w:position w:val="2"/>
                        <w:sz w:val="32"/>
                        <w:szCs w:val="32"/>
                      </w:rPr>
                      <w:t xml:space="preserve"> 的一致性</w:t>
                    </w:r>
                  </w:p>
                  <w:p w14:paraId="60F99EF6">
                    <w:pPr>
                      <w:spacing w:before="222" w:line="289" w:lineRule="auto"/>
                      <w:ind w:left="20" w:right="20" w:firstLine="483"/>
                      <w:jc w:val="both"/>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数据作为组织的资产，在组织的业务发展中扮演着重要作用。数据产生于业务，</w:t>
                    </w:r>
                    <w:r>
                      <w:rPr>
                        <w:rFonts w:ascii="微软雅黑" w:hAnsi="微软雅黑" w:eastAsia="微软雅黑" w:cs="微软雅黑"/>
                        <w:color w:val="231F20"/>
                        <w:spacing w:val="10"/>
                        <w:sz w:val="22"/>
                        <w:szCs w:val="22"/>
                      </w:rPr>
                      <w:t xml:space="preserve"> </w:t>
                    </w:r>
                    <w:r>
                      <w:rPr>
                        <w:rFonts w:ascii="微软雅黑" w:hAnsi="微软雅黑" w:eastAsia="微软雅黑" w:cs="微软雅黑"/>
                        <w:color w:val="231F20"/>
                        <w:spacing w:val="3"/>
                        <w:sz w:val="22"/>
                        <w:szCs w:val="22"/>
                      </w:rPr>
                      <w:t xml:space="preserve">由 </w:t>
                    </w:r>
                    <w:r>
                      <w:rPr>
                        <w:rFonts w:ascii="微软雅黑" w:hAnsi="微软雅黑" w:eastAsia="微软雅黑" w:cs="微软雅黑"/>
                        <w:color w:val="231F20"/>
                        <w:sz w:val="22"/>
                        <w:szCs w:val="22"/>
                      </w:rPr>
                      <w:t>IT</w:t>
                    </w:r>
                    <w:r>
                      <w:rPr>
                        <w:rFonts w:ascii="微软雅黑" w:hAnsi="微软雅黑" w:eastAsia="微软雅黑" w:cs="微软雅黑"/>
                        <w:color w:val="231F20"/>
                        <w:spacing w:val="3"/>
                        <w:sz w:val="22"/>
                        <w:szCs w:val="22"/>
                      </w:rPr>
                      <w:t xml:space="preserve"> 建设承载，因此，实现业务、数据、</w:t>
                    </w:r>
                    <w:r>
                      <w:rPr>
                        <w:rFonts w:ascii="微软雅黑" w:hAnsi="微软雅黑" w:eastAsia="微软雅黑" w:cs="微软雅黑"/>
                        <w:color w:val="231F20"/>
                        <w:sz w:val="22"/>
                        <w:szCs w:val="22"/>
                      </w:rPr>
                      <w:t>IT</w:t>
                    </w:r>
                    <w:r>
                      <w:rPr>
                        <w:rFonts w:ascii="微软雅黑" w:hAnsi="微软雅黑" w:eastAsia="微软雅黑" w:cs="微软雅黑"/>
                        <w:color w:val="231F20"/>
                        <w:spacing w:val="3"/>
                        <w:sz w:val="22"/>
                        <w:szCs w:val="22"/>
                      </w:rPr>
                      <w:t xml:space="preserve"> 的一致性，是数据资产管理长期良好</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运行的基础，也是数据资产管理稽核检查的要点。</w:t>
                    </w:r>
                  </w:p>
                  <w:p w14:paraId="3A84B986">
                    <w:pPr>
                      <w:spacing w:before="30" w:line="265" w:lineRule="auto"/>
                      <w:ind w:left="20" w:right="88" w:firstLine="493"/>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 xml:space="preserve">中国工商银行通过企业架构管控实现了业务与 </w:t>
                    </w:r>
                    <w:r>
                      <w:rPr>
                        <w:rFonts w:ascii="微软雅黑" w:hAnsi="微软雅黑" w:eastAsia="微软雅黑" w:cs="微软雅黑"/>
                        <w:color w:val="231F20"/>
                        <w:sz w:val="22"/>
                        <w:szCs w:val="22"/>
                      </w:rPr>
                      <w:t>IT</w:t>
                    </w:r>
                    <w:r>
                      <w:rPr>
                        <w:rFonts w:ascii="微软雅黑" w:hAnsi="微软雅黑" w:eastAsia="微软雅黑" w:cs="微软雅黑"/>
                        <w:color w:val="231F20"/>
                        <w:spacing w:val="3"/>
                        <w:sz w:val="22"/>
                        <w:szCs w:val="22"/>
                      </w:rPr>
                      <w:t xml:space="preserve"> 的一致性。</w:t>
                    </w:r>
                    <w:r>
                      <w:rPr>
                        <w:rFonts w:ascii="微软雅黑" w:hAnsi="微软雅黑" w:eastAsia="微软雅黑" w:cs="微软雅黑"/>
                        <w:color w:val="231F20"/>
                        <w:spacing w:val="2"/>
                        <w:sz w:val="22"/>
                        <w:szCs w:val="22"/>
                      </w:rPr>
                      <w:t>企业架构管控从</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全行视角进行业务整体规划，引入企业级业务架构建</w:t>
                    </w:r>
                    <w:r>
                      <w:rPr>
                        <w:rFonts w:ascii="微软雅黑" w:hAnsi="微软雅黑" w:eastAsia="微软雅黑" w:cs="微软雅黑"/>
                        <w:color w:val="231F20"/>
                        <w:sz w:val="22"/>
                        <w:szCs w:val="22"/>
                      </w:rPr>
                      <w:t xml:space="preserve">模进行业务架构设计，对业务 </w:t>
                    </w:r>
                    <w:r>
                      <w:rPr>
                        <w:rFonts w:ascii="微软雅黑" w:hAnsi="微软雅黑" w:eastAsia="微软雅黑" w:cs="微软雅黑"/>
                        <w:color w:val="231F20"/>
                        <w:spacing w:val="-5"/>
                        <w:sz w:val="22"/>
                        <w:szCs w:val="22"/>
                      </w:rPr>
                      <w:t>进行端到端的价值链分析，推动业务建模标准化。同时，</w:t>
                    </w:r>
                    <w:r>
                      <w:rPr>
                        <w:rFonts w:ascii="微软雅黑" w:hAnsi="微软雅黑" w:eastAsia="微软雅黑" w:cs="微软雅黑"/>
                        <w:color w:val="231F20"/>
                        <w:spacing w:val="26"/>
                        <w:w w:val="101"/>
                        <w:sz w:val="22"/>
                        <w:szCs w:val="22"/>
                      </w:rPr>
                      <w:t xml:space="preserve">  </w:t>
                    </w:r>
                    <w:r>
                      <w:rPr>
                        <w:rFonts w:ascii="微软雅黑" w:hAnsi="微软雅黑" w:eastAsia="微软雅黑" w:cs="微软雅黑"/>
                        <w:color w:val="231F20"/>
                        <w:spacing w:val="-5"/>
                        <w:sz w:val="22"/>
                        <w:szCs w:val="22"/>
                      </w:rPr>
                      <w:t>以建模成果为指导对各 IT</w:t>
                    </w:r>
                  </w:p>
                </w:txbxContent>
              </v:textbox>
            </v:shape>
            <v:group id="_x0000_s1316" o:spid="_x0000_s1316" o:spt="203" style="position:absolute;left:8871;top:171;height:3792;width:303;" coordsize="303,3792">
              <o:lock v:ext="edit"/>
              <v:shape id="_x0000_s1317" o:spid="_x0000_s1317" style="position:absolute;left:28;top:1;height:3732;width:275;" filled="f" stroked="t" coordsize="275,3732" path="m264,3721l264,406m260,319c247,220,198,27,10,10e">
                <v:fill on="f" focussize="0,0"/>
                <v:stroke weight="1pt" color="#648676" miterlimit="4" dashstyle="dash" endcap="round"/>
                <v:imagedata o:title=""/>
                <o:lock v:ext="edit"/>
              </v:shape>
              <v:shape id="_x0000_s1318" o:spid="_x0000_s1318" style="position:absolute;left:0;top:0;height:3792;width:303;" filled="f" stroked="t" coordsize="303,3792" path="m293,3782l293,3782m293,377l293,377m10,10l10,10e">
                <v:fill on="f" focussize="0,0"/>
                <v:stroke weight="1pt" color="#648676" miterlimit="4" endcap="round"/>
                <v:imagedata o:title=""/>
                <o:lock v:ext="edit"/>
              </v:shape>
            </v:group>
            <v:group id="_x0000_s1319" o:spid="_x0000_s1319" o:spt="203" style="position:absolute;left:524;top:171;height:20;width:8307;" coordsize="8307,20">
              <o:lock v:ext="edit"/>
              <v:shape id="_x0000_s1320" o:spid="_x0000_s1320" style="position:absolute;left:30;top:0;height:20;width:8277;" filled="f" stroked="t" coordsize="8277,20" path="m8266,10l10,10e">
                <v:fill on="f" focussize="0,0"/>
                <v:stroke weight="1pt" color="#648676" miterlimit="4" dashstyle="dash" endcap="round"/>
                <v:imagedata o:title=""/>
                <o:lock v:ext="edit"/>
              </v:shape>
              <v:shape id="_x0000_s1321" o:spid="_x0000_s1321" style="position:absolute;left:0;top:0;height:20;width:20;" filled="f" stroked="t" coordsize="20,20" path="m10,10l10,10e">
                <v:fill on="f" focussize="0,0"/>
                <v:stroke weight="1pt" color="#648676" miterlimit="4" endcap="round"/>
                <v:imagedata o:title=""/>
                <o:lock v:ext="edit"/>
              </v:shape>
            </v:group>
            <w10:wrap type="none"/>
            <w10:anchorlock/>
          </v:group>
        </w:pict>
      </w:r>
    </w:p>
    <w:p w14:paraId="76F428E2">
      <w:pPr>
        <w:pStyle w:val="2"/>
      </w:pPr>
    </w:p>
    <w:p w14:paraId="60D0C7BD">
      <w:pPr>
        <w:pStyle w:val="2"/>
      </w:pPr>
    </w:p>
    <w:p w14:paraId="026C6E72">
      <w:pPr>
        <w:spacing w:before="79" w:line="212" w:lineRule="auto"/>
        <w:ind w:left="5513"/>
        <w:rPr>
          <w:rFonts w:hint="eastAsia" w:ascii="宋体" w:hAnsi="宋体" w:eastAsia="宋体" w:cs="宋体"/>
          <w:sz w:val="24"/>
          <w:szCs w:val="24"/>
          <w:lang w:eastAsia="zh-CN"/>
        </w:rPr>
      </w:pPr>
      <w:r>
        <w:pict>
          <v:shape id="_x0000_s1322" o:spid="_x0000_s1322" o:spt="202" type="#_x0000_t202" style="position:absolute;left:0pt;margin-left:240.95pt;margin-top:-1.75pt;height:11.3pt;width:13pt;z-index:251892736;mso-width-relative:page;mso-height-relative:page;" filled="f" stroked="f" coordsize="21600,21600">
            <v:path/>
            <v:fill on="f" focussize="0,0"/>
            <v:stroke on="f"/>
            <v:imagedata o:title=""/>
            <o:lock v:ext="edit" aspectratio="f"/>
            <v:textbox inset="0mm,0mm,0mm,0mm">
              <w:txbxContent>
                <w:p w14:paraId="06C5569E">
                  <w:pPr>
                    <w:pStyle w:val="2"/>
                    <w:spacing w:before="20" w:line="194" w:lineRule="auto"/>
                    <w:ind w:left="20"/>
                    <w:rPr>
                      <w:sz w:val="20"/>
                      <w:szCs w:val="20"/>
                    </w:rPr>
                  </w:pPr>
                  <w:r>
                    <w:rPr>
                      <w:color w:val="231F20"/>
                      <w:spacing w:val="-1"/>
                      <w:sz w:val="20"/>
                      <w:szCs w:val="20"/>
                    </w:rPr>
                    <w:t>40</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0A0707AF">
      <w:pPr>
        <w:spacing w:line="212" w:lineRule="auto"/>
        <w:rPr>
          <w:rFonts w:ascii="宋体" w:hAnsi="宋体" w:eastAsia="宋体" w:cs="宋体"/>
          <w:sz w:val="24"/>
          <w:szCs w:val="24"/>
        </w:rPr>
        <w:sectPr>
          <w:pgSz w:w="11906" w:h="16158"/>
          <w:pgMar w:top="400" w:right="1178" w:bottom="400" w:left="1004" w:header="0" w:footer="0" w:gutter="0"/>
          <w:cols w:space="720" w:num="1"/>
        </w:sectPr>
      </w:pPr>
    </w:p>
    <w:p w14:paraId="2D139EDF">
      <w:pPr>
        <w:pStyle w:val="2"/>
        <w:spacing w:line="349" w:lineRule="auto"/>
      </w:pPr>
    </w:p>
    <w:p w14:paraId="70C53066">
      <w:pPr>
        <w:pStyle w:val="2"/>
        <w:spacing w:line="350" w:lineRule="auto"/>
      </w:pPr>
    </w:p>
    <w:p w14:paraId="19B39393">
      <w:pPr>
        <w:spacing w:before="80" w:line="182" w:lineRule="auto"/>
        <w:rPr>
          <w:rFonts w:ascii="Segoe UI" w:hAnsi="Segoe UI" w:eastAsia="Segoe UI" w:cs="Segoe UI"/>
          <w:sz w:val="24"/>
          <w:szCs w:val="24"/>
        </w:rPr>
      </w:pPr>
      <w:r>
        <w:rPr>
          <w:rFonts w:ascii="Segoe UI" w:hAnsi="Segoe UI" w:eastAsia="Segoe UI" w:cs="Segoe UI"/>
          <w:b/>
          <w:bCs/>
          <w:color w:val="648676"/>
          <w:spacing w:val="25"/>
          <w:w w:val="111"/>
          <w:sz w:val="24"/>
          <w:szCs w:val="24"/>
        </w:rPr>
        <w:t>CHAPTER -4</w:t>
      </w:r>
    </w:p>
    <w:p w14:paraId="082C5306">
      <w:pPr>
        <w:spacing w:before="55" w:line="178" w:lineRule="auto"/>
        <w:ind w:left="405"/>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数据资产管理实践步骤</w:t>
      </w:r>
    </w:p>
    <w:p w14:paraId="0A334FF9">
      <w:pPr>
        <w:pStyle w:val="2"/>
        <w:spacing w:line="244" w:lineRule="auto"/>
      </w:pPr>
    </w:p>
    <w:p w14:paraId="44053DC2">
      <w:pPr>
        <w:pStyle w:val="2"/>
        <w:spacing w:line="245" w:lineRule="auto"/>
      </w:pPr>
    </w:p>
    <w:p w14:paraId="4A02CCDD">
      <w:pPr>
        <w:pStyle w:val="2"/>
        <w:spacing w:line="245" w:lineRule="auto"/>
      </w:pPr>
    </w:p>
    <w:p w14:paraId="2194A873">
      <w:pPr>
        <w:pStyle w:val="2"/>
        <w:spacing w:line="245" w:lineRule="auto"/>
      </w:pPr>
    </w:p>
    <w:p w14:paraId="2627CF63">
      <w:pPr>
        <w:spacing w:line="6109" w:lineRule="exact"/>
        <w:ind w:firstLine="242"/>
      </w:pPr>
      <w:r>
        <w:pict>
          <v:group id="_x0000_s1323" o:spid="_x0000_s1323" o:spt="203" style="position:absolute;left:0pt;margin-left:455.4pt;margin-top:12.25pt;height:280.25pt;width:15.2pt;z-index:251895808;mso-width-relative:page;mso-height-relative:page;" coordsize="303,5605">
            <o:lock v:ext="edit"/>
            <v:shape id="_x0000_s1324" o:spid="_x0000_s1324" style="position:absolute;left:28;top:59;height:5544;width:275;" filled="f" stroked="t" coordsize="275,5544" path="m264,10l264,5136m260,5224c247,5322,198,5515,10,5533e">
              <v:fill on="f" focussize="0,0"/>
              <v:stroke weight="1pt" color="#648676" miterlimit="4" dashstyle="dash" endcap="round"/>
              <v:imagedata o:title=""/>
              <o:lock v:ext="edit"/>
            </v:shape>
            <v:shape id="_x0000_s1325" o:spid="_x0000_s1325" style="position:absolute;left:0;top:0;height:5605;width:303;" filled="f" stroked="t" coordsize="303,5605" path="m293,10l293,10m293,5226l293,5226m10,5594l10,5594e">
              <v:fill on="f" focussize="0,0"/>
              <v:stroke weight="1pt" color="#648676" miterlimit="4" endcap="round"/>
              <v:imagedata o:title=""/>
              <o:lock v:ext="edit"/>
            </v:shape>
          </v:group>
        </w:pict>
      </w:r>
      <w:r>
        <w:rPr>
          <w:position w:val="-122"/>
        </w:rPr>
        <w:pict>
          <v:group id="_x0000_s1326" o:spid="_x0000_s1326" o:spt="203" style="height:305.45pt;width:470.3pt;" coordsize="9405,6109">
            <o:lock v:ext="edit"/>
            <v:rect id="_x0000_s1327" o:spid="_x0000_s1327" o:spt="1" style="position:absolute;left:0;top:0;height:6109;width:9405;" fillcolor="#E9F6FE" filled="t" stroked="f" coordsize="21600,21600">
              <v:path/>
              <v:fill on="t" focussize="0,0"/>
              <v:stroke on="f"/>
              <v:imagedata o:title=""/>
              <o:lock v:ext="edit"/>
            </v:rect>
            <v:shape id="_x0000_s1328" o:spid="_x0000_s1328" o:spt="202" type="#_x0000_t202" style="position:absolute;left:711;top:226;height:5355;width:8057;" filled="f" stroked="f" coordsize="21600,21600">
              <v:path/>
              <v:fill on="f" focussize="0,0"/>
              <v:stroke on="f"/>
              <v:imagedata o:title=""/>
              <o:lock v:ext="edit" aspectratio="f"/>
              <v:textbox inset="0mm,0mm,0mm,0mm">
                <w:txbxContent>
                  <w:p w14:paraId="3EAC7AC4">
                    <w:pPr>
                      <w:spacing w:before="18" w:line="291" w:lineRule="auto"/>
                      <w:ind w:left="20" w:right="20" w:firstLine="1"/>
                      <w:jc w:val="both"/>
                      <w:rPr>
                        <w:rFonts w:ascii="微软雅黑" w:hAnsi="微软雅黑" w:eastAsia="微软雅黑" w:cs="微软雅黑"/>
                        <w:sz w:val="22"/>
                        <w:szCs w:val="22"/>
                      </w:rPr>
                    </w:pPr>
                    <w:bookmarkStart w:id="47" w:name="bookmark47"/>
                    <w:bookmarkEnd w:id="47"/>
                    <w:r>
                      <w:rPr>
                        <w:rFonts w:ascii="微软雅黑" w:hAnsi="微软雅黑" w:eastAsia="微软雅黑" w:cs="微软雅黑"/>
                        <w:color w:val="231F20"/>
                        <w:spacing w:val="1"/>
                        <w:sz w:val="22"/>
                        <w:szCs w:val="22"/>
                      </w:rPr>
                      <w:t>系统现状进行对接分析，基于对接分析结果，采用工程统一</w:t>
                    </w:r>
                    <w:r>
                      <w:rPr>
                        <w:rFonts w:ascii="微软雅黑" w:hAnsi="微软雅黑" w:eastAsia="微软雅黑" w:cs="微软雅黑"/>
                        <w:color w:val="231F20"/>
                        <w:sz w:val="22"/>
                        <w:szCs w:val="22"/>
                      </w:rPr>
                      <w:t xml:space="preserve">计划与具体业务项目结  </w:t>
                    </w:r>
                    <w:r>
                      <w:rPr>
                        <w:rFonts w:ascii="微软雅黑" w:hAnsi="微软雅黑" w:eastAsia="微软雅黑" w:cs="微软雅黑"/>
                        <w:color w:val="231F20"/>
                        <w:spacing w:val="1"/>
                        <w:sz w:val="22"/>
                        <w:szCs w:val="22"/>
                      </w:rPr>
                      <w:t>合的方式推进落地。此外，搭建了架构资产管</w:t>
                    </w:r>
                    <w:r>
                      <w:rPr>
                        <w:rFonts w:ascii="微软雅黑" w:hAnsi="微软雅黑" w:eastAsia="微软雅黑" w:cs="微软雅黑"/>
                        <w:color w:val="231F20"/>
                        <w:sz w:val="22"/>
                        <w:szCs w:val="22"/>
                      </w:rPr>
                      <w:t>控系统，通过承接企业战略、业务架  构、IT 架构等架构资产和模型，实现全行架构资产的合理布局</w:t>
                    </w:r>
                    <w:r>
                      <w:rPr>
                        <w:rFonts w:ascii="微软雅黑" w:hAnsi="微软雅黑" w:eastAsia="微软雅黑" w:cs="微软雅黑"/>
                        <w:color w:val="231F20"/>
                        <w:spacing w:val="-1"/>
                        <w:sz w:val="22"/>
                        <w:szCs w:val="22"/>
                      </w:rPr>
                      <w:t>和集中管控，建设架</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构资产管控完整工具链，支持项目研发工具链各系统</w:t>
                    </w:r>
                    <w:r>
                      <w:rPr>
                        <w:rFonts w:ascii="微软雅黑" w:hAnsi="微软雅黑" w:eastAsia="微软雅黑" w:cs="微软雅黑"/>
                        <w:color w:val="231F20"/>
                        <w:spacing w:val="-4"/>
                        <w:sz w:val="22"/>
                        <w:szCs w:val="22"/>
                      </w:rPr>
                      <w:t>与架构管控平台进行联动对接，</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实现架构资产的全流程管理和维护。从 2019 年至今，企业级架构资产管控的成果</w:t>
                    </w:r>
                    <w:r>
                      <w:rPr>
                        <w:rFonts w:ascii="微软雅黑" w:hAnsi="微软雅黑" w:eastAsia="微软雅黑" w:cs="微软雅黑"/>
                        <w:color w:val="231F20"/>
                        <w:spacing w:val="2"/>
                        <w:sz w:val="22"/>
                        <w:szCs w:val="22"/>
                      </w:rPr>
                      <w:t xml:space="preserve">  </w:t>
                    </w:r>
                    <w:r>
                      <w:rPr>
                        <w:rFonts w:ascii="微软雅黑" w:hAnsi="微软雅黑" w:eastAsia="微软雅黑" w:cs="微软雅黑"/>
                        <w:color w:val="231F20"/>
                        <w:spacing w:val="-1"/>
                        <w:sz w:val="22"/>
                        <w:szCs w:val="22"/>
                      </w:rPr>
                      <w:t>已应用于个人账户、对公存款等核心业务领域。</w:t>
                    </w:r>
                  </w:p>
                  <w:p w14:paraId="5262060F">
                    <w:pPr>
                      <w:spacing w:before="26" w:line="279" w:lineRule="auto"/>
                      <w:ind w:left="20" w:right="20" w:firstLine="492"/>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中国工商银行在业务建模的基础上，将数据作为衔接业务与</w:t>
                    </w:r>
                    <w:r>
                      <w:rPr>
                        <w:rFonts w:ascii="微软雅黑" w:hAnsi="微软雅黑" w:eastAsia="微软雅黑" w:cs="微软雅黑"/>
                        <w:color w:val="231F20"/>
                        <w:spacing w:val="22"/>
                        <w:sz w:val="22"/>
                        <w:szCs w:val="22"/>
                      </w:rPr>
                      <w:t xml:space="preserve"> </w:t>
                    </w:r>
                    <w:r>
                      <w:rPr>
                        <w:rFonts w:ascii="微软雅黑" w:hAnsi="微软雅黑" w:eastAsia="微软雅黑" w:cs="微软雅黑"/>
                        <w:color w:val="231F20"/>
                        <w:sz w:val="22"/>
                        <w:szCs w:val="22"/>
                      </w:rPr>
                      <w:t>IT</w:t>
                    </w:r>
                    <w:r>
                      <w:rPr>
                        <w:rFonts w:ascii="微软雅黑" w:hAnsi="微软雅黑" w:eastAsia="微软雅黑" w:cs="微软雅黑"/>
                        <w:color w:val="231F20"/>
                        <w:spacing w:val="2"/>
                        <w:sz w:val="22"/>
                        <w:szCs w:val="22"/>
                      </w:rPr>
                      <w:t xml:space="preserve"> 的桥梁</w:t>
                    </w:r>
                    <w:r>
                      <w:rPr>
                        <w:rFonts w:ascii="微软雅黑" w:hAnsi="微软雅黑" w:eastAsia="微软雅黑" w:cs="微软雅黑"/>
                        <w:color w:val="231F20"/>
                        <w:spacing w:val="1"/>
                        <w:sz w:val="22"/>
                        <w:szCs w:val="22"/>
                      </w:rPr>
                      <w:t>，实现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6"/>
                        <w:sz w:val="22"/>
                        <w:szCs w:val="22"/>
                      </w:rPr>
                      <w:t>了业务、数据、</w:t>
                    </w:r>
                    <w:r>
                      <w:rPr>
                        <w:rFonts w:ascii="微软雅黑" w:hAnsi="微软雅黑" w:eastAsia="微软雅黑" w:cs="微软雅黑"/>
                        <w:color w:val="231F20"/>
                        <w:sz w:val="22"/>
                        <w:szCs w:val="22"/>
                      </w:rPr>
                      <w:t>IT</w:t>
                    </w:r>
                    <w:r>
                      <w:rPr>
                        <w:rFonts w:ascii="微软雅黑" w:hAnsi="微软雅黑" w:eastAsia="微软雅黑" w:cs="微软雅黑"/>
                        <w:color w:val="231F20"/>
                        <w:spacing w:val="6"/>
                        <w:sz w:val="22"/>
                        <w:szCs w:val="22"/>
                      </w:rPr>
                      <w:t xml:space="preserve"> 的一致性。一方面，通过在架构资产管控系统基于企业架构和</w:t>
                    </w:r>
                    <w:r>
                      <w:rPr>
                        <w:rFonts w:ascii="微软雅黑" w:hAnsi="微软雅黑" w:eastAsia="微软雅黑" w:cs="微软雅黑"/>
                        <w:color w:val="231F20"/>
                        <w:sz w:val="22"/>
                        <w:szCs w:val="22"/>
                      </w:rPr>
                      <w:t xml:space="preserve">  业务模型，依据相关标准规范，设计企业级数据模型，实现业务与数据的一致性。</w:t>
                    </w:r>
                    <w:r>
                      <w:rPr>
                        <w:rFonts w:ascii="微软雅黑" w:hAnsi="微软雅黑" w:eastAsia="微软雅黑" w:cs="微软雅黑"/>
                        <w:color w:val="231F20"/>
                        <w:spacing w:val="6"/>
                        <w:sz w:val="22"/>
                        <w:szCs w:val="22"/>
                      </w:rPr>
                      <w:t xml:space="preserve">  </w:t>
                    </w:r>
                    <w:r>
                      <w:rPr>
                        <w:rFonts w:ascii="微软雅黑" w:hAnsi="微软雅黑" w:eastAsia="微软雅黑" w:cs="微软雅黑"/>
                        <w:color w:val="231F20"/>
                        <w:spacing w:val="-2"/>
                        <w:sz w:val="22"/>
                        <w:szCs w:val="22"/>
                      </w:rPr>
                      <w:t>另一方面，在研发与测试管理系统进行 I</w:t>
                    </w:r>
                    <w:r>
                      <w:rPr>
                        <w:rFonts w:ascii="微软雅黑" w:hAnsi="微软雅黑" w:eastAsia="微软雅黑" w:cs="微软雅黑"/>
                        <w:color w:val="231F20"/>
                        <w:spacing w:val="-3"/>
                        <w:sz w:val="22"/>
                        <w:szCs w:val="22"/>
                      </w:rPr>
                      <w:t>T 项目需求分析，确认 IT 项目涉及的业务，</w:t>
                    </w:r>
                    <w:r>
                      <w:rPr>
                        <w:rFonts w:ascii="微软雅黑" w:hAnsi="微软雅黑" w:eastAsia="微软雅黑" w:cs="微软雅黑"/>
                        <w:color w:val="231F20"/>
                        <w:sz w:val="22"/>
                        <w:szCs w:val="22"/>
                      </w:rPr>
                      <w:t xml:space="preserve"> 并通过架构资产管控系统与元数据管理系统联动，完成物理表及表间关系的注册、</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2"/>
                        <w:sz w:val="22"/>
                        <w:szCs w:val="22"/>
                      </w:rPr>
                      <w:t>开发与维护，实现数据与 IT 的一致性。</w:t>
                    </w:r>
                  </w:p>
                </w:txbxContent>
              </v:textbox>
            </v:shape>
            <v:group id="_x0000_s1329" o:spid="_x0000_s1329" o:spt="203" style="position:absolute;left:235;top:244;height:5595;width:247;" coordsize="247,5595">
              <o:lock v:ext="edit"/>
              <v:shape id="_x0000_s1330" o:spid="_x0000_s1330" style="position:absolute;left:0;top:29;height:5565;width:247;" filled="f" stroked="t" coordsize="247,5565" path="m236,5555c157,5535,20,5464,10,5225m10,5136l10,10e">
                <v:fill on="f" focussize="0,0"/>
                <v:stroke weight="1pt" color="#648676" miterlimit="4" dashstyle="dash" endcap="round"/>
                <v:imagedata o:title=""/>
                <o:lock v:ext="edit"/>
              </v:shape>
              <v:shape id="_x0000_s1331" o:spid="_x0000_s1331" style="position:absolute;left:0;top:0;height:5237;width:20;" filled="f" stroked="t" coordsize="20,5237" path="m10,5226l10,5226m10,10l10,10e">
                <v:fill on="f" focussize="0,0"/>
                <v:stroke weight="1pt" color="#648676" miterlimit="4" endcap="round"/>
                <v:imagedata o:title=""/>
                <o:lock v:ext="edit"/>
              </v:shape>
            </v:group>
            <v:group id="_x0000_s1332" o:spid="_x0000_s1332" o:spt="203" style="position:absolute;left:519;top:5829;height:20;width:8307;" coordsize="8307,20">
              <o:lock v:ext="edit"/>
              <v:shape id="_x0000_s1333" o:spid="_x0000_s1333" style="position:absolute;left:30;top:0;height:20;width:8277;" filled="f" stroked="t" coordsize="8277,20" path="m8266,10l10,10e">
                <v:fill on="f" focussize="0,0"/>
                <v:stroke weight="1pt" color="#648676" miterlimit="4" dashstyle="dash" endcap="round"/>
                <v:imagedata o:title=""/>
                <o:lock v:ext="edit"/>
              </v:shape>
              <v:shape id="_x0000_s1334" o:spid="_x0000_s1334" style="position:absolute;left:0;top:0;height:20;width:20;" filled="f" stroked="t" coordsize="20,20" path="m10,10l10,10e">
                <v:fill on="f" focussize="0,0"/>
                <v:stroke weight="1pt" color="#648676" miterlimit="4" endcap="round"/>
                <v:imagedata o:title=""/>
                <o:lock v:ext="edit"/>
              </v:shape>
            </v:group>
            <w10:wrap type="none"/>
            <w10:anchorlock/>
          </v:group>
        </w:pict>
      </w:r>
    </w:p>
    <w:p w14:paraId="79F9F9F8">
      <w:pPr>
        <w:pStyle w:val="2"/>
        <w:spacing w:line="333" w:lineRule="auto"/>
      </w:pPr>
    </w:p>
    <w:p w14:paraId="016883EB">
      <w:pPr>
        <w:pStyle w:val="2"/>
        <w:spacing w:line="333" w:lineRule="auto"/>
      </w:pPr>
    </w:p>
    <w:p w14:paraId="2AF4A6CC">
      <w:pPr>
        <w:spacing w:before="120" w:line="207" w:lineRule="auto"/>
        <w:ind w:left="261"/>
        <w:rPr>
          <w:rFonts w:ascii="微软雅黑" w:hAnsi="微软雅黑" w:eastAsia="微软雅黑" w:cs="微软雅黑"/>
          <w:sz w:val="28"/>
          <w:szCs w:val="28"/>
        </w:rPr>
      </w:pPr>
      <w:r>
        <w:rPr>
          <w:rFonts w:ascii="微软雅黑" w:hAnsi="微软雅黑" w:eastAsia="微软雅黑" w:cs="微软雅黑"/>
          <w:color w:val="648676"/>
          <w:spacing w:val="9"/>
          <w:sz w:val="28"/>
          <w:szCs w:val="28"/>
        </w:rPr>
        <w:t>( 四</w:t>
      </w:r>
      <w:r>
        <w:rPr>
          <w:rFonts w:ascii="微软雅黑" w:hAnsi="微软雅黑" w:eastAsia="微软雅黑" w:cs="微软雅黑"/>
          <w:color w:val="648676"/>
          <w:spacing w:val="14"/>
          <w:sz w:val="28"/>
          <w:szCs w:val="28"/>
        </w:rPr>
        <w:t xml:space="preserve"> </w:t>
      </w:r>
      <w:r>
        <w:rPr>
          <w:rFonts w:ascii="微软雅黑" w:hAnsi="微软雅黑" w:eastAsia="微软雅黑" w:cs="微软雅黑"/>
          <w:color w:val="648676"/>
          <w:spacing w:val="9"/>
          <w:sz w:val="28"/>
          <w:szCs w:val="28"/>
        </w:rPr>
        <w:t>)</w:t>
      </w:r>
      <w:r>
        <w:rPr>
          <w:rFonts w:ascii="微软雅黑" w:hAnsi="微软雅黑" w:eastAsia="微软雅黑" w:cs="微软雅黑"/>
          <w:color w:val="648676"/>
          <w:spacing w:val="29"/>
          <w:sz w:val="28"/>
          <w:szCs w:val="28"/>
        </w:rPr>
        <w:t xml:space="preserve"> </w:t>
      </w:r>
      <w:r>
        <w:rPr>
          <w:rFonts w:ascii="微软雅黑" w:hAnsi="微软雅黑" w:eastAsia="微软雅黑" w:cs="微软雅黑"/>
          <w:color w:val="648676"/>
          <w:spacing w:val="9"/>
          <w:sz w:val="28"/>
          <w:szCs w:val="28"/>
        </w:rPr>
        <w:t>第四阶段：资产运营</w:t>
      </w:r>
    </w:p>
    <w:p w14:paraId="1577F26D">
      <w:pPr>
        <w:pStyle w:val="2"/>
        <w:spacing w:line="410" w:lineRule="auto"/>
      </w:pPr>
    </w:p>
    <w:p w14:paraId="4C27B428">
      <w:pPr>
        <w:spacing w:before="95" w:line="289" w:lineRule="auto"/>
        <w:ind w:left="247" w:firstLine="483"/>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在前三个阶段的基础上，组织具备向数据资产转变的基础。数据资产管理的第四个阶段是资</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4"/>
          <w:sz w:val="22"/>
          <w:szCs w:val="22"/>
        </w:rPr>
        <w:t>产运营阶段，该阶段的主要目标是通过构建数据资产价值评估体系与运营策略</w:t>
      </w:r>
      <w:r>
        <w:rPr>
          <w:rFonts w:ascii="微软雅黑" w:hAnsi="微软雅黑" w:eastAsia="微软雅黑" w:cs="微软雅黑"/>
          <w:color w:val="231F20"/>
          <w:spacing w:val="3"/>
          <w:sz w:val="22"/>
          <w:szCs w:val="22"/>
        </w:rPr>
        <w:t>，促进数据内外部</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流通，建立管理方与使用方的反馈与激励机制，推动数据资产价值释放。详细阐述见第二章第</w:t>
      </w:r>
      <w:r>
        <w:rPr>
          <w:rFonts w:ascii="微软雅黑" w:hAnsi="微软雅黑" w:eastAsia="微软雅黑" w:cs="微软雅黑"/>
          <w:color w:val="231F20"/>
          <w:spacing w:val="-5"/>
          <w:sz w:val="22"/>
          <w:szCs w:val="22"/>
        </w:rPr>
        <w:t>二节。</w:t>
      </w:r>
    </w:p>
    <w:p w14:paraId="13F779B7">
      <w:pPr>
        <w:spacing w:before="16" w:line="290" w:lineRule="auto"/>
        <w:ind w:left="248" w:right="96" w:firstLine="480"/>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构建数据运营中心，充分发挥数据团队对业务部门的辅助作用。数据团队提供包括自助式数</w:t>
      </w:r>
      <w:r>
        <w:rPr>
          <w:rFonts w:ascii="微软雅黑" w:hAnsi="微软雅黑" w:eastAsia="微软雅黑" w:cs="微软雅黑"/>
          <w:color w:val="231F20"/>
          <w:spacing w:val="4"/>
          <w:sz w:val="22"/>
          <w:szCs w:val="22"/>
        </w:rPr>
        <w:t xml:space="preserve"> </w:t>
      </w:r>
      <w:r>
        <w:rPr>
          <w:rFonts w:ascii="微软雅黑" w:hAnsi="微软雅黑" w:eastAsia="微软雅黑" w:cs="微软雅黑"/>
          <w:color w:val="231F20"/>
          <w:spacing w:val="2"/>
          <w:sz w:val="22"/>
          <w:szCs w:val="22"/>
        </w:rPr>
        <w:t>据服务、</w:t>
      </w:r>
      <w:r>
        <w:rPr>
          <w:rFonts w:ascii="微软雅黑" w:hAnsi="微软雅黑" w:eastAsia="微软雅黑" w:cs="微软雅黑"/>
          <w:color w:val="231F20"/>
          <w:sz w:val="22"/>
          <w:szCs w:val="22"/>
        </w:rPr>
        <w:t>AI</w:t>
      </w:r>
      <w:r>
        <w:rPr>
          <w:rFonts w:ascii="微软雅黑" w:hAnsi="微软雅黑" w:eastAsia="微软雅黑" w:cs="微软雅黑"/>
          <w:color w:val="231F20"/>
          <w:spacing w:val="2"/>
          <w:sz w:val="22"/>
          <w:szCs w:val="22"/>
        </w:rPr>
        <w:t xml:space="preserve"> 模型等在内的支持，并通过定期宣导与培训，提升业务部门的数字技术能力。此外，</w:t>
      </w:r>
      <w:r>
        <w:rPr>
          <w:rFonts w:ascii="微软雅黑" w:hAnsi="微软雅黑" w:eastAsia="微软雅黑" w:cs="微软雅黑"/>
          <w:color w:val="231F20"/>
          <w:spacing w:val="11"/>
          <w:sz w:val="22"/>
          <w:szCs w:val="22"/>
        </w:rPr>
        <w:t xml:space="preserve"> </w:t>
      </w:r>
      <w:r>
        <w:rPr>
          <w:rFonts w:ascii="微软雅黑" w:hAnsi="微软雅黑" w:eastAsia="微软雅黑" w:cs="微软雅黑"/>
          <w:color w:val="231F20"/>
          <w:spacing w:val="4"/>
          <w:sz w:val="22"/>
          <w:szCs w:val="22"/>
        </w:rPr>
        <w:t>以场景化数据资产运营为出发点，鼓励业务部门的数据资产使用各方使</w:t>
      </w:r>
      <w:r>
        <w:rPr>
          <w:rFonts w:ascii="微软雅黑" w:hAnsi="微软雅黑" w:eastAsia="微软雅黑" w:cs="微软雅黑"/>
          <w:color w:val="231F20"/>
          <w:spacing w:val="3"/>
          <w:sz w:val="22"/>
          <w:szCs w:val="22"/>
        </w:rPr>
        <w:t>用相关平台探索数据，共</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享探索成果，提出改进建议。</w:t>
      </w:r>
    </w:p>
    <w:p w14:paraId="239567A8">
      <w:pPr>
        <w:spacing w:before="15" w:line="289" w:lineRule="auto"/>
        <w:ind w:left="248" w:right="11" w:firstLine="484"/>
        <w:jc w:val="both"/>
        <w:rPr>
          <w:rFonts w:ascii="微软雅黑" w:hAnsi="微软雅黑" w:eastAsia="微软雅黑" w:cs="微软雅黑"/>
          <w:sz w:val="22"/>
          <w:szCs w:val="22"/>
        </w:rPr>
      </w:pPr>
      <w:r>
        <w:rPr>
          <w:rFonts w:ascii="微软雅黑" w:hAnsi="微软雅黑" w:eastAsia="微软雅黑" w:cs="微软雅黑"/>
          <w:color w:val="231F20"/>
          <w:spacing w:val="-6"/>
          <w:sz w:val="22"/>
          <w:szCs w:val="22"/>
        </w:rPr>
        <w:t>以数据赋能业务发展为主要目标，构建数据资产价值评估和数据运营指标体系。从业务侧出发，</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6"/>
          <w:sz w:val="22"/>
          <w:szCs w:val="22"/>
        </w:rPr>
        <w:t>覆盖各业务条线和数据场景的数据资产规模、数据资产质量等， 从内在价值、经济价值、成本价值、</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pacing w:val="4"/>
          <w:sz w:val="22"/>
          <w:szCs w:val="22"/>
        </w:rPr>
        <w:t>市场价值等方面构建数据资产价值评估体系。此外，建立数据资产数字化运营大屏，直</w:t>
      </w:r>
      <w:r>
        <w:rPr>
          <w:rFonts w:ascii="微软雅黑" w:hAnsi="微软雅黑" w:eastAsia="微软雅黑" w:cs="微软雅黑"/>
          <w:color w:val="231F20"/>
          <w:spacing w:val="3"/>
          <w:sz w:val="22"/>
          <w:szCs w:val="22"/>
        </w:rPr>
        <w:t>观展示数</w:t>
      </w:r>
    </w:p>
    <w:p w14:paraId="32919FDD">
      <w:pPr>
        <w:pStyle w:val="2"/>
        <w:spacing w:before="252" w:line="194" w:lineRule="auto"/>
        <w:ind w:left="4839"/>
        <w:rPr>
          <w:sz w:val="20"/>
          <w:szCs w:val="20"/>
        </w:rPr>
      </w:pPr>
      <w:r>
        <w:pict>
          <v:shape id="_x0000_s1335" o:spid="_x0000_s1335" o:spt="202" type="#_x0000_t202" style="position:absolute;left:0pt;margin-left:274.65pt;margin-top:16.25pt;height:15.95pt;width:199.4pt;z-index:251894784;mso-width-relative:page;mso-height-relative:page;" filled="f" stroked="f" coordsize="21600,21600">
            <v:path/>
            <v:fill on="f" focussize="0,0"/>
            <v:stroke on="f"/>
            <v:imagedata o:title=""/>
            <o:lock v:ext="edit" aspectratio="f"/>
            <v:textbox inset="0mm,0mm,0mm,0mm">
              <w:txbxContent>
                <w:p w14:paraId="078E4167">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1"/>
          <w:sz w:val="20"/>
          <w:szCs w:val="20"/>
        </w:rPr>
        <w:t>41</w:t>
      </w:r>
    </w:p>
    <w:p w14:paraId="5A7A1987">
      <w:pPr>
        <w:spacing w:line="194" w:lineRule="auto"/>
        <w:rPr>
          <w:sz w:val="20"/>
          <w:szCs w:val="20"/>
        </w:rPr>
        <w:sectPr>
          <w:pgSz w:w="11906" w:h="16158"/>
          <w:pgMar w:top="400" w:right="1150" w:bottom="400" w:left="1004" w:header="0" w:footer="0" w:gutter="0"/>
          <w:cols w:space="720" w:num="1"/>
        </w:sectPr>
      </w:pPr>
    </w:p>
    <w:p w14:paraId="7541925C">
      <w:pPr>
        <w:pStyle w:val="2"/>
        <w:spacing w:line="349" w:lineRule="auto"/>
      </w:pPr>
    </w:p>
    <w:p w14:paraId="285347A9">
      <w:pPr>
        <w:pStyle w:val="2"/>
        <w:spacing w:line="350" w:lineRule="auto"/>
      </w:pPr>
    </w:p>
    <w:p w14:paraId="00BDF97E">
      <w:pPr>
        <w:spacing w:before="80" w:line="182" w:lineRule="auto"/>
        <w:rPr>
          <w:rFonts w:ascii="Segoe UI" w:hAnsi="Segoe UI" w:eastAsia="Segoe UI" w:cs="Segoe UI"/>
          <w:sz w:val="24"/>
          <w:szCs w:val="24"/>
        </w:rPr>
      </w:pPr>
      <w:r>
        <w:rPr>
          <w:rFonts w:ascii="Segoe UI" w:hAnsi="Segoe UI" w:eastAsia="Segoe UI" w:cs="Segoe UI"/>
          <w:b/>
          <w:bCs/>
          <w:color w:val="648676"/>
          <w:spacing w:val="25"/>
          <w:w w:val="111"/>
          <w:sz w:val="24"/>
          <w:szCs w:val="24"/>
        </w:rPr>
        <w:t>CHAPTER -4</w:t>
      </w:r>
    </w:p>
    <w:p w14:paraId="5F0E4442">
      <w:pPr>
        <w:spacing w:before="55" w:line="178" w:lineRule="auto"/>
        <w:ind w:left="405"/>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数据资产管理实践步骤</w:t>
      </w:r>
    </w:p>
    <w:p w14:paraId="62EF4E74">
      <w:pPr>
        <w:pStyle w:val="2"/>
        <w:spacing w:line="292" w:lineRule="auto"/>
      </w:pPr>
    </w:p>
    <w:p w14:paraId="0063B39B">
      <w:pPr>
        <w:pStyle w:val="2"/>
        <w:spacing w:line="292" w:lineRule="auto"/>
      </w:pPr>
    </w:p>
    <w:p w14:paraId="56EBCA15">
      <w:pPr>
        <w:pStyle w:val="2"/>
        <w:spacing w:line="293" w:lineRule="auto"/>
      </w:pPr>
    </w:p>
    <w:p w14:paraId="5CC0646B">
      <w:pPr>
        <w:spacing w:before="95" w:line="206" w:lineRule="auto"/>
        <w:ind w:left="248"/>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据资产生态图谱，显性化数据资产应用效果。</w:t>
      </w:r>
    </w:p>
    <w:p w14:paraId="317E8D2F">
      <w:pPr>
        <w:spacing w:before="136" w:line="290" w:lineRule="auto"/>
        <w:ind w:left="247" w:firstLine="481"/>
        <w:jc w:val="both"/>
        <w:rPr>
          <w:rFonts w:ascii="微软雅黑" w:hAnsi="微软雅黑" w:eastAsia="微软雅黑" w:cs="微软雅黑"/>
          <w:sz w:val="22"/>
          <w:szCs w:val="22"/>
        </w:rPr>
      </w:pPr>
      <w:r>
        <w:rPr>
          <w:rFonts w:ascii="微软雅黑" w:hAnsi="微软雅黑" w:eastAsia="微软雅黑" w:cs="微软雅黑"/>
          <w:color w:val="231F20"/>
          <w:spacing w:val="24"/>
          <w:sz w:val="22"/>
          <w:szCs w:val="22"/>
        </w:rPr>
        <w:t xml:space="preserve">建立用户视角下的 </w:t>
      </w:r>
      <w:r>
        <w:rPr>
          <w:rFonts w:ascii="微软雅黑" w:hAnsi="微软雅黑" w:eastAsia="微软雅黑" w:cs="微软雅黑"/>
          <w:color w:val="231F20"/>
          <w:sz w:val="22"/>
          <w:szCs w:val="22"/>
        </w:rPr>
        <w:t>SLA</w:t>
      </w:r>
      <w:r>
        <w:rPr>
          <w:rFonts w:ascii="微软雅黑" w:hAnsi="微软雅黑" w:eastAsia="微软雅黑" w:cs="微软雅黑"/>
          <w:color w:val="231F20"/>
          <w:spacing w:val="24"/>
          <w:sz w:val="22"/>
          <w:szCs w:val="22"/>
        </w:rPr>
        <w:t>（</w:t>
      </w:r>
      <w:r>
        <w:rPr>
          <w:rFonts w:ascii="微软雅黑" w:hAnsi="微软雅黑" w:eastAsia="微软雅黑" w:cs="微软雅黑"/>
          <w:color w:val="231F20"/>
          <w:sz w:val="22"/>
          <w:szCs w:val="22"/>
        </w:rPr>
        <w:t>Service</w:t>
      </w:r>
      <w:r>
        <w:rPr>
          <w:rFonts w:ascii="微软雅黑" w:hAnsi="微软雅黑" w:eastAsia="微软雅黑" w:cs="微软雅黑"/>
          <w:color w:val="231F20"/>
          <w:spacing w:val="24"/>
          <w:sz w:val="22"/>
          <w:szCs w:val="22"/>
        </w:rPr>
        <w:t>-</w:t>
      </w:r>
      <w:r>
        <w:rPr>
          <w:rFonts w:ascii="微软雅黑" w:hAnsi="微软雅黑" w:eastAsia="微软雅黑" w:cs="微软雅黑"/>
          <w:color w:val="231F20"/>
          <w:sz w:val="22"/>
          <w:szCs w:val="22"/>
        </w:rPr>
        <w:t>Level</w:t>
      </w:r>
      <w:r>
        <w:rPr>
          <w:rFonts w:ascii="微软雅黑" w:hAnsi="微软雅黑" w:eastAsia="微软雅黑" w:cs="微软雅黑"/>
          <w:color w:val="231F20"/>
          <w:spacing w:val="24"/>
          <w:sz w:val="22"/>
          <w:szCs w:val="22"/>
        </w:rPr>
        <w:t xml:space="preserve"> </w:t>
      </w:r>
      <w:r>
        <w:rPr>
          <w:rFonts w:ascii="微软雅黑" w:hAnsi="微软雅黑" w:eastAsia="微软雅黑" w:cs="微软雅黑"/>
          <w:color w:val="231F20"/>
          <w:sz w:val="22"/>
          <w:szCs w:val="22"/>
        </w:rPr>
        <w:t>Agreement</w:t>
      </w:r>
      <w:r>
        <w:rPr>
          <w:rFonts w:ascii="微软雅黑" w:hAnsi="微软雅黑" w:eastAsia="微软雅黑" w:cs="微软雅黑"/>
          <w:color w:val="231F20"/>
          <w:spacing w:val="24"/>
          <w:sz w:val="22"/>
          <w:szCs w:val="22"/>
        </w:rPr>
        <w:t>，  服务等级协议</w:t>
      </w:r>
      <w:r>
        <w:rPr>
          <w:rFonts w:ascii="微软雅黑" w:hAnsi="微软雅黑" w:eastAsia="微软雅黑" w:cs="微软雅黑"/>
          <w:color w:val="231F20"/>
          <w:spacing w:val="14"/>
          <w:sz w:val="22"/>
          <w:szCs w:val="22"/>
        </w:rPr>
        <w:t>），</w:t>
      </w:r>
      <w:r>
        <w:rPr>
          <w:rFonts w:ascii="微软雅黑" w:hAnsi="微软雅黑" w:eastAsia="微软雅黑" w:cs="微软雅黑"/>
          <w:color w:val="231F20"/>
          <w:spacing w:val="24"/>
          <w:sz w:val="22"/>
          <w:szCs w:val="22"/>
        </w:rPr>
        <w:t>并进行持续</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6"/>
          <w:sz w:val="22"/>
          <w:szCs w:val="22"/>
        </w:rPr>
        <w:t>评估和改善。</w:t>
      </w:r>
      <w:r>
        <w:rPr>
          <w:rFonts w:ascii="微软雅黑" w:hAnsi="微软雅黑" w:eastAsia="微软雅黑" w:cs="微软雅黑"/>
          <w:color w:val="231F20"/>
          <w:spacing w:val="-27"/>
          <w:sz w:val="22"/>
          <w:szCs w:val="22"/>
        </w:rPr>
        <w:t xml:space="preserve"> </w:t>
      </w:r>
      <w:r>
        <w:rPr>
          <w:rFonts w:ascii="微软雅黑" w:hAnsi="微软雅黑" w:eastAsia="微软雅黑" w:cs="微软雅黑"/>
          <w:color w:val="231F20"/>
          <w:spacing w:val="6"/>
          <w:sz w:val="22"/>
          <w:szCs w:val="22"/>
        </w:rPr>
        <w:t xml:space="preserve">区别于传统分布式大数据平台视角下的 </w:t>
      </w:r>
      <w:r>
        <w:rPr>
          <w:rFonts w:ascii="微软雅黑" w:hAnsi="微软雅黑" w:eastAsia="微软雅黑" w:cs="微软雅黑"/>
          <w:color w:val="231F20"/>
          <w:sz w:val="22"/>
          <w:szCs w:val="22"/>
        </w:rPr>
        <w:t>SLA</w:t>
      </w:r>
      <w:r>
        <w:rPr>
          <w:rFonts w:ascii="微软雅黑" w:hAnsi="微软雅黑" w:eastAsia="微软雅黑" w:cs="微软雅黑"/>
          <w:color w:val="231F20"/>
          <w:spacing w:val="6"/>
          <w:sz w:val="22"/>
          <w:szCs w:val="22"/>
        </w:rPr>
        <w:t xml:space="preserve">，数据资产管理 </w:t>
      </w:r>
      <w:r>
        <w:rPr>
          <w:rFonts w:ascii="微软雅黑" w:hAnsi="微软雅黑" w:eastAsia="微软雅黑" w:cs="微软雅黑"/>
          <w:color w:val="231F20"/>
          <w:sz w:val="22"/>
          <w:szCs w:val="22"/>
        </w:rPr>
        <w:t>SLA</w:t>
      </w:r>
      <w:r>
        <w:rPr>
          <w:rFonts w:ascii="微软雅黑" w:hAnsi="微软雅黑" w:eastAsia="微软雅黑" w:cs="微软雅黑"/>
          <w:color w:val="231F20"/>
          <w:spacing w:val="6"/>
          <w:sz w:val="22"/>
          <w:szCs w:val="22"/>
        </w:rPr>
        <w:t xml:space="preserve"> 的目标是为各数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据使用方持续、及时提供高质量数据和服务，  SLA 的核心指标包括可靠性、实时性、质量要求等，</w:t>
      </w:r>
      <w:r>
        <w:rPr>
          <w:rFonts w:ascii="微软雅黑" w:hAnsi="微软雅黑" w:eastAsia="微软雅黑" w:cs="微软雅黑"/>
          <w:color w:val="231F20"/>
          <w:spacing w:val="4"/>
          <w:sz w:val="22"/>
          <w:szCs w:val="22"/>
        </w:rPr>
        <w:t xml:space="preserve"> </w:t>
      </w:r>
      <w:r>
        <w:rPr>
          <w:rFonts w:ascii="微软雅黑" w:hAnsi="微软雅黑" w:eastAsia="微软雅黑" w:cs="微软雅黑"/>
          <w:color w:val="231F20"/>
          <w:spacing w:val="3"/>
          <w:sz w:val="22"/>
          <w:szCs w:val="22"/>
        </w:rPr>
        <w:t>贯穿数据资产管理全生命周期，覆盖数据资产管理各项活动职能，</w:t>
      </w:r>
      <w:r>
        <w:rPr>
          <w:rFonts w:ascii="微软雅黑" w:hAnsi="微软雅黑" w:eastAsia="微软雅黑" w:cs="微软雅黑"/>
          <w:color w:val="231F20"/>
          <w:spacing w:val="-27"/>
          <w:sz w:val="22"/>
          <w:szCs w:val="22"/>
        </w:rPr>
        <w:t xml:space="preserve"> </w:t>
      </w:r>
      <w:r>
        <w:rPr>
          <w:rFonts w:ascii="微软雅黑" w:hAnsi="微软雅黑" w:eastAsia="微软雅黑" w:cs="微软雅黑"/>
          <w:color w:val="231F20"/>
          <w:spacing w:val="3"/>
          <w:sz w:val="22"/>
          <w:szCs w:val="22"/>
        </w:rPr>
        <w:t>由保障措施提供基本支持，并</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 xml:space="preserve">通过采集和分析相关平台的运行日志，记录 </w:t>
      </w:r>
      <w:r>
        <w:rPr>
          <w:rFonts w:ascii="微软雅黑" w:hAnsi="微软雅黑" w:eastAsia="微软雅黑" w:cs="微软雅黑"/>
          <w:color w:val="231F20"/>
          <w:sz w:val="22"/>
          <w:szCs w:val="22"/>
        </w:rPr>
        <w:t>SLA</w:t>
      </w:r>
      <w:r>
        <w:rPr>
          <w:rFonts w:ascii="微软雅黑" w:hAnsi="微软雅黑" w:eastAsia="微软雅黑" w:cs="微软雅黑"/>
          <w:color w:val="231F20"/>
          <w:spacing w:val="1"/>
          <w:sz w:val="22"/>
          <w:szCs w:val="22"/>
        </w:rPr>
        <w:t xml:space="preserve"> 的</w:t>
      </w:r>
      <w:r>
        <w:rPr>
          <w:rFonts w:ascii="微软雅黑" w:hAnsi="微软雅黑" w:eastAsia="微软雅黑" w:cs="微软雅黑"/>
          <w:color w:val="231F20"/>
          <w:sz w:val="22"/>
          <w:szCs w:val="22"/>
        </w:rPr>
        <w:t>“断点”，改善数据资产服务的流程。</w:t>
      </w:r>
    </w:p>
    <w:p w14:paraId="444D21B3">
      <w:pPr>
        <w:spacing w:before="20" w:line="287" w:lineRule="auto"/>
        <w:ind w:left="248" w:right="76" w:firstLine="480"/>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第四阶段主要交付物包括：数据资产服务目录、数据资产价值评估体系、数据资产</w:t>
      </w:r>
      <w:r>
        <w:rPr>
          <w:rFonts w:ascii="微软雅黑" w:hAnsi="微软雅黑" w:eastAsia="微软雅黑" w:cs="微软雅黑"/>
          <w:color w:val="231F20"/>
          <w:spacing w:val="2"/>
          <w:sz w:val="22"/>
          <w:szCs w:val="22"/>
        </w:rPr>
        <w:t>流通策略</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与技术、数据资产运营指标体系。</w:t>
      </w:r>
    </w:p>
    <w:p w14:paraId="2B7B8A4E">
      <w:pPr>
        <w:pStyle w:val="2"/>
      </w:pPr>
    </w:p>
    <w:p w14:paraId="52592DBD">
      <w:pPr>
        <w:pStyle w:val="2"/>
      </w:pPr>
    </w:p>
    <w:p w14:paraId="6CDFDF81">
      <w:pPr>
        <w:pStyle w:val="2"/>
      </w:pPr>
    </w:p>
    <w:p w14:paraId="0765F170">
      <w:pPr>
        <w:pStyle w:val="2"/>
      </w:pPr>
    </w:p>
    <w:p w14:paraId="4D501246">
      <w:pPr>
        <w:pStyle w:val="2"/>
      </w:pPr>
    </w:p>
    <w:p w14:paraId="7B61FE5D">
      <w:pPr>
        <w:pStyle w:val="2"/>
      </w:pPr>
    </w:p>
    <w:p w14:paraId="528A26C0">
      <w:pPr>
        <w:pStyle w:val="2"/>
      </w:pPr>
    </w:p>
    <w:p w14:paraId="77B94F1E">
      <w:pPr>
        <w:pStyle w:val="2"/>
      </w:pPr>
    </w:p>
    <w:p w14:paraId="1EDF6ACF">
      <w:pPr>
        <w:pStyle w:val="2"/>
      </w:pPr>
    </w:p>
    <w:p w14:paraId="5D0E1AB4">
      <w:pPr>
        <w:pStyle w:val="2"/>
      </w:pPr>
    </w:p>
    <w:p w14:paraId="3FB8AF87">
      <w:pPr>
        <w:pStyle w:val="2"/>
      </w:pPr>
    </w:p>
    <w:p w14:paraId="322E433C">
      <w:pPr>
        <w:pStyle w:val="2"/>
      </w:pPr>
    </w:p>
    <w:p w14:paraId="4641A76D">
      <w:pPr>
        <w:pStyle w:val="2"/>
      </w:pPr>
    </w:p>
    <w:p w14:paraId="23E3DDA9">
      <w:pPr>
        <w:pStyle w:val="2"/>
      </w:pPr>
    </w:p>
    <w:p w14:paraId="52DE81FE">
      <w:pPr>
        <w:pStyle w:val="2"/>
      </w:pPr>
    </w:p>
    <w:p w14:paraId="1D2ACEDB">
      <w:pPr>
        <w:pStyle w:val="2"/>
      </w:pPr>
    </w:p>
    <w:p w14:paraId="21A0C9C2">
      <w:pPr>
        <w:pStyle w:val="2"/>
      </w:pPr>
    </w:p>
    <w:p w14:paraId="7CE8CC92">
      <w:pPr>
        <w:pStyle w:val="2"/>
      </w:pPr>
    </w:p>
    <w:p w14:paraId="591CB853">
      <w:pPr>
        <w:pStyle w:val="2"/>
      </w:pPr>
    </w:p>
    <w:p w14:paraId="1BDFD7CC">
      <w:pPr>
        <w:pStyle w:val="2"/>
      </w:pPr>
    </w:p>
    <w:p w14:paraId="0F7048EC">
      <w:pPr>
        <w:pStyle w:val="2"/>
      </w:pPr>
    </w:p>
    <w:p w14:paraId="476DD861">
      <w:pPr>
        <w:pStyle w:val="2"/>
      </w:pPr>
    </w:p>
    <w:p w14:paraId="58FC9237">
      <w:pPr>
        <w:pStyle w:val="2"/>
      </w:pPr>
    </w:p>
    <w:p w14:paraId="07E78DCD">
      <w:pPr>
        <w:pStyle w:val="2"/>
      </w:pPr>
    </w:p>
    <w:p w14:paraId="1BA307D8">
      <w:pPr>
        <w:pStyle w:val="2"/>
      </w:pPr>
    </w:p>
    <w:p w14:paraId="6259FA22">
      <w:pPr>
        <w:pStyle w:val="2"/>
      </w:pPr>
    </w:p>
    <w:p w14:paraId="54F98845">
      <w:pPr>
        <w:pStyle w:val="2"/>
      </w:pPr>
    </w:p>
    <w:p w14:paraId="4ED56DBE">
      <w:pPr>
        <w:pStyle w:val="2"/>
      </w:pPr>
    </w:p>
    <w:p w14:paraId="16A8A04C">
      <w:pPr>
        <w:pStyle w:val="2"/>
      </w:pPr>
    </w:p>
    <w:p w14:paraId="754D1658">
      <w:pPr>
        <w:pStyle w:val="2"/>
        <w:spacing w:line="241" w:lineRule="auto"/>
      </w:pPr>
    </w:p>
    <w:p w14:paraId="52986924">
      <w:pPr>
        <w:pStyle w:val="2"/>
        <w:spacing w:line="241" w:lineRule="auto"/>
      </w:pPr>
    </w:p>
    <w:p w14:paraId="252E3128">
      <w:pPr>
        <w:pStyle w:val="2"/>
        <w:spacing w:line="241" w:lineRule="auto"/>
      </w:pPr>
    </w:p>
    <w:p w14:paraId="46FA6E7A">
      <w:pPr>
        <w:pStyle w:val="2"/>
        <w:spacing w:line="241" w:lineRule="auto"/>
      </w:pPr>
    </w:p>
    <w:p w14:paraId="3E6831B2">
      <w:pPr>
        <w:pStyle w:val="2"/>
        <w:spacing w:line="241" w:lineRule="auto"/>
      </w:pPr>
    </w:p>
    <w:p w14:paraId="31EA67E0">
      <w:pPr>
        <w:pStyle w:val="2"/>
        <w:spacing w:line="241" w:lineRule="auto"/>
      </w:pPr>
    </w:p>
    <w:p w14:paraId="07182FCE">
      <w:pPr>
        <w:pStyle w:val="2"/>
        <w:spacing w:line="241" w:lineRule="auto"/>
      </w:pPr>
    </w:p>
    <w:p w14:paraId="07AB5EB5">
      <w:pPr>
        <w:pStyle w:val="2"/>
        <w:spacing w:line="241" w:lineRule="auto"/>
      </w:pPr>
    </w:p>
    <w:p w14:paraId="18AA3B28">
      <w:pPr>
        <w:pStyle w:val="2"/>
        <w:spacing w:before="58" w:line="194" w:lineRule="auto"/>
        <w:ind w:left="4839"/>
        <w:rPr>
          <w:sz w:val="20"/>
          <w:szCs w:val="20"/>
        </w:rPr>
      </w:pPr>
      <w:r>
        <w:pict>
          <v:shape id="_x0000_s1336" o:spid="_x0000_s1336" o:spt="202" type="#_x0000_t202" style="position:absolute;left:0pt;margin-left:274.65pt;margin-top:6.55pt;height:15.95pt;width:199.4pt;z-index:251896832;mso-width-relative:page;mso-height-relative:page;" filled="f" stroked="f" coordsize="21600,21600">
            <v:path/>
            <v:fill on="f" focussize="0,0"/>
            <v:stroke on="f"/>
            <v:imagedata o:title=""/>
            <o:lock v:ext="edit" aspectratio="f"/>
            <v:textbox inset="0mm,0mm,0mm,0mm">
              <w:txbxContent>
                <w:p w14:paraId="65DE1CA1">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1"/>
          <w:sz w:val="20"/>
          <w:szCs w:val="20"/>
        </w:rPr>
        <w:t>42</w:t>
      </w:r>
    </w:p>
    <w:p w14:paraId="69FBAA6B">
      <w:pPr>
        <w:spacing w:line="194" w:lineRule="auto"/>
        <w:rPr>
          <w:sz w:val="20"/>
          <w:szCs w:val="20"/>
        </w:rPr>
        <w:sectPr>
          <w:pgSz w:w="11906" w:h="16158"/>
          <w:pgMar w:top="400" w:right="1178" w:bottom="400" w:left="1004" w:header="0" w:footer="0" w:gutter="0"/>
          <w:cols w:space="720" w:num="1"/>
        </w:sectPr>
      </w:pPr>
    </w:p>
    <w:p w14:paraId="4C0E4E47">
      <w:pPr>
        <w:pStyle w:val="2"/>
        <w:spacing w:line="349" w:lineRule="auto"/>
      </w:pPr>
    </w:p>
    <w:p w14:paraId="164E6DE3">
      <w:pPr>
        <w:pStyle w:val="2"/>
        <w:spacing w:line="350" w:lineRule="auto"/>
      </w:pPr>
    </w:p>
    <w:p w14:paraId="6AA26E7A">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-5</w:t>
      </w:r>
    </w:p>
    <w:p w14:paraId="1C70E796">
      <w:pPr>
        <w:spacing w:before="55" w:line="178" w:lineRule="auto"/>
        <w:ind w:left="411"/>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数据资产管理发展趋势</w:t>
      </w:r>
    </w:p>
    <w:p w14:paraId="0CC7C4A3">
      <w:pPr>
        <w:pStyle w:val="2"/>
        <w:spacing w:line="256" w:lineRule="auto"/>
      </w:pPr>
    </w:p>
    <w:p w14:paraId="55E8A31C">
      <w:pPr>
        <w:pStyle w:val="2"/>
        <w:spacing w:line="256" w:lineRule="auto"/>
      </w:pPr>
    </w:p>
    <w:p w14:paraId="73FE43DF">
      <w:pPr>
        <w:pStyle w:val="2"/>
        <w:spacing w:line="256" w:lineRule="auto"/>
      </w:pPr>
    </w:p>
    <w:p w14:paraId="022FF02E">
      <w:pPr>
        <w:spacing w:before="223" w:line="178" w:lineRule="auto"/>
        <w:ind w:left="254"/>
        <w:rPr>
          <w:rFonts w:ascii="微软雅黑" w:hAnsi="微软雅黑" w:eastAsia="微软雅黑" w:cs="微软雅黑"/>
          <w:sz w:val="52"/>
          <w:szCs w:val="52"/>
        </w:rPr>
      </w:pPr>
      <w:r>
        <w:rPr>
          <w:rFonts w:ascii="微软雅黑" w:hAnsi="微软雅黑" w:eastAsia="微软雅黑" w:cs="微软雅黑"/>
          <w:color w:val="648676"/>
          <w:spacing w:val="-1"/>
          <w:sz w:val="52"/>
          <w:szCs w:val="52"/>
        </w:rPr>
        <w:t>五、数据资产管理发展趋势</w:t>
      </w:r>
    </w:p>
    <w:p w14:paraId="39E64695">
      <w:pPr>
        <w:pStyle w:val="2"/>
        <w:spacing w:line="264" w:lineRule="auto"/>
      </w:pPr>
    </w:p>
    <w:p w14:paraId="718EC0DC">
      <w:pPr>
        <w:pStyle w:val="2"/>
        <w:spacing w:line="264" w:lineRule="auto"/>
      </w:pPr>
    </w:p>
    <w:p w14:paraId="2B491CF0">
      <w:pPr>
        <w:pStyle w:val="2"/>
        <w:spacing w:line="265" w:lineRule="auto"/>
      </w:pPr>
    </w:p>
    <w:p w14:paraId="47BD21A7">
      <w:pPr>
        <w:pStyle w:val="2"/>
        <w:spacing w:line="265" w:lineRule="auto"/>
      </w:pPr>
    </w:p>
    <w:p w14:paraId="1CA6D47D">
      <w:pPr>
        <w:spacing w:before="94" w:line="289" w:lineRule="auto"/>
        <w:ind w:left="248" w:firstLine="481"/>
        <w:jc w:val="both"/>
        <w:rPr>
          <w:rFonts w:ascii="微软雅黑" w:hAnsi="微软雅黑" w:eastAsia="微软雅黑" w:cs="微软雅黑"/>
          <w:sz w:val="22"/>
          <w:szCs w:val="22"/>
        </w:rPr>
      </w:pPr>
      <w:r>
        <w:rPr>
          <w:rFonts w:ascii="微软雅黑" w:hAnsi="微软雅黑" w:eastAsia="微软雅黑" w:cs="微软雅黑"/>
          <w:color w:val="231F20"/>
          <w:spacing w:val="-10"/>
          <w:sz w:val="22"/>
          <w:szCs w:val="22"/>
        </w:rPr>
        <w:t>从信息时代到数字时代，数据由记录业务逐渐转变为智能决策，成为了组</w:t>
      </w:r>
      <w:r>
        <w:rPr>
          <w:rFonts w:ascii="微软雅黑" w:hAnsi="微软雅黑" w:eastAsia="微软雅黑" w:cs="微软雅黑"/>
          <w:color w:val="231F20"/>
          <w:spacing w:val="-11"/>
          <w:sz w:val="22"/>
          <w:szCs w:val="22"/>
        </w:rPr>
        <w:t>织持续发展的核心引擎。</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1"/>
          <w:w w:val="97"/>
          <w:sz w:val="22"/>
          <w:szCs w:val="22"/>
        </w:rPr>
        <w:t>未来，数据资产管理将朝着统一化、专业化、敏捷化的方向发展，提高数据资</w:t>
      </w:r>
      <w:r>
        <w:rPr>
          <w:rFonts w:ascii="微软雅黑" w:hAnsi="微软雅黑" w:eastAsia="微软雅黑" w:cs="微软雅黑"/>
          <w:color w:val="231F20"/>
          <w:spacing w:val="-12"/>
          <w:w w:val="97"/>
          <w:sz w:val="22"/>
          <w:szCs w:val="22"/>
        </w:rPr>
        <w:t>产管理效率，主动赋能业务，</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推动数据资产安全有序流通，持续运营数据资产，充分发挥数据资产的经济价值和社会价值。</w:t>
      </w:r>
    </w:p>
    <w:p w14:paraId="0B4495D4">
      <w:pPr>
        <w:pStyle w:val="2"/>
        <w:spacing w:line="383" w:lineRule="auto"/>
      </w:pPr>
    </w:p>
    <w:p w14:paraId="3324EDF3">
      <w:pPr>
        <w:spacing w:before="103" w:line="178" w:lineRule="auto"/>
        <w:ind w:left="248"/>
        <w:rPr>
          <w:rFonts w:ascii="微软雅黑" w:hAnsi="微软雅黑" w:eastAsia="微软雅黑" w:cs="微软雅黑"/>
          <w:sz w:val="24"/>
          <w:szCs w:val="24"/>
        </w:rPr>
      </w:pPr>
      <w:r>
        <w:rPr>
          <w:rFonts w:ascii="微软雅黑" w:hAnsi="微软雅黑" w:eastAsia="微软雅黑" w:cs="微软雅黑"/>
          <w:color w:val="231F20"/>
          <w:spacing w:val="5"/>
          <w:sz w:val="24"/>
          <w:szCs w:val="24"/>
        </w:rPr>
        <w:t>1. 管理对象：数据复杂性持续增加</w:t>
      </w:r>
    </w:p>
    <w:p w14:paraId="4D41925B">
      <w:pPr>
        <w:spacing w:before="144" w:line="279" w:lineRule="auto"/>
        <w:ind w:left="247" w:right="11" w:firstLine="482"/>
        <w:jc w:val="both"/>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伴随着互联网、物联网、云计算的发展，数据在来源、格式</w:t>
      </w:r>
      <w:r>
        <w:rPr>
          <w:rFonts w:ascii="微软雅黑" w:hAnsi="微软雅黑" w:eastAsia="微软雅黑" w:cs="微软雅黑"/>
          <w:color w:val="231F20"/>
          <w:spacing w:val="-3"/>
          <w:sz w:val="22"/>
          <w:szCs w:val="22"/>
        </w:rPr>
        <w:t>等方面的复杂性持续增加。在数据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来源方面，预计到 2025 年，组织采集的数据将有超过一半（90ZB）来自物联网设备，</w:t>
      </w:r>
      <w:r>
        <w:rPr>
          <w:rFonts w:ascii="微软雅黑" w:hAnsi="微软雅黑" w:eastAsia="微软雅黑" w:cs="微软雅黑"/>
          <w:color w:val="231F20"/>
          <w:spacing w:val="-4"/>
          <w:sz w:val="22"/>
          <w:szCs w:val="22"/>
        </w:rPr>
        <w:t>组织内部的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数据集成已经取得显著成效，外部数据的引入和源头管理正在成为发展重心，成为风险控制、客户</w:t>
      </w:r>
      <w:r>
        <w:rPr>
          <w:rFonts w:ascii="微软雅黑" w:hAnsi="微软雅黑" w:eastAsia="微软雅黑" w:cs="微软雅黑"/>
          <w:color w:val="231F20"/>
          <w:spacing w:val="4"/>
          <w:sz w:val="22"/>
          <w:szCs w:val="22"/>
        </w:rPr>
        <w:t xml:space="preserve">  </w:t>
      </w:r>
      <w:r>
        <w:rPr>
          <w:rFonts w:ascii="微软雅黑" w:hAnsi="微软雅黑" w:eastAsia="微软雅黑" w:cs="微软雅黑"/>
          <w:color w:val="231F20"/>
          <w:spacing w:val="-1"/>
          <w:sz w:val="22"/>
          <w:szCs w:val="22"/>
        </w:rPr>
        <w:t xml:space="preserve">画像、业务拓展等领域的重要能力优势来源。在数据格式方面，根据 IDC 的研究数据显示 </w:t>
      </w:r>
      <w:r>
        <w:rPr>
          <w:rFonts w:ascii="微软雅黑" w:hAnsi="微软雅黑" w:eastAsia="微软雅黑" w:cs="微软雅黑"/>
          <w:color w:val="231F20"/>
          <w:spacing w:val="-1"/>
          <w:position w:val="10"/>
          <w:sz w:val="12"/>
          <w:szCs w:val="12"/>
        </w:rPr>
        <w:t>5</w:t>
      </w:r>
      <w:r>
        <w:rPr>
          <w:rFonts w:ascii="微软雅黑" w:hAnsi="微软雅黑" w:eastAsia="微软雅黑" w:cs="微软雅黑"/>
          <w:color w:val="231F20"/>
          <w:spacing w:val="-1"/>
          <w:sz w:val="22"/>
          <w:szCs w:val="22"/>
        </w:rPr>
        <w:t>，未来</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8"/>
          <w:sz w:val="22"/>
          <w:szCs w:val="22"/>
        </w:rPr>
        <w:t>5</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pacing w:val="-8"/>
          <w:sz w:val="22"/>
          <w:szCs w:val="22"/>
        </w:rPr>
        <w:t>年非结构化数据的年复合增长速度为</w:t>
      </w:r>
      <w:r>
        <w:rPr>
          <w:rFonts w:ascii="微软雅黑" w:hAnsi="微软雅黑" w:eastAsia="微软雅黑" w:cs="微软雅黑"/>
          <w:color w:val="231F20"/>
          <w:spacing w:val="-34"/>
          <w:sz w:val="22"/>
          <w:szCs w:val="22"/>
        </w:rPr>
        <w:t xml:space="preserve"> </w:t>
      </w:r>
      <w:r>
        <w:rPr>
          <w:rFonts w:ascii="微软雅黑" w:hAnsi="微软雅黑" w:eastAsia="微软雅黑" w:cs="微软雅黑"/>
          <w:color w:val="231F20"/>
          <w:spacing w:val="-8"/>
          <w:sz w:val="22"/>
          <w:szCs w:val="22"/>
        </w:rPr>
        <w:t>19.9%，占比将达到</w:t>
      </w:r>
      <w:r>
        <w:rPr>
          <w:rFonts w:ascii="微软雅黑" w:hAnsi="微软雅黑" w:eastAsia="微软雅黑" w:cs="微软雅黑"/>
          <w:color w:val="231F20"/>
          <w:spacing w:val="-31"/>
          <w:sz w:val="22"/>
          <w:szCs w:val="22"/>
        </w:rPr>
        <w:t xml:space="preserve"> </w:t>
      </w:r>
      <w:r>
        <w:rPr>
          <w:rFonts w:ascii="微软雅黑" w:hAnsi="微软雅黑" w:eastAsia="微软雅黑" w:cs="微软雅黑"/>
          <w:color w:val="231F20"/>
          <w:spacing w:val="-9"/>
          <w:sz w:val="22"/>
          <w:szCs w:val="22"/>
        </w:rPr>
        <w:t>80%。组织中结构化数据的管理日趋成熟、</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比重逐步增长，但是非结构化数据仍将占据绝大部分，元数据管理、跨数据结构关联分析、AI 分析</w:t>
      </w:r>
      <w:r>
        <w:rPr>
          <w:rFonts w:ascii="微软雅黑" w:hAnsi="微软雅黑" w:eastAsia="微软雅黑" w:cs="微软雅黑"/>
          <w:color w:val="231F20"/>
          <w:spacing w:val="8"/>
          <w:sz w:val="22"/>
          <w:szCs w:val="22"/>
        </w:rPr>
        <w:t xml:space="preserve">  </w:t>
      </w:r>
      <w:r>
        <w:rPr>
          <w:rFonts w:ascii="微软雅黑" w:hAnsi="微软雅黑" w:eastAsia="微软雅黑" w:cs="微软雅黑"/>
          <w:color w:val="231F20"/>
          <w:spacing w:val="-1"/>
          <w:sz w:val="22"/>
          <w:szCs w:val="22"/>
        </w:rPr>
        <w:t>技术等将是非结构化数据关联的发展重点。在数据实时性方面，实时获</w:t>
      </w:r>
      <w:r>
        <w:rPr>
          <w:rFonts w:ascii="微软雅黑" w:hAnsi="微软雅黑" w:eastAsia="微软雅黑" w:cs="微软雅黑"/>
          <w:color w:val="231F20"/>
          <w:spacing w:val="-2"/>
          <w:sz w:val="22"/>
          <w:szCs w:val="22"/>
        </w:rPr>
        <w:t>取数据和分析处理数据已成</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为关键能力，业界在跨平台准实时数据共享、流</w:t>
      </w:r>
      <w:r>
        <w:rPr>
          <w:rFonts w:ascii="微软雅黑" w:hAnsi="微软雅黑" w:eastAsia="微软雅黑" w:cs="微软雅黑"/>
          <w:color w:val="231F20"/>
          <w:spacing w:val="-2"/>
          <w:sz w:val="22"/>
          <w:szCs w:val="22"/>
        </w:rPr>
        <w:t>批数据一体、增量数据采集、可视化配置等方面不</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断加大投入，累计投入资金占 IT 投入超过 23%，支撑业务场景事后分析向</w:t>
      </w:r>
      <w:r>
        <w:rPr>
          <w:rFonts w:ascii="微软雅黑" w:hAnsi="微软雅黑" w:eastAsia="微软雅黑" w:cs="微软雅黑"/>
          <w:color w:val="231F20"/>
          <w:spacing w:val="-5"/>
          <w:sz w:val="22"/>
          <w:szCs w:val="22"/>
        </w:rPr>
        <w:t>实时决策转变。</w:t>
      </w:r>
    </w:p>
    <w:p w14:paraId="08914B35">
      <w:pPr>
        <w:spacing w:line="2270" w:lineRule="exact"/>
        <w:ind w:firstLine="3784"/>
      </w:pPr>
      <w:r>
        <w:pict>
          <v:rect id="_x0000_s1337" o:spid="_x0000_s1337" o:spt="1" style="position:absolute;left:0pt;margin-left:181.45pt;margin-top:43.7pt;height:69.8pt;width:2.85pt;z-index:251902976;mso-width-relative:page;mso-height-relative:page;" fillcolor="#FDFDFD" filled="t" stroked="f" coordsize="21600,21600">
            <v:path/>
            <v:fill on="t" focussize="0,0"/>
            <v:stroke on="f"/>
            <v:imagedata o:title=""/>
            <o:lock v:ext="edit"/>
          </v:rect>
        </w:pict>
      </w:r>
      <w:r>
        <w:pict>
          <v:group id="_x0000_s1338" o:spid="_x0000_s1338" o:spt="203" style="position:absolute;left:0pt;margin-left:309.8pt;margin-top:0pt;height:113.55pt;width:114.95pt;z-index:251898880;mso-width-relative:page;mso-height-relative:page;" coordsize="2298,2271">
            <o:lock v:ext="edit"/>
            <v:shape id="_x0000_s1339" o:spid="_x0000_s1339" o:spt="75" type="#_x0000_t75" style="position:absolute;left:0;top:0;height:2271;width:2298;" filled="f" stroked="f" coordsize="21600,21600">
              <v:path/>
              <v:fill on="f" focussize="0,0"/>
              <v:stroke on="f"/>
              <v:imagedata r:id="rId179" o:title=""/>
              <o:lock v:ext="edit" aspectratio="t"/>
            </v:shape>
            <v:shape id="_x0000_s1340" o:spid="_x0000_s1340" o:spt="75" type="#_x0000_t75" style="position:absolute;left:0;top:282;height:1988;width:2031;" filled="f" stroked="f" coordsize="21600,21600">
              <v:path/>
              <v:fill on="f" focussize="0,0"/>
              <v:stroke on="f"/>
              <v:imagedata r:id="rId180" o:title=""/>
              <o:lock v:ext="edit" aspectratio="t"/>
            </v:shape>
            <v:shape id="_x0000_s1341" o:spid="_x0000_s1341" o:spt="202" type="#_x0000_t202" style="position:absolute;left:480;top:614;height:793;width:1023;" filled="f" stroked="f" coordsize="21600,21600">
              <v:path/>
              <v:fill on="f" focussize="0,0"/>
              <v:stroke on="f"/>
              <v:imagedata o:title=""/>
              <o:lock v:ext="edit" aspectratio="f"/>
              <v:textbox inset="0mm,0mm,0mm,0mm">
                <w:txbxContent>
                  <w:p w14:paraId="7F170848">
                    <w:pPr>
                      <w:spacing w:before="20" w:line="310" w:lineRule="exact"/>
                      <w:ind w:firstLine="351"/>
                    </w:pPr>
                    <w:r>
                      <w:rPr>
                        <w:position w:val="-6"/>
                      </w:rPr>
                      <w:drawing>
                        <wp:inline distT="0" distB="0" distL="0" distR="0">
                          <wp:extent cx="223520" cy="196850"/>
                          <wp:effectExtent l="0" t="0" r="0" b="0"/>
                          <wp:docPr id="298" name="IM 298"/>
                          <wp:cNvGraphicFramePr/>
                          <a:graphic xmlns:a="http://schemas.openxmlformats.org/drawingml/2006/main">
                            <a:graphicData uri="http://schemas.openxmlformats.org/drawingml/2006/picture">
                              <pic:pic xmlns:pic="http://schemas.openxmlformats.org/drawingml/2006/picture">
                                <pic:nvPicPr>
                                  <pic:cNvPr id="298" name="IM 298"/>
                                  <pic:cNvPicPr/>
                                </pic:nvPicPr>
                                <pic:blipFill>
                                  <a:blip r:embed="rId181"/>
                                  <a:stretch>
                                    <a:fillRect/>
                                  </a:stretch>
                                </pic:blipFill>
                                <pic:spPr>
                                  <a:xfrm>
                                    <a:off x="0" y="0"/>
                                    <a:ext cx="223837" cy="196977"/>
                                  </a:xfrm>
                                  <a:prstGeom prst="rect">
                                    <a:avLst/>
                                  </a:prstGeom>
                                </pic:spPr>
                              </pic:pic>
                            </a:graphicData>
                          </a:graphic>
                        </wp:inline>
                      </w:drawing>
                    </w:r>
                  </w:p>
                  <w:p w14:paraId="1554195F">
                    <w:pPr>
                      <w:spacing w:before="249" w:line="193" w:lineRule="exact"/>
                      <w:ind w:left="20"/>
                      <w:rPr>
                        <w:rFonts w:ascii="微软雅黑" w:hAnsi="微软雅黑" w:eastAsia="微软雅黑" w:cs="微软雅黑"/>
                        <w:sz w:val="19"/>
                        <w:szCs w:val="19"/>
                      </w:rPr>
                    </w:pPr>
                    <w:r>
                      <w:rPr>
                        <w:rFonts w:ascii="微软雅黑" w:hAnsi="微软雅黑" w:eastAsia="微软雅黑" w:cs="微软雅黑"/>
                        <w:color w:val="6E9E85"/>
                        <w:spacing w:val="6"/>
                        <w:position w:val="-1"/>
                        <w:sz w:val="19"/>
                        <w:szCs w:val="19"/>
                      </w:rPr>
                      <w:t>数据实时性</w:t>
                    </w:r>
                  </w:p>
                </w:txbxContent>
              </v:textbox>
            </v:shape>
          </v:group>
        </w:pict>
      </w:r>
      <w:r>
        <w:pict>
          <v:shape id="_x0000_s1342" o:spid="_x0000_s1342" o:spt="202" type="#_x0000_t202" style="position:absolute;left:0pt;margin-left:100.35pt;margin-top:58.7pt;height:11.65pt;width:41.35pt;z-index:251900928;mso-width-relative:page;mso-height-relative:page;" filled="f" stroked="f" coordsize="21600,21600">
            <v:path/>
            <v:fill on="f" focussize="0,0"/>
            <v:stroke on="f"/>
            <v:imagedata o:title=""/>
            <o:lock v:ext="edit" aspectratio="f"/>
            <v:textbox inset="0mm,0mm,0mm,0mm">
              <w:txbxContent>
                <w:p w14:paraId="6EBD0F71">
                  <w:pPr>
                    <w:spacing w:before="20" w:line="192" w:lineRule="exact"/>
                    <w:ind w:left="20"/>
                    <w:rPr>
                      <w:rFonts w:ascii="微软雅黑" w:hAnsi="微软雅黑" w:eastAsia="微软雅黑" w:cs="微软雅黑"/>
                      <w:sz w:val="19"/>
                      <w:szCs w:val="19"/>
                    </w:rPr>
                  </w:pPr>
                  <w:r>
                    <w:rPr>
                      <w:rFonts w:ascii="微软雅黑" w:hAnsi="微软雅黑" w:eastAsia="微软雅黑" w:cs="微软雅黑"/>
                      <w:color w:val="6E9E85"/>
                      <w:spacing w:val="6"/>
                      <w:position w:val="-1"/>
                      <w:sz w:val="19"/>
                      <w:szCs w:val="19"/>
                    </w:rPr>
                    <w:t>数据来源</w:t>
                  </w:r>
                </w:p>
              </w:txbxContent>
            </v:textbox>
          </v:shape>
        </w:pict>
      </w:r>
      <w:r>
        <w:drawing>
          <wp:anchor distT="0" distB="0" distL="0" distR="0" simplePos="0" relativeHeight="251901952" behindDoc="0" locked="0" layoutInCell="1" allowOverlap="1">
            <wp:simplePos x="0" y="0"/>
            <wp:positionH relativeFrom="column">
              <wp:posOffset>1409065</wp:posOffset>
            </wp:positionH>
            <wp:positionV relativeFrom="paragraph">
              <wp:posOffset>384810</wp:posOffset>
            </wp:positionV>
            <wp:extent cx="223520" cy="233045"/>
            <wp:effectExtent l="0" t="0" r="0" b="0"/>
            <wp:wrapNone/>
            <wp:docPr id="300" name="IM 300"/>
            <wp:cNvGraphicFramePr/>
            <a:graphic xmlns:a="http://schemas.openxmlformats.org/drawingml/2006/main">
              <a:graphicData uri="http://schemas.openxmlformats.org/drawingml/2006/picture">
                <pic:pic xmlns:pic="http://schemas.openxmlformats.org/drawingml/2006/picture">
                  <pic:nvPicPr>
                    <pic:cNvPr id="300" name="IM 300"/>
                    <pic:cNvPicPr/>
                  </pic:nvPicPr>
                  <pic:blipFill>
                    <a:blip r:embed="rId182"/>
                    <a:stretch>
                      <a:fillRect/>
                    </a:stretch>
                  </pic:blipFill>
                  <pic:spPr>
                    <a:xfrm>
                      <a:off x="0" y="0"/>
                      <a:ext cx="223837" cy="232778"/>
                    </a:xfrm>
                    <a:prstGeom prst="rect">
                      <a:avLst/>
                    </a:prstGeom>
                  </pic:spPr>
                </pic:pic>
              </a:graphicData>
            </a:graphic>
          </wp:anchor>
        </w:drawing>
      </w:r>
      <w:r>
        <w:drawing>
          <wp:anchor distT="0" distB="0" distL="0" distR="0" simplePos="0" relativeHeight="251897856" behindDoc="0" locked="0" layoutInCell="1" allowOverlap="1">
            <wp:simplePos x="0" y="0"/>
            <wp:positionH relativeFrom="column">
              <wp:posOffset>880745</wp:posOffset>
            </wp:positionH>
            <wp:positionV relativeFrom="paragraph">
              <wp:posOffset>0</wp:posOffset>
            </wp:positionV>
            <wp:extent cx="1459230" cy="1441450"/>
            <wp:effectExtent l="0" t="0" r="0" b="0"/>
            <wp:wrapNone/>
            <wp:docPr id="302" name="IM 302"/>
            <wp:cNvGraphicFramePr/>
            <a:graphic xmlns:a="http://schemas.openxmlformats.org/drawingml/2006/main">
              <a:graphicData uri="http://schemas.openxmlformats.org/drawingml/2006/picture">
                <pic:pic xmlns:pic="http://schemas.openxmlformats.org/drawingml/2006/picture">
                  <pic:nvPicPr>
                    <pic:cNvPr id="302" name="IM 302"/>
                    <pic:cNvPicPr/>
                  </pic:nvPicPr>
                  <pic:blipFill>
                    <a:blip r:embed="rId183"/>
                    <a:stretch>
                      <a:fillRect/>
                    </a:stretch>
                  </pic:blipFill>
                  <pic:spPr>
                    <a:xfrm>
                      <a:off x="0" y="0"/>
                      <a:ext cx="1459433" cy="1441525"/>
                    </a:xfrm>
                    <a:prstGeom prst="rect">
                      <a:avLst/>
                    </a:prstGeom>
                  </pic:spPr>
                </pic:pic>
              </a:graphicData>
            </a:graphic>
          </wp:anchor>
        </w:drawing>
      </w:r>
      <w:r>
        <w:rPr>
          <w:position w:val="-45"/>
        </w:rPr>
        <w:pict>
          <v:group id="_x0000_s1343" o:spid="_x0000_s1343" o:spt="203" style="height:113.55pt;width:114.95pt;" coordsize="2298,2271">
            <o:lock v:ext="edit"/>
            <v:shape id="_x0000_s1344" o:spid="_x0000_s1344" o:spt="75" type="#_x0000_t75" style="position:absolute;left:0;top:0;height:2271;width:2298;" filled="f" stroked="f" coordsize="21600,21600">
              <v:path/>
              <v:fill on="f" focussize="0,0"/>
              <v:stroke on="f"/>
              <v:imagedata r:id="rId184" o:title=""/>
              <o:lock v:ext="edit" aspectratio="t"/>
            </v:shape>
            <v:shape id="_x0000_s1345" o:spid="_x0000_s1345" o:spt="75" type="#_x0000_t75" style="position:absolute;left:14;top:282;height:1988;width:2016;" filled="f" stroked="f" coordsize="21600,21600">
              <v:path/>
              <v:fill on="f" focussize="0,0"/>
              <v:stroke on="f"/>
              <v:imagedata r:id="rId185" o:title=""/>
              <o:lock v:ext="edit" aspectratio="t"/>
            </v:shape>
            <v:shape id="_x0000_s1346" o:spid="_x0000_s1346" o:spt="202" type="#_x0000_t202" style="position:absolute;left:610;top:586;height:811;width:825;" filled="f" stroked="f" coordsize="21600,21600">
              <v:path/>
              <v:fill on="f" focussize="0,0"/>
              <v:stroke on="f"/>
              <v:imagedata o:title=""/>
              <o:lock v:ext="edit" aspectratio="f"/>
              <v:textbox inset="0mm,0mm,0mm,0mm">
                <w:txbxContent>
                  <w:p w14:paraId="3D6A3299">
                    <w:pPr>
                      <w:spacing w:before="20" w:line="394" w:lineRule="exact"/>
                      <w:ind w:firstLine="221"/>
                    </w:pPr>
                    <w:r>
                      <w:rPr>
                        <w:position w:val="-7"/>
                      </w:rPr>
                      <w:drawing>
                        <wp:inline distT="0" distB="0" distL="0" distR="0">
                          <wp:extent cx="241300" cy="250190"/>
                          <wp:effectExtent l="0" t="0" r="0" b="0"/>
                          <wp:docPr id="304" name="IM 304"/>
                          <wp:cNvGraphicFramePr/>
                          <a:graphic xmlns:a="http://schemas.openxmlformats.org/drawingml/2006/main">
                            <a:graphicData uri="http://schemas.openxmlformats.org/drawingml/2006/picture">
                              <pic:pic xmlns:pic="http://schemas.openxmlformats.org/drawingml/2006/picture">
                                <pic:nvPicPr>
                                  <pic:cNvPr id="304" name="IM 304"/>
                                  <pic:cNvPicPr/>
                                </pic:nvPicPr>
                                <pic:blipFill>
                                  <a:blip r:embed="rId186"/>
                                  <a:stretch>
                                    <a:fillRect/>
                                  </a:stretch>
                                </pic:blipFill>
                                <pic:spPr>
                                  <a:xfrm>
                                    <a:off x="0" y="0"/>
                                    <a:ext cx="241744" cy="250736"/>
                                  </a:xfrm>
                                  <a:prstGeom prst="rect">
                                    <a:avLst/>
                                  </a:prstGeom>
                                </pic:spPr>
                              </pic:pic>
                            </a:graphicData>
                          </a:graphic>
                        </wp:inline>
                      </w:drawing>
                    </w:r>
                  </w:p>
                  <w:p w14:paraId="74CC310A">
                    <w:pPr>
                      <w:spacing w:before="184" w:line="192" w:lineRule="exact"/>
                      <w:ind w:left="20"/>
                      <w:rPr>
                        <w:rFonts w:ascii="微软雅黑" w:hAnsi="微软雅黑" w:eastAsia="微软雅黑" w:cs="微软雅黑"/>
                        <w:sz w:val="19"/>
                        <w:szCs w:val="19"/>
                      </w:rPr>
                    </w:pPr>
                    <w:r>
                      <w:rPr>
                        <w:rFonts w:ascii="微软雅黑" w:hAnsi="微软雅黑" w:eastAsia="微软雅黑" w:cs="微软雅黑"/>
                        <w:color w:val="6E9E85"/>
                        <w:spacing w:val="6"/>
                        <w:position w:val="-1"/>
                        <w:sz w:val="19"/>
                        <w:szCs w:val="19"/>
                      </w:rPr>
                      <w:t>数据格式</w:t>
                    </w:r>
                  </w:p>
                </w:txbxContent>
              </v:textbox>
            </v:shape>
            <v:rect id="_x0000_s1347" o:spid="_x0000_s1347" o:spt="1" style="position:absolute;left:2255;top:874;height:1396;width:43;" fillcolor="#FDFDFD" filled="t" stroked="f" coordsize="21600,21600">
              <v:path/>
              <v:fill on="t" focussize="0,0"/>
              <v:stroke on="f"/>
              <v:imagedata o:title=""/>
              <o:lock v:ext="edit"/>
            </v:rect>
            <w10:wrap type="none"/>
            <w10:anchorlock/>
          </v:group>
        </w:pict>
      </w:r>
    </w:p>
    <w:p w14:paraId="7C7DFF0C">
      <w:pPr>
        <w:spacing w:line="24" w:lineRule="exact"/>
      </w:pPr>
    </w:p>
    <w:p w14:paraId="65BB13A9">
      <w:pPr>
        <w:spacing w:line="24" w:lineRule="exact"/>
        <w:sectPr>
          <w:pgSz w:w="11906" w:h="16158"/>
          <w:pgMar w:top="400" w:right="1150" w:bottom="400" w:left="1004" w:header="0" w:footer="0" w:gutter="0"/>
          <w:cols w:equalWidth="0" w:num="1">
            <w:col w:w="9751"/>
          </w:cols>
        </w:sectPr>
      </w:pPr>
    </w:p>
    <w:p w14:paraId="1FDD8B0E">
      <w:pPr>
        <w:pStyle w:val="2"/>
        <w:spacing w:before="33" w:line="173" w:lineRule="auto"/>
        <w:ind w:left="2106"/>
        <w:rPr>
          <w:sz w:val="16"/>
          <w:szCs w:val="16"/>
        </w:rPr>
      </w:pPr>
      <w:r>
        <w:rPr>
          <w:color w:val="6E9E85"/>
          <w:spacing w:val="4"/>
          <w:sz w:val="16"/>
          <w:szCs w:val="16"/>
        </w:rPr>
        <w:t>2025</w:t>
      </w:r>
    </w:p>
    <w:p w14:paraId="6F870416">
      <w:pPr>
        <w:pStyle w:val="2"/>
        <w:spacing w:before="165" w:line="225" w:lineRule="auto"/>
        <w:ind w:left="2120" w:right="1478" w:hanging="23"/>
        <w:rPr>
          <w:sz w:val="17"/>
          <w:szCs w:val="17"/>
        </w:rPr>
      </w:pPr>
      <w:r>
        <w:rPr>
          <w:rFonts w:ascii="微软雅黑" w:hAnsi="微软雅黑" w:eastAsia="微软雅黑" w:cs="微软雅黑"/>
          <w:color w:val="6E9E85"/>
          <w:spacing w:val="8"/>
          <w:sz w:val="16"/>
          <w:szCs w:val="16"/>
        </w:rPr>
        <w:t>物联网设备</w:t>
      </w:r>
      <w:r>
        <w:rPr>
          <w:rFonts w:ascii="微软雅黑" w:hAnsi="微软雅黑" w:eastAsia="微软雅黑" w:cs="微软雅黑"/>
          <w:color w:val="6E9E85"/>
          <w:spacing w:val="3"/>
          <w:sz w:val="16"/>
          <w:szCs w:val="16"/>
        </w:rPr>
        <w:t xml:space="preserve"> </w:t>
      </w:r>
      <w:r>
        <w:rPr>
          <w:color w:val="6E9E85"/>
          <w:spacing w:val="1"/>
          <w:sz w:val="17"/>
          <w:szCs w:val="17"/>
        </w:rPr>
        <w:t>&gt;50%</w:t>
      </w:r>
    </w:p>
    <w:p w14:paraId="184ED557">
      <w:pPr>
        <w:pStyle w:val="2"/>
        <w:spacing w:line="14" w:lineRule="auto"/>
        <w:rPr>
          <w:sz w:val="2"/>
        </w:rPr>
      </w:pPr>
      <w:r>
        <w:rPr>
          <w:sz w:val="2"/>
          <w:szCs w:val="2"/>
        </w:rPr>
        <w:br w:type="column"/>
      </w:r>
    </w:p>
    <w:p w14:paraId="44F632B5">
      <w:pPr>
        <w:pStyle w:val="2"/>
        <w:spacing w:before="27" w:line="173" w:lineRule="auto"/>
        <w:ind w:left="4"/>
        <w:rPr>
          <w:sz w:val="16"/>
          <w:szCs w:val="16"/>
        </w:rPr>
      </w:pPr>
      <w:r>
        <w:rPr>
          <w:color w:val="6E9E85"/>
          <w:spacing w:val="4"/>
          <w:sz w:val="16"/>
          <w:szCs w:val="16"/>
        </w:rPr>
        <w:t>2025</w:t>
      </w:r>
    </w:p>
    <w:p w14:paraId="617FDD99">
      <w:pPr>
        <w:spacing w:before="166" w:line="167" w:lineRule="exact"/>
        <w:rPr>
          <w:rFonts w:ascii="微软雅黑" w:hAnsi="微软雅黑" w:eastAsia="微软雅黑" w:cs="微软雅黑"/>
          <w:sz w:val="16"/>
          <w:szCs w:val="16"/>
        </w:rPr>
      </w:pPr>
      <w:r>
        <w:rPr>
          <w:rFonts w:ascii="微软雅黑" w:hAnsi="微软雅黑" w:eastAsia="微软雅黑" w:cs="微软雅黑"/>
          <w:color w:val="6E9E85"/>
          <w:spacing w:val="8"/>
          <w:position w:val="-1"/>
          <w:sz w:val="16"/>
          <w:szCs w:val="16"/>
        </w:rPr>
        <w:t>非结构化数据增速</w:t>
      </w:r>
    </w:p>
    <w:p w14:paraId="36A5EA23">
      <w:pPr>
        <w:spacing w:before="141" w:line="133" w:lineRule="exact"/>
        <w:ind w:firstLine="20"/>
      </w:pPr>
      <w:r>
        <w:rPr>
          <w:position w:val="-2"/>
        </w:rPr>
        <w:drawing>
          <wp:inline distT="0" distB="0" distL="0" distR="0">
            <wp:extent cx="281305" cy="83820"/>
            <wp:effectExtent l="0" t="0" r="0" b="0"/>
            <wp:docPr id="306" name="IM 306"/>
            <wp:cNvGraphicFramePr/>
            <a:graphic xmlns:a="http://schemas.openxmlformats.org/drawingml/2006/main">
              <a:graphicData uri="http://schemas.openxmlformats.org/drawingml/2006/picture">
                <pic:pic xmlns:pic="http://schemas.openxmlformats.org/drawingml/2006/picture">
                  <pic:nvPicPr>
                    <pic:cNvPr id="306" name="IM 306"/>
                    <pic:cNvPicPr/>
                  </pic:nvPicPr>
                  <pic:blipFill>
                    <a:blip r:embed="rId187"/>
                    <a:stretch>
                      <a:fillRect/>
                    </a:stretch>
                  </pic:blipFill>
                  <pic:spPr>
                    <a:xfrm>
                      <a:off x="0" y="0"/>
                      <a:ext cx="281775" cy="84353"/>
                    </a:xfrm>
                    <a:prstGeom prst="rect">
                      <a:avLst/>
                    </a:prstGeom>
                  </pic:spPr>
                </pic:pic>
              </a:graphicData>
            </a:graphic>
          </wp:inline>
        </w:drawing>
      </w:r>
    </w:p>
    <w:p w14:paraId="524A44D4">
      <w:pPr>
        <w:pStyle w:val="2"/>
        <w:spacing w:line="14" w:lineRule="auto"/>
        <w:rPr>
          <w:sz w:val="2"/>
        </w:rPr>
      </w:pPr>
      <w:r>
        <w:rPr>
          <w:sz w:val="2"/>
          <w:szCs w:val="2"/>
        </w:rPr>
        <w:br w:type="column"/>
      </w:r>
    </w:p>
    <w:p w14:paraId="373442C4">
      <w:pPr>
        <w:pStyle w:val="2"/>
        <w:spacing w:before="24" w:line="173" w:lineRule="auto"/>
        <w:ind w:left="5"/>
        <w:rPr>
          <w:sz w:val="16"/>
          <w:szCs w:val="16"/>
        </w:rPr>
      </w:pPr>
      <w:r>
        <w:rPr>
          <w:color w:val="6E9E85"/>
          <w:spacing w:val="4"/>
          <w:sz w:val="16"/>
          <w:szCs w:val="16"/>
        </w:rPr>
        <w:t>2025</w:t>
      </w:r>
    </w:p>
    <w:p w14:paraId="33A4218A">
      <w:pPr>
        <w:pStyle w:val="2"/>
        <w:spacing w:before="167" w:line="228" w:lineRule="auto"/>
        <w:ind w:left="20" w:right="1398" w:hanging="21"/>
        <w:rPr>
          <w:sz w:val="17"/>
          <w:szCs w:val="17"/>
        </w:rPr>
      </w:pPr>
      <w:r>
        <w:rPr>
          <w:rFonts w:ascii="微软雅黑" w:hAnsi="微软雅黑" w:eastAsia="微软雅黑" w:cs="微软雅黑"/>
          <w:color w:val="6E9E85"/>
          <w:spacing w:val="8"/>
          <w:sz w:val="16"/>
          <w:szCs w:val="16"/>
        </w:rPr>
        <w:t>实时数据计算投入占比</w:t>
      </w:r>
      <w:r>
        <w:rPr>
          <w:rFonts w:ascii="微软雅黑" w:hAnsi="微软雅黑" w:eastAsia="微软雅黑" w:cs="微软雅黑"/>
          <w:color w:val="6E9E85"/>
          <w:spacing w:val="5"/>
          <w:sz w:val="16"/>
          <w:szCs w:val="16"/>
        </w:rPr>
        <w:t xml:space="preserve"> </w:t>
      </w:r>
      <w:r>
        <w:rPr>
          <w:color w:val="6E9E85"/>
          <w:spacing w:val="1"/>
          <w:sz w:val="17"/>
          <w:szCs w:val="17"/>
        </w:rPr>
        <w:t>&gt;23%</w:t>
      </w:r>
    </w:p>
    <w:p w14:paraId="0916AD29">
      <w:pPr>
        <w:spacing w:line="228" w:lineRule="auto"/>
        <w:rPr>
          <w:sz w:val="17"/>
          <w:szCs w:val="17"/>
        </w:rPr>
        <w:sectPr>
          <w:type w:val="continuous"/>
          <w:pgSz w:w="11906" w:h="16158"/>
          <w:pgMar w:top="400" w:right="1150" w:bottom="400" w:left="1004" w:header="0" w:footer="0" w:gutter="0"/>
          <w:cols w:equalWidth="0" w:num="3">
            <w:col w:w="4421" w:space="100"/>
            <w:col w:w="2045" w:space="100"/>
            <w:col w:w="3086"/>
          </w:cols>
        </w:sectPr>
      </w:pPr>
    </w:p>
    <w:p w14:paraId="67ED10AB">
      <w:pPr>
        <w:spacing w:before="249" w:line="204" w:lineRule="auto"/>
        <w:ind w:left="3754"/>
        <w:rPr>
          <w:rFonts w:ascii="微软雅黑" w:hAnsi="微软雅黑" w:eastAsia="微软雅黑" w:cs="微软雅黑"/>
          <w:sz w:val="20"/>
          <w:szCs w:val="20"/>
        </w:rPr>
      </w:pPr>
      <w:r>
        <w:rPr>
          <w:rFonts w:ascii="微软雅黑" w:hAnsi="微软雅黑" w:eastAsia="微软雅黑" w:cs="微软雅黑"/>
          <w:color w:val="231F20"/>
          <w:spacing w:val="1"/>
          <w:sz w:val="20"/>
          <w:szCs w:val="20"/>
        </w:rPr>
        <w:t>图</w:t>
      </w:r>
      <w:r>
        <w:rPr>
          <w:rFonts w:ascii="微软雅黑" w:hAnsi="微软雅黑" w:eastAsia="微软雅黑" w:cs="微软雅黑"/>
          <w:color w:val="231F20"/>
          <w:spacing w:val="36"/>
          <w:sz w:val="20"/>
          <w:szCs w:val="20"/>
        </w:rPr>
        <w:t xml:space="preserve"> </w:t>
      </w:r>
      <w:r>
        <w:rPr>
          <w:rFonts w:ascii="微软雅黑" w:hAnsi="微软雅黑" w:eastAsia="微软雅黑" w:cs="微软雅黑"/>
          <w:color w:val="231F20"/>
          <w:spacing w:val="1"/>
          <w:sz w:val="20"/>
          <w:szCs w:val="20"/>
        </w:rPr>
        <w:t>19 数据复杂性持续增加</w:t>
      </w:r>
    </w:p>
    <w:p w14:paraId="67EA2380">
      <w:pPr>
        <w:pStyle w:val="2"/>
        <w:spacing w:line="259" w:lineRule="auto"/>
      </w:pPr>
      <w:r>
        <w:pict>
          <v:shape id="_x0000_s1348" o:spid="_x0000_s1348" style="position:absolute;left:0pt;margin-left:12.25pt;margin-top:7.05pt;height:0.25pt;width:470.6pt;z-index:251904000;mso-width-relative:page;mso-height-relative:page;" filled="f" stroked="t" coordsize="9412,5" path="m0,2l9411,2e">
            <v:fill on="f" focussize="0,0"/>
            <v:stroke weight="0.25pt" color="#231F20" miterlimit="4" joinstyle="miter"/>
            <v:imagedata o:title=""/>
            <o:lock v:ext="edit"/>
          </v:shape>
        </w:pict>
      </w:r>
    </w:p>
    <w:p w14:paraId="670373E3">
      <w:pPr>
        <w:spacing w:before="59" w:line="231" w:lineRule="auto"/>
        <w:ind w:left="251"/>
        <w:rPr>
          <w:rFonts w:ascii="楷体" w:hAnsi="楷体" w:eastAsia="楷体" w:cs="楷体"/>
          <w:sz w:val="18"/>
          <w:szCs w:val="18"/>
        </w:rPr>
      </w:pPr>
      <w:r>
        <w:rPr>
          <w:rFonts w:ascii="楷体" w:hAnsi="楷体" w:eastAsia="楷体" w:cs="楷体"/>
          <w:color w:val="231F20"/>
          <w:spacing w:val="-9"/>
          <w:sz w:val="18"/>
          <w:szCs w:val="18"/>
        </w:rPr>
        <w:t>5.IDC,</w:t>
      </w:r>
      <w:r>
        <w:rPr>
          <w:rFonts w:ascii="楷体" w:hAnsi="楷体" w:eastAsia="楷体" w:cs="楷体"/>
          <w:color w:val="231F20"/>
          <w:spacing w:val="38"/>
          <w:sz w:val="18"/>
          <w:szCs w:val="18"/>
        </w:rPr>
        <w:t xml:space="preserve"> </w:t>
      </w:r>
      <w:r>
        <w:rPr>
          <w:rFonts w:ascii="楷体" w:hAnsi="楷体" w:eastAsia="楷体" w:cs="楷体"/>
          <w:color w:val="231F20"/>
          <w:spacing w:val="-9"/>
          <w:sz w:val="18"/>
          <w:szCs w:val="18"/>
        </w:rPr>
        <w:t>《Worldwide</w:t>
      </w:r>
      <w:r>
        <w:rPr>
          <w:rFonts w:ascii="楷体" w:hAnsi="楷体" w:eastAsia="楷体" w:cs="楷体"/>
          <w:color w:val="231F20"/>
          <w:spacing w:val="-29"/>
          <w:sz w:val="18"/>
          <w:szCs w:val="18"/>
        </w:rPr>
        <w:t xml:space="preserve"> </w:t>
      </w:r>
      <w:r>
        <w:rPr>
          <w:rFonts w:ascii="楷体" w:hAnsi="楷体" w:eastAsia="楷体" w:cs="楷体"/>
          <w:color w:val="231F20"/>
          <w:spacing w:val="-9"/>
          <w:sz w:val="18"/>
          <w:szCs w:val="18"/>
        </w:rPr>
        <w:t>Global</w:t>
      </w:r>
      <w:r>
        <w:rPr>
          <w:rFonts w:ascii="楷体" w:hAnsi="楷体" w:eastAsia="楷体" w:cs="楷体"/>
          <w:color w:val="231F20"/>
          <w:spacing w:val="-35"/>
          <w:sz w:val="18"/>
          <w:szCs w:val="18"/>
        </w:rPr>
        <w:t xml:space="preserve"> </w:t>
      </w:r>
      <w:r>
        <w:rPr>
          <w:rFonts w:ascii="楷体" w:hAnsi="楷体" w:eastAsia="楷体" w:cs="楷体"/>
          <w:color w:val="231F20"/>
          <w:spacing w:val="-9"/>
          <w:sz w:val="18"/>
          <w:szCs w:val="18"/>
        </w:rPr>
        <w:t>D</w:t>
      </w:r>
      <w:r>
        <w:rPr>
          <w:rFonts w:ascii="楷体" w:hAnsi="楷体" w:eastAsia="楷体" w:cs="楷体"/>
          <w:color w:val="231F20"/>
          <w:spacing w:val="-10"/>
          <w:sz w:val="18"/>
          <w:szCs w:val="18"/>
        </w:rPr>
        <w:t>ataSphere</w:t>
      </w:r>
      <w:r>
        <w:rPr>
          <w:rFonts w:ascii="楷体" w:hAnsi="楷体" w:eastAsia="楷体" w:cs="楷体"/>
          <w:color w:val="231F20"/>
          <w:spacing w:val="-33"/>
          <w:sz w:val="18"/>
          <w:szCs w:val="18"/>
        </w:rPr>
        <w:t xml:space="preserve"> </w:t>
      </w:r>
      <w:r>
        <w:rPr>
          <w:rFonts w:ascii="楷体" w:hAnsi="楷体" w:eastAsia="楷体" w:cs="楷体"/>
          <w:color w:val="231F20"/>
          <w:spacing w:val="-10"/>
          <w:sz w:val="18"/>
          <w:szCs w:val="18"/>
        </w:rPr>
        <w:t>and</w:t>
      </w:r>
      <w:r>
        <w:rPr>
          <w:rFonts w:ascii="楷体" w:hAnsi="楷体" w:eastAsia="楷体" w:cs="楷体"/>
          <w:color w:val="231F20"/>
          <w:spacing w:val="-28"/>
          <w:sz w:val="18"/>
          <w:szCs w:val="18"/>
        </w:rPr>
        <w:t xml:space="preserve"> </w:t>
      </w:r>
      <w:r>
        <w:rPr>
          <w:rFonts w:ascii="楷体" w:hAnsi="楷体" w:eastAsia="楷体" w:cs="楷体"/>
          <w:color w:val="231F20"/>
          <w:spacing w:val="-10"/>
          <w:sz w:val="18"/>
          <w:szCs w:val="18"/>
        </w:rPr>
        <w:t>Global</w:t>
      </w:r>
      <w:r>
        <w:rPr>
          <w:rFonts w:ascii="楷体" w:hAnsi="楷体" w:eastAsia="楷体" w:cs="楷体"/>
          <w:color w:val="231F20"/>
          <w:spacing w:val="-31"/>
          <w:sz w:val="18"/>
          <w:szCs w:val="18"/>
        </w:rPr>
        <w:t xml:space="preserve"> </w:t>
      </w:r>
      <w:r>
        <w:rPr>
          <w:rFonts w:ascii="楷体" w:hAnsi="楷体" w:eastAsia="楷体" w:cs="楷体"/>
          <w:color w:val="231F20"/>
          <w:spacing w:val="-10"/>
          <w:sz w:val="18"/>
          <w:szCs w:val="18"/>
        </w:rPr>
        <w:t>StorageSphere</w:t>
      </w:r>
      <w:r>
        <w:rPr>
          <w:rFonts w:ascii="楷体" w:hAnsi="楷体" w:eastAsia="楷体" w:cs="楷体"/>
          <w:color w:val="231F20"/>
          <w:spacing w:val="-31"/>
          <w:sz w:val="18"/>
          <w:szCs w:val="18"/>
        </w:rPr>
        <w:t xml:space="preserve"> </w:t>
      </w:r>
      <w:r>
        <w:rPr>
          <w:rFonts w:ascii="楷体" w:hAnsi="楷体" w:eastAsia="楷体" w:cs="楷体"/>
          <w:color w:val="231F20"/>
          <w:spacing w:val="-10"/>
          <w:sz w:val="18"/>
          <w:szCs w:val="18"/>
        </w:rPr>
        <w:t>Structured</w:t>
      </w:r>
      <w:r>
        <w:rPr>
          <w:rFonts w:ascii="楷体" w:hAnsi="楷体" w:eastAsia="楷体" w:cs="楷体"/>
          <w:color w:val="231F20"/>
          <w:spacing w:val="-32"/>
          <w:sz w:val="18"/>
          <w:szCs w:val="18"/>
        </w:rPr>
        <w:t xml:space="preserve"> </w:t>
      </w:r>
      <w:r>
        <w:rPr>
          <w:rFonts w:ascii="楷体" w:hAnsi="楷体" w:eastAsia="楷体" w:cs="楷体"/>
          <w:color w:val="231F20"/>
          <w:spacing w:val="-10"/>
          <w:sz w:val="18"/>
          <w:szCs w:val="18"/>
        </w:rPr>
        <w:t>and</w:t>
      </w:r>
      <w:r>
        <w:rPr>
          <w:rFonts w:ascii="楷体" w:hAnsi="楷体" w:eastAsia="楷体" w:cs="楷体"/>
          <w:color w:val="231F20"/>
          <w:spacing w:val="-35"/>
          <w:sz w:val="18"/>
          <w:szCs w:val="18"/>
        </w:rPr>
        <w:t xml:space="preserve"> </w:t>
      </w:r>
      <w:r>
        <w:rPr>
          <w:rFonts w:ascii="楷体" w:hAnsi="楷体" w:eastAsia="楷体" w:cs="楷体"/>
          <w:color w:val="231F20"/>
          <w:spacing w:val="-10"/>
          <w:sz w:val="18"/>
          <w:szCs w:val="18"/>
        </w:rPr>
        <w:t>Unstructured</w:t>
      </w:r>
      <w:r>
        <w:rPr>
          <w:rFonts w:ascii="楷体" w:hAnsi="楷体" w:eastAsia="楷体" w:cs="楷体"/>
          <w:color w:val="231F20"/>
          <w:spacing w:val="-36"/>
          <w:sz w:val="18"/>
          <w:szCs w:val="18"/>
        </w:rPr>
        <w:t xml:space="preserve"> </w:t>
      </w:r>
      <w:r>
        <w:rPr>
          <w:rFonts w:ascii="楷体" w:hAnsi="楷体" w:eastAsia="楷体" w:cs="楷体"/>
          <w:color w:val="231F20"/>
          <w:spacing w:val="-10"/>
          <w:sz w:val="18"/>
          <w:szCs w:val="18"/>
        </w:rPr>
        <w:t>Data</w:t>
      </w:r>
      <w:r>
        <w:rPr>
          <w:rFonts w:ascii="楷体" w:hAnsi="楷体" w:eastAsia="楷体" w:cs="楷体"/>
          <w:color w:val="231F20"/>
          <w:spacing w:val="-30"/>
          <w:sz w:val="18"/>
          <w:szCs w:val="18"/>
        </w:rPr>
        <w:t xml:space="preserve"> </w:t>
      </w:r>
      <w:r>
        <w:rPr>
          <w:rFonts w:ascii="楷体" w:hAnsi="楷体" w:eastAsia="楷体" w:cs="楷体"/>
          <w:color w:val="231F20"/>
          <w:spacing w:val="-10"/>
          <w:sz w:val="18"/>
          <w:szCs w:val="18"/>
        </w:rPr>
        <w:t>Forecast,</w:t>
      </w:r>
      <w:r>
        <w:rPr>
          <w:rFonts w:ascii="楷体" w:hAnsi="楷体" w:eastAsia="楷体" w:cs="楷体"/>
          <w:color w:val="231F20"/>
          <w:spacing w:val="-33"/>
          <w:sz w:val="18"/>
          <w:szCs w:val="18"/>
        </w:rPr>
        <w:t xml:space="preserve"> </w:t>
      </w:r>
      <w:r>
        <w:rPr>
          <w:rFonts w:ascii="楷体" w:hAnsi="楷体" w:eastAsia="楷体" w:cs="楷体"/>
          <w:color w:val="231F20"/>
          <w:spacing w:val="-10"/>
          <w:sz w:val="18"/>
          <w:szCs w:val="18"/>
        </w:rPr>
        <w:t>2021-2025》.</w:t>
      </w:r>
    </w:p>
    <w:p w14:paraId="7AA9DCBE">
      <w:pPr>
        <w:pStyle w:val="2"/>
        <w:spacing w:line="362" w:lineRule="auto"/>
      </w:pPr>
    </w:p>
    <w:p w14:paraId="2B9A590A">
      <w:pPr>
        <w:pStyle w:val="2"/>
        <w:spacing w:before="58" w:line="146" w:lineRule="exact"/>
        <w:ind w:left="4839"/>
        <w:rPr>
          <w:sz w:val="20"/>
          <w:szCs w:val="20"/>
        </w:rPr>
      </w:pPr>
      <w:r>
        <w:pict>
          <v:shape id="_x0000_s1349" o:spid="_x0000_s1349" o:spt="202" type="#_x0000_t202" style="position:absolute;left:0pt;margin-left:274.65pt;margin-top:6.6pt;height:15.95pt;width:199.4pt;z-index:251899904;mso-width-relative:page;mso-height-relative:page;" filled="f" stroked="f" coordsize="21600,21600">
            <v:path/>
            <v:fill on="f" focussize="0,0"/>
            <v:stroke on="f"/>
            <v:imagedata o:title=""/>
            <o:lock v:ext="edit" aspectratio="f"/>
            <v:textbox inset="0mm,0mm,0mm,0mm">
              <w:txbxContent>
                <w:p w14:paraId="66371A41">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1"/>
          <w:position w:val="-3"/>
          <w:sz w:val="20"/>
          <w:szCs w:val="20"/>
        </w:rPr>
        <w:t>43</w:t>
      </w:r>
    </w:p>
    <w:p w14:paraId="4D9A17BE">
      <w:pPr>
        <w:spacing w:line="146" w:lineRule="exact"/>
        <w:rPr>
          <w:sz w:val="20"/>
          <w:szCs w:val="20"/>
        </w:rPr>
        <w:sectPr>
          <w:type w:val="continuous"/>
          <w:pgSz w:w="11906" w:h="16158"/>
          <w:pgMar w:top="400" w:right="1150" w:bottom="400" w:left="1004" w:header="0" w:footer="0" w:gutter="0"/>
          <w:cols w:equalWidth="0" w:num="1">
            <w:col w:w="9751"/>
          </w:cols>
        </w:sectPr>
      </w:pPr>
    </w:p>
    <w:p w14:paraId="4C8920F5">
      <w:pPr>
        <w:pStyle w:val="2"/>
        <w:spacing w:line="349" w:lineRule="auto"/>
      </w:pPr>
    </w:p>
    <w:p w14:paraId="6AAF3E45">
      <w:pPr>
        <w:pStyle w:val="2"/>
        <w:spacing w:line="350" w:lineRule="auto"/>
      </w:pPr>
    </w:p>
    <w:p w14:paraId="20DB9095">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-5</w:t>
      </w:r>
    </w:p>
    <w:p w14:paraId="0DE09655">
      <w:pPr>
        <w:spacing w:before="55" w:line="178" w:lineRule="auto"/>
        <w:ind w:left="411"/>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数据资产管理发展趋势</w:t>
      </w:r>
    </w:p>
    <w:p w14:paraId="40879D46">
      <w:pPr>
        <w:pStyle w:val="2"/>
        <w:spacing w:line="293" w:lineRule="auto"/>
      </w:pPr>
    </w:p>
    <w:p w14:paraId="76422ABD">
      <w:pPr>
        <w:pStyle w:val="2"/>
        <w:spacing w:line="293" w:lineRule="auto"/>
      </w:pPr>
    </w:p>
    <w:p w14:paraId="698FD018">
      <w:pPr>
        <w:pStyle w:val="2"/>
        <w:spacing w:line="293" w:lineRule="auto"/>
      </w:pPr>
    </w:p>
    <w:p w14:paraId="470986AD">
      <w:pPr>
        <w:spacing w:before="103" w:line="180" w:lineRule="auto"/>
        <w:ind w:left="251"/>
        <w:rPr>
          <w:rFonts w:ascii="微软雅黑" w:hAnsi="微软雅黑" w:eastAsia="微软雅黑" w:cs="微软雅黑"/>
          <w:sz w:val="24"/>
          <w:szCs w:val="24"/>
        </w:rPr>
      </w:pPr>
      <w:r>
        <w:rPr>
          <w:rFonts w:ascii="微软雅黑" w:hAnsi="微软雅黑" w:eastAsia="微软雅黑" w:cs="微软雅黑"/>
          <w:color w:val="231F20"/>
          <w:spacing w:val="7"/>
          <w:sz w:val="24"/>
          <w:szCs w:val="24"/>
        </w:rPr>
        <w:t>2. 管理理念：从被动响应到主动赋能</w:t>
      </w:r>
    </w:p>
    <w:p w14:paraId="30D3DBCC">
      <w:pPr>
        <w:spacing w:before="143" w:line="290" w:lineRule="auto"/>
        <w:ind w:left="248" w:right="96" w:firstLine="492"/>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随着组织数字化转型的不断深入推进，数据资产管理占组织日常经营管</w:t>
      </w:r>
      <w:r>
        <w:rPr>
          <w:rFonts w:ascii="微软雅黑" w:hAnsi="微软雅黑" w:eastAsia="微软雅黑" w:cs="微软雅黑"/>
          <w:color w:val="231F20"/>
          <w:spacing w:val="1"/>
          <w:sz w:val="22"/>
          <w:szCs w:val="22"/>
        </w:rPr>
        <w:t>理的比重日渐增加，</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传统以需求定制开发为主要模式的被动服务形式，</w:t>
      </w:r>
      <w:r>
        <w:rPr>
          <w:rFonts w:ascii="微软雅黑" w:hAnsi="微软雅黑" w:eastAsia="微软雅黑" w:cs="微软雅黑"/>
          <w:color w:val="231F20"/>
          <w:spacing w:val="-38"/>
          <w:sz w:val="22"/>
          <w:szCs w:val="22"/>
        </w:rPr>
        <w:t xml:space="preserve"> </w:t>
      </w:r>
      <w:r>
        <w:rPr>
          <w:rFonts w:ascii="微软雅黑" w:hAnsi="微软雅黑" w:eastAsia="微软雅黑" w:cs="微软雅黑"/>
          <w:color w:val="231F20"/>
          <w:spacing w:val="3"/>
          <w:sz w:val="22"/>
          <w:szCs w:val="22"/>
        </w:rPr>
        <w:t>已难以满足组织数据服</w:t>
      </w:r>
      <w:r>
        <w:rPr>
          <w:rFonts w:ascii="微软雅黑" w:hAnsi="微软雅黑" w:eastAsia="微软雅黑" w:cs="微软雅黑"/>
          <w:color w:val="231F20"/>
          <w:spacing w:val="2"/>
          <w:sz w:val="22"/>
          <w:szCs w:val="22"/>
        </w:rPr>
        <w:t>务响应诉求。此外，</w:t>
      </w:r>
      <w:r>
        <w:rPr>
          <w:rFonts w:ascii="微软雅黑" w:hAnsi="微软雅黑" w:eastAsia="微软雅黑" w:cs="微软雅黑"/>
          <w:color w:val="231F20"/>
          <w:spacing w:val="-45"/>
          <w:sz w:val="22"/>
          <w:szCs w:val="22"/>
        </w:rPr>
        <w:t xml:space="preserve"> </w:t>
      </w:r>
      <w:r>
        <w:rPr>
          <w:rFonts w:ascii="微软雅黑" w:hAnsi="微软雅黑" w:eastAsia="微软雅黑" w:cs="微软雅黑"/>
          <w:color w:val="231F20"/>
          <w:spacing w:val="2"/>
          <w:sz w:val="22"/>
          <w:szCs w:val="22"/>
        </w:rPr>
        <w:t>随</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着数据素养和数字技能的不断提升，数据使用者培养了主动消费意识和能力，以数据资产目录为</w:t>
      </w:r>
      <w:r>
        <w:rPr>
          <w:rFonts w:ascii="微软雅黑" w:hAnsi="微软雅黑" w:eastAsia="微软雅黑" w:cs="微软雅黑"/>
          <w:color w:val="231F20"/>
          <w:spacing w:val="18"/>
          <w:w w:val="101"/>
          <w:sz w:val="22"/>
          <w:szCs w:val="22"/>
        </w:rPr>
        <w:t xml:space="preserve"> </w:t>
      </w:r>
      <w:r>
        <w:rPr>
          <w:rFonts w:ascii="微软雅黑" w:hAnsi="微软雅黑" w:eastAsia="微软雅黑" w:cs="微软雅黑"/>
          <w:color w:val="231F20"/>
          <w:spacing w:val="-2"/>
          <w:sz w:val="22"/>
          <w:szCs w:val="22"/>
        </w:rPr>
        <w:t>载体、以自助式数据服务为手段、以全流程安全防护为保障的数据主动</w:t>
      </w:r>
      <w:r>
        <w:rPr>
          <w:rFonts w:ascii="微软雅黑" w:hAnsi="微软雅黑" w:eastAsia="微软雅黑" w:cs="微软雅黑"/>
          <w:color w:val="231F20"/>
          <w:spacing w:val="-3"/>
          <w:sz w:val="22"/>
          <w:szCs w:val="22"/>
        </w:rPr>
        <w:t>消费和管控模式正在形成，</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在提升数据服务水平的同时，进一步提升数据应用的广度和深度。</w:t>
      </w:r>
    </w:p>
    <w:p w14:paraId="7B3FC601">
      <w:pPr>
        <w:pStyle w:val="2"/>
        <w:spacing w:line="382" w:lineRule="auto"/>
      </w:pPr>
    </w:p>
    <w:p w14:paraId="023E6E42">
      <w:pPr>
        <w:spacing w:before="103" w:line="180" w:lineRule="auto"/>
        <w:ind w:left="251"/>
        <w:rPr>
          <w:rFonts w:ascii="微软雅黑" w:hAnsi="微软雅黑" w:eastAsia="微软雅黑" w:cs="微软雅黑"/>
          <w:sz w:val="24"/>
          <w:szCs w:val="24"/>
        </w:rPr>
      </w:pPr>
      <w:r>
        <w:rPr>
          <w:rFonts w:ascii="微软雅黑" w:hAnsi="微软雅黑" w:eastAsia="微软雅黑" w:cs="微软雅黑"/>
          <w:color w:val="231F20"/>
          <w:spacing w:val="7"/>
          <w:sz w:val="24"/>
          <w:szCs w:val="24"/>
        </w:rPr>
        <w:t>3. 组织形态：向专业化与复合型升级</w:t>
      </w:r>
    </w:p>
    <w:p w14:paraId="479EE376">
      <w:pPr>
        <w:spacing w:before="151" w:line="291" w:lineRule="auto"/>
        <w:ind w:left="247" w:firstLine="497"/>
        <w:rPr>
          <w:rFonts w:ascii="微软雅黑" w:hAnsi="微软雅黑" w:eastAsia="微软雅黑" w:cs="微软雅黑"/>
          <w:sz w:val="22"/>
          <w:szCs w:val="22"/>
        </w:rPr>
      </w:pPr>
      <w:r>
        <w:rPr>
          <w:rFonts w:ascii="微软雅黑" w:hAnsi="微软雅黑" w:eastAsia="微软雅黑" w:cs="微软雅黑"/>
          <w:color w:val="231F20"/>
          <w:sz w:val="22"/>
          <w:szCs w:val="22"/>
        </w:rPr>
        <w:t>区别于信息化阶段作为 IT 部门的从属部门，数据资产管理组织与职能已逐步独立化。对于政</w:t>
      </w:r>
      <w:r>
        <w:rPr>
          <w:rFonts w:ascii="微软雅黑" w:hAnsi="微软雅黑" w:eastAsia="微软雅黑" w:cs="微软雅黑"/>
          <w:color w:val="231F20"/>
          <w:spacing w:val="3"/>
          <w:sz w:val="22"/>
          <w:szCs w:val="22"/>
        </w:rPr>
        <w:t xml:space="preserve">  府，由专门的政府机构承。在业务部门设立数据管理兼职</w:t>
      </w:r>
      <w:r>
        <w:rPr>
          <w:rFonts w:ascii="微软雅黑" w:hAnsi="微软雅黑" w:eastAsia="微软雅黑" w:cs="微软雅黑"/>
          <w:color w:val="231F20"/>
          <w:spacing w:val="2"/>
          <w:sz w:val="22"/>
          <w:szCs w:val="22"/>
        </w:rPr>
        <w:t>岗位，首席数据官（</w:t>
      </w:r>
      <w:r>
        <w:rPr>
          <w:rFonts w:ascii="微软雅黑" w:hAnsi="微软雅黑" w:eastAsia="微软雅黑" w:cs="微软雅黑"/>
          <w:color w:val="231F20"/>
          <w:sz w:val="22"/>
          <w:szCs w:val="22"/>
        </w:rPr>
        <w:t>CDO</w:t>
      </w:r>
      <w:r>
        <w:rPr>
          <w:rFonts w:ascii="微软雅黑" w:hAnsi="微软雅黑" w:eastAsia="微软雅黑" w:cs="微软雅黑"/>
          <w:color w:val="231F20"/>
          <w:spacing w:val="2"/>
          <w:sz w:val="22"/>
          <w:szCs w:val="22"/>
        </w:rPr>
        <w:t>）制度也出现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在了上海、广东、山东、江苏等地的规划中，覆盖决策、管理、设计、维护的</w:t>
      </w:r>
      <w:r>
        <w:rPr>
          <w:rFonts w:ascii="微软雅黑" w:hAnsi="微软雅黑" w:eastAsia="微软雅黑" w:cs="微软雅黑"/>
          <w:color w:val="231F20"/>
          <w:spacing w:val="3"/>
          <w:sz w:val="22"/>
          <w:szCs w:val="22"/>
        </w:rPr>
        <w:t>数据资产管理专业</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组织形态已逐步显现。对于企业，很多组织开始建立数据资产管理委员会、数据管理部等专业</w:t>
      </w:r>
      <w:r>
        <w:rPr>
          <w:rFonts w:ascii="微软雅黑" w:hAnsi="微软雅黑" w:eastAsia="微软雅黑" w:cs="微软雅黑"/>
          <w:color w:val="231F20"/>
          <w:spacing w:val="-5"/>
          <w:sz w:val="22"/>
          <w:szCs w:val="22"/>
        </w:rPr>
        <w:t>机构。</w:t>
      </w:r>
      <w:r>
        <w:rPr>
          <w:rFonts w:ascii="微软雅黑" w:hAnsi="微软雅黑" w:eastAsia="微软雅黑" w:cs="微软雅黑"/>
          <w:color w:val="231F20"/>
          <w:sz w:val="22"/>
          <w:szCs w:val="22"/>
        </w:rPr>
        <w:t xml:space="preserve"> DCMM 评估结果显示，目前设置数据资产管理委员会、数据管理部门的组织占比在</w:t>
      </w:r>
      <w:r>
        <w:rPr>
          <w:rFonts w:ascii="微软雅黑" w:hAnsi="微软雅黑" w:eastAsia="微软雅黑" w:cs="微软雅黑"/>
          <w:color w:val="231F20"/>
          <w:spacing w:val="-1"/>
          <w:sz w:val="22"/>
          <w:szCs w:val="22"/>
        </w:rPr>
        <w:t xml:space="preserve"> 40% 左右。</w:t>
      </w:r>
    </w:p>
    <w:p w14:paraId="7E525D67">
      <w:pPr>
        <w:spacing w:before="11" w:line="292" w:lineRule="auto"/>
        <w:ind w:left="248" w:right="94" w:firstLine="480"/>
        <w:rPr>
          <w:rFonts w:ascii="微软雅黑" w:hAnsi="微软雅黑" w:eastAsia="微软雅黑" w:cs="微软雅黑"/>
          <w:sz w:val="22"/>
          <w:szCs w:val="22"/>
        </w:rPr>
      </w:pPr>
      <w:r>
        <w:rPr>
          <w:rFonts w:ascii="微软雅黑" w:hAnsi="微软雅黑" w:eastAsia="微软雅黑" w:cs="微软雅黑"/>
          <w:color w:val="231F20"/>
          <w:spacing w:val="23"/>
          <w:sz w:val="22"/>
          <w:szCs w:val="22"/>
        </w:rPr>
        <w:t xml:space="preserve">数据资产管理组织形成以 </w:t>
      </w:r>
      <w:r>
        <w:rPr>
          <w:rFonts w:ascii="微软雅黑" w:hAnsi="微软雅黑" w:eastAsia="微软雅黑" w:cs="微软雅黑"/>
          <w:color w:val="231F20"/>
          <w:sz w:val="22"/>
          <w:szCs w:val="22"/>
        </w:rPr>
        <w:t>CDO</w:t>
      </w:r>
      <w:r>
        <w:rPr>
          <w:rFonts w:ascii="微软雅黑" w:hAnsi="微软雅黑" w:eastAsia="微软雅黑" w:cs="微软雅黑"/>
          <w:color w:val="231F20"/>
          <w:spacing w:val="23"/>
          <w:sz w:val="22"/>
          <w:szCs w:val="22"/>
        </w:rPr>
        <w:t xml:space="preserve"> 或 </w:t>
      </w:r>
      <w:r>
        <w:rPr>
          <w:rFonts w:ascii="微软雅黑" w:hAnsi="微软雅黑" w:eastAsia="微软雅黑" w:cs="微软雅黑"/>
          <w:color w:val="231F20"/>
          <w:sz w:val="22"/>
          <w:szCs w:val="22"/>
        </w:rPr>
        <w:t>CIO</w:t>
      </w:r>
      <w:r>
        <w:rPr>
          <w:rFonts w:ascii="微软雅黑" w:hAnsi="微软雅黑" w:eastAsia="微软雅黑" w:cs="微软雅黑"/>
          <w:color w:val="231F20"/>
          <w:spacing w:val="23"/>
          <w:sz w:val="22"/>
          <w:szCs w:val="22"/>
        </w:rPr>
        <w:t xml:space="preserve"> 主导、业务部门与</w:t>
      </w:r>
      <w:r>
        <w:rPr>
          <w:rFonts w:ascii="微软雅黑" w:hAnsi="微软雅黑" w:eastAsia="微软雅黑" w:cs="微软雅黑"/>
          <w:color w:val="231F20"/>
          <w:spacing w:val="45"/>
          <w:sz w:val="22"/>
          <w:szCs w:val="22"/>
        </w:rPr>
        <w:t xml:space="preserve"> </w:t>
      </w:r>
      <w:r>
        <w:rPr>
          <w:rFonts w:ascii="微软雅黑" w:hAnsi="微软雅黑" w:eastAsia="微软雅黑" w:cs="微软雅黑"/>
          <w:color w:val="231F20"/>
          <w:sz w:val="22"/>
          <w:szCs w:val="22"/>
        </w:rPr>
        <w:t>IT</w:t>
      </w:r>
      <w:r>
        <w:rPr>
          <w:rFonts w:ascii="微软雅黑" w:hAnsi="微软雅黑" w:eastAsia="微软雅黑" w:cs="微软雅黑"/>
          <w:color w:val="231F20"/>
          <w:spacing w:val="23"/>
          <w:sz w:val="22"/>
          <w:szCs w:val="22"/>
        </w:rPr>
        <w:t xml:space="preserve"> 部门协同参与的模式。</w:t>
      </w:r>
      <w:r>
        <w:rPr>
          <w:rFonts w:ascii="微软雅黑" w:hAnsi="微软雅黑" w:eastAsia="微软雅黑" w:cs="微软雅黑"/>
          <w:color w:val="231F20"/>
          <w:sz w:val="22"/>
          <w:szCs w:val="22"/>
        </w:rPr>
        <w:t xml:space="preserve"> Gartner 2021 年报告显示，75% 的公司将 CDO 视为与 IT、</w:t>
      </w:r>
      <w:r>
        <w:rPr>
          <w:rFonts w:ascii="微软雅黑" w:hAnsi="微软雅黑" w:eastAsia="微软雅黑" w:cs="微软雅黑"/>
          <w:color w:val="231F20"/>
          <w:spacing w:val="-1"/>
          <w:sz w:val="22"/>
          <w:szCs w:val="22"/>
        </w:rPr>
        <w:t>HR 和财务同样关键的职务。此外，</w:t>
      </w:r>
      <w:r>
        <w:rPr>
          <w:rFonts w:ascii="微软雅黑" w:hAnsi="微软雅黑" w:eastAsia="微软雅黑" w:cs="微软雅黑"/>
          <w:color w:val="231F20"/>
          <w:sz w:val="22"/>
          <w:szCs w:val="22"/>
        </w:rPr>
        <w:t xml:space="preserve"> IDC</w:t>
      </w:r>
      <w:r>
        <w:rPr>
          <w:rFonts w:ascii="微软雅黑" w:hAnsi="微软雅黑" w:eastAsia="微软雅黑" w:cs="微软雅黑"/>
          <w:color w:val="231F20"/>
          <w:spacing w:val="3"/>
          <w:sz w:val="22"/>
          <w:szCs w:val="22"/>
        </w:rPr>
        <w:t xml:space="preserve"> 调查显示，46.7% 的 </w:t>
      </w:r>
      <w:r>
        <w:rPr>
          <w:rFonts w:ascii="微软雅黑" w:hAnsi="微软雅黑" w:eastAsia="微软雅黑" w:cs="微软雅黑"/>
          <w:color w:val="231F20"/>
          <w:sz w:val="22"/>
          <w:szCs w:val="22"/>
        </w:rPr>
        <w:t>CIO</w:t>
      </w:r>
      <w:r>
        <w:rPr>
          <w:rFonts w:ascii="微软雅黑" w:hAnsi="微软雅黑" w:eastAsia="微软雅黑" w:cs="微软雅黑"/>
          <w:color w:val="231F20"/>
          <w:spacing w:val="3"/>
          <w:sz w:val="22"/>
          <w:szCs w:val="22"/>
        </w:rPr>
        <w:t xml:space="preserve"> 在企业数字化转型中起主导作用。此外，在业务部门与</w:t>
      </w:r>
      <w:r>
        <w:rPr>
          <w:rFonts w:ascii="微软雅黑" w:hAnsi="微软雅黑" w:eastAsia="微软雅黑" w:cs="微软雅黑"/>
          <w:color w:val="231F20"/>
          <w:spacing w:val="28"/>
          <w:w w:val="101"/>
          <w:sz w:val="22"/>
          <w:szCs w:val="22"/>
        </w:rPr>
        <w:t xml:space="preserve"> </w:t>
      </w:r>
      <w:r>
        <w:rPr>
          <w:rFonts w:ascii="微软雅黑" w:hAnsi="微软雅黑" w:eastAsia="微软雅黑" w:cs="微软雅黑"/>
          <w:color w:val="231F20"/>
          <w:sz w:val="22"/>
          <w:szCs w:val="22"/>
        </w:rPr>
        <w:t>IT</w:t>
      </w:r>
      <w:r>
        <w:rPr>
          <w:rFonts w:ascii="微软雅黑" w:hAnsi="微软雅黑" w:eastAsia="微软雅黑" w:cs="微软雅黑"/>
          <w:color w:val="231F20"/>
          <w:spacing w:val="3"/>
          <w:sz w:val="22"/>
          <w:szCs w:val="22"/>
        </w:rPr>
        <w:t xml:space="preserve"> 部门设</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置专职或兼职数据管理员，推动数据资产管理有效开展。</w:t>
      </w:r>
    </w:p>
    <w:p w14:paraId="7910CD52">
      <w:pPr>
        <w:pStyle w:val="2"/>
        <w:spacing w:line="360" w:lineRule="auto"/>
      </w:pPr>
    </w:p>
    <w:p w14:paraId="1D2C40F2">
      <w:pPr>
        <w:spacing w:before="104" w:line="179" w:lineRule="auto"/>
        <w:ind w:left="246"/>
        <w:rPr>
          <w:rFonts w:ascii="微软雅黑" w:hAnsi="微软雅黑" w:eastAsia="微软雅黑" w:cs="微软雅黑"/>
          <w:sz w:val="24"/>
          <w:szCs w:val="24"/>
        </w:rPr>
      </w:pPr>
      <w:r>
        <w:rPr>
          <w:rFonts w:ascii="微软雅黑" w:hAnsi="微软雅黑" w:eastAsia="微软雅黑" w:cs="微软雅黑"/>
          <w:color w:val="231F20"/>
          <w:spacing w:val="7"/>
          <w:sz w:val="24"/>
          <w:szCs w:val="24"/>
        </w:rPr>
        <w:t>4. 管理方式：敏捷协同的一体化管理</w:t>
      </w:r>
    </w:p>
    <w:p w14:paraId="7903BEE5">
      <w:pPr>
        <w:spacing w:before="135" w:line="291" w:lineRule="auto"/>
        <w:ind w:left="247" w:right="96" w:firstLine="483"/>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传统的数据资产管理建设往往由多个分散的管理活动和解决方案组成，造成数据资产管理各</w:t>
      </w:r>
      <w:r>
        <w:rPr>
          <w:rFonts w:ascii="微软雅黑" w:hAnsi="微软雅黑" w:eastAsia="微软雅黑" w:cs="微软雅黑"/>
          <w:color w:val="231F20"/>
          <w:spacing w:val="2"/>
          <w:sz w:val="22"/>
          <w:szCs w:val="22"/>
        </w:rPr>
        <w:t xml:space="preserve"> </w:t>
      </w:r>
      <w:r>
        <w:rPr>
          <w:rFonts w:ascii="微软雅黑" w:hAnsi="微软雅黑" w:eastAsia="微软雅黑" w:cs="微软雅黑"/>
          <w:color w:val="231F20"/>
          <w:spacing w:val="4"/>
          <w:sz w:val="22"/>
          <w:szCs w:val="22"/>
        </w:rPr>
        <w:t>个环节之间的脱节（包括开发与管理、管理与运营）的脱节，使得数据从生产</w:t>
      </w:r>
      <w:r>
        <w:rPr>
          <w:rFonts w:ascii="微软雅黑" w:hAnsi="微软雅黑" w:eastAsia="微软雅黑" w:cs="微软雅黑"/>
          <w:color w:val="231F20"/>
          <w:spacing w:val="3"/>
          <w:sz w:val="22"/>
          <w:szCs w:val="22"/>
        </w:rPr>
        <w:t>端到消费端的开发</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效率降低。例如，在开发阶段应遵循的数据标准规范，在管理阶段需要强依赖专业数据管</w:t>
      </w:r>
      <w:r>
        <w:rPr>
          <w:rFonts w:ascii="微软雅黑" w:hAnsi="微软雅黑" w:eastAsia="微软雅黑" w:cs="微软雅黑"/>
          <w:color w:val="231F20"/>
          <w:spacing w:val="3"/>
          <w:sz w:val="22"/>
          <w:szCs w:val="22"/>
        </w:rPr>
        <w:t>理角色</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和过程监控才可能实现。同时，</w:t>
      </w:r>
      <w:r>
        <w:rPr>
          <w:rFonts w:ascii="微软雅黑" w:hAnsi="微软雅黑" w:eastAsia="微软雅黑" w:cs="微软雅黑"/>
          <w:color w:val="231F20"/>
          <w:spacing w:val="-26"/>
          <w:sz w:val="22"/>
          <w:szCs w:val="22"/>
        </w:rPr>
        <w:t xml:space="preserve"> </w:t>
      </w:r>
      <w:r>
        <w:rPr>
          <w:rFonts w:ascii="微软雅黑" w:hAnsi="微软雅黑" w:eastAsia="微软雅黑" w:cs="微软雅黑"/>
          <w:color w:val="231F20"/>
          <w:spacing w:val="3"/>
          <w:sz w:val="22"/>
          <w:szCs w:val="22"/>
        </w:rPr>
        <w:t>由于多数企业忽视了数据运营，使数据消费端未向数据资产生产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端反馈有效的用户体验。</w:t>
      </w:r>
    </w:p>
    <w:p w14:paraId="12C16835">
      <w:pPr>
        <w:spacing w:before="16" w:line="289" w:lineRule="auto"/>
        <w:ind w:left="248" w:right="96" w:firstLine="481"/>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如何通过增强多方角色协同与敏捷开发程度，使数据资产管理成为一个有机整体，</w:t>
      </w:r>
      <w:r>
        <w:rPr>
          <w:rFonts w:ascii="微软雅黑" w:hAnsi="微软雅黑" w:eastAsia="微软雅黑" w:cs="微软雅黑"/>
          <w:color w:val="231F20"/>
          <w:spacing w:val="2"/>
          <w:sz w:val="22"/>
          <w:szCs w:val="22"/>
        </w:rPr>
        <w:t>是未来数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8"/>
          <w:sz w:val="22"/>
          <w:szCs w:val="22"/>
        </w:rPr>
        <w:t>据资产管理的重要方向。</w:t>
      </w:r>
      <w:r>
        <w:rPr>
          <w:rFonts w:ascii="微软雅黑" w:hAnsi="微软雅黑" w:eastAsia="微软雅黑" w:cs="微软雅黑"/>
          <w:color w:val="231F20"/>
          <w:sz w:val="22"/>
          <w:szCs w:val="22"/>
        </w:rPr>
        <w:t>DataOps</w:t>
      </w:r>
      <w:r>
        <w:rPr>
          <w:rFonts w:ascii="微软雅黑" w:hAnsi="微软雅黑" w:eastAsia="微软雅黑" w:cs="微软雅黑"/>
          <w:color w:val="231F20"/>
          <w:spacing w:val="8"/>
          <w:sz w:val="22"/>
          <w:szCs w:val="22"/>
        </w:rPr>
        <w:t>（</w:t>
      </w:r>
      <w:r>
        <w:rPr>
          <w:rFonts w:ascii="微软雅黑" w:hAnsi="微软雅黑" w:eastAsia="微软雅黑" w:cs="微软雅黑"/>
          <w:color w:val="231F20"/>
          <w:sz w:val="22"/>
          <w:szCs w:val="22"/>
        </w:rPr>
        <w:t>Data</w:t>
      </w:r>
      <w:r>
        <w:rPr>
          <w:rFonts w:ascii="微软雅黑" w:hAnsi="微软雅黑" w:eastAsia="微软雅黑" w:cs="微软雅黑"/>
          <w:color w:val="231F20"/>
          <w:spacing w:val="39"/>
          <w:w w:val="101"/>
          <w:sz w:val="22"/>
          <w:szCs w:val="22"/>
        </w:rPr>
        <w:t xml:space="preserve"> </w:t>
      </w:r>
      <w:r>
        <w:rPr>
          <w:rFonts w:ascii="微软雅黑" w:hAnsi="微软雅黑" w:eastAsia="微软雅黑" w:cs="微软雅黑"/>
          <w:color w:val="231F20"/>
          <w:sz w:val="22"/>
          <w:szCs w:val="22"/>
        </w:rPr>
        <w:t>Operations</w:t>
      </w:r>
      <w:r>
        <w:rPr>
          <w:rFonts w:ascii="微软雅黑" w:hAnsi="微软雅黑" w:eastAsia="微软雅黑" w:cs="微软雅黑"/>
          <w:color w:val="231F20"/>
          <w:spacing w:val="8"/>
          <w:sz w:val="22"/>
          <w:szCs w:val="22"/>
        </w:rPr>
        <w:t>）</w:t>
      </w:r>
      <w:r>
        <w:rPr>
          <w:rFonts w:ascii="微软雅黑" w:hAnsi="微软雅黑" w:eastAsia="微软雅黑" w:cs="微软雅黑"/>
          <w:color w:val="231F20"/>
          <w:spacing w:val="-29"/>
          <w:sz w:val="22"/>
          <w:szCs w:val="22"/>
        </w:rPr>
        <w:t xml:space="preserve"> </w:t>
      </w:r>
      <w:r>
        <w:rPr>
          <w:rFonts w:ascii="微软雅黑" w:hAnsi="微软雅黑" w:eastAsia="微软雅黑" w:cs="微软雅黑"/>
          <w:color w:val="231F20"/>
          <w:spacing w:val="8"/>
          <w:sz w:val="22"/>
          <w:szCs w:val="22"/>
        </w:rPr>
        <w:t>是这一理念的典型代表。</w:t>
      </w:r>
      <w:r>
        <w:rPr>
          <w:rFonts w:ascii="微软雅黑" w:hAnsi="微软雅黑" w:eastAsia="微软雅黑" w:cs="微软雅黑"/>
          <w:color w:val="231F20"/>
          <w:sz w:val="22"/>
          <w:szCs w:val="22"/>
        </w:rPr>
        <w:t>DataOps</w:t>
      </w:r>
      <w:r>
        <w:rPr>
          <w:rFonts w:ascii="微软雅黑" w:hAnsi="微软雅黑" w:eastAsia="微软雅黑" w:cs="微软雅黑"/>
          <w:color w:val="231F20"/>
          <w:spacing w:val="8"/>
          <w:sz w:val="22"/>
          <w:szCs w:val="22"/>
        </w:rPr>
        <w:t xml:space="preserve"> 这</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 xml:space="preserve">一理念在 2014 年被提出，于 2018 年被 </w:t>
      </w:r>
      <w:r>
        <w:rPr>
          <w:rFonts w:ascii="微软雅黑" w:hAnsi="微软雅黑" w:eastAsia="微软雅黑" w:cs="微软雅黑"/>
          <w:color w:val="231F20"/>
          <w:sz w:val="22"/>
          <w:szCs w:val="22"/>
        </w:rPr>
        <w:t>Gartner</w:t>
      </w:r>
      <w:r>
        <w:rPr>
          <w:rFonts w:ascii="微软雅黑" w:hAnsi="微软雅黑" w:eastAsia="微软雅黑" w:cs="微软雅黑"/>
          <w:color w:val="231F20"/>
          <w:spacing w:val="3"/>
          <w:sz w:val="22"/>
          <w:szCs w:val="22"/>
        </w:rPr>
        <w:t xml:space="preserve"> 首次纳入数据管理技术成熟度曲线中，并保持</w:t>
      </w:r>
    </w:p>
    <w:p w14:paraId="34031690">
      <w:pPr>
        <w:pStyle w:val="2"/>
        <w:spacing w:line="275" w:lineRule="auto"/>
      </w:pPr>
    </w:p>
    <w:p w14:paraId="56905600">
      <w:pPr>
        <w:spacing w:before="78" w:line="212" w:lineRule="auto"/>
        <w:ind w:left="5513"/>
        <w:rPr>
          <w:rFonts w:hint="eastAsia" w:ascii="宋体" w:hAnsi="宋体" w:eastAsia="宋体" w:cs="宋体"/>
          <w:sz w:val="24"/>
          <w:szCs w:val="24"/>
          <w:lang w:eastAsia="zh-CN"/>
        </w:rPr>
      </w:pPr>
      <w:r>
        <w:pict>
          <v:shape id="_x0000_s1350" o:spid="_x0000_s1350" o:spt="202" type="#_x0000_t202" style="position:absolute;left:0pt;margin-left:240.95pt;margin-top:-1.75pt;height:11.3pt;width:13pt;z-index:251905024;mso-width-relative:page;mso-height-relative:page;" filled="f" stroked="f" coordsize="21600,21600">
            <v:path/>
            <v:fill on="f" focussize="0,0"/>
            <v:stroke on="f"/>
            <v:imagedata o:title=""/>
            <o:lock v:ext="edit" aspectratio="f"/>
            <v:textbox inset="0mm,0mm,0mm,0mm">
              <w:txbxContent>
                <w:p w14:paraId="23F4A0FA">
                  <w:pPr>
                    <w:pStyle w:val="2"/>
                    <w:spacing w:before="19" w:line="194" w:lineRule="auto"/>
                    <w:ind w:left="20"/>
                    <w:rPr>
                      <w:sz w:val="20"/>
                      <w:szCs w:val="20"/>
                    </w:rPr>
                  </w:pPr>
                  <w:r>
                    <w:rPr>
                      <w:color w:val="231F20"/>
                      <w:spacing w:val="-1"/>
                      <w:sz w:val="20"/>
                      <w:szCs w:val="20"/>
                    </w:rPr>
                    <w:t>44</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0D116F9B">
      <w:pPr>
        <w:spacing w:line="212" w:lineRule="auto"/>
        <w:rPr>
          <w:rFonts w:ascii="宋体" w:hAnsi="宋体" w:eastAsia="宋体" w:cs="宋体"/>
          <w:sz w:val="24"/>
          <w:szCs w:val="24"/>
        </w:rPr>
        <w:sectPr>
          <w:pgSz w:w="11906" w:h="16158"/>
          <w:pgMar w:top="400" w:right="1150" w:bottom="400" w:left="1004" w:header="0" w:footer="0" w:gutter="0"/>
          <w:cols w:space="720" w:num="1"/>
        </w:sectPr>
      </w:pPr>
    </w:p>
    <w:p w14:paraId="1A28B6EA">
      <w:pPr>
        <w:pStyle w:val="2"/>
        <w:spacing w:line="349" w:lineRule="auto"/>
      </w:pPr>
    </w:p>
    <w:p w14:paraId="7C4508D5">
      <w:pPr>
        <w:pStyle w:val="2"/>
        <w:spacing w:line="350" w:lineRule="auto"/>
      </w:pPr>
    </w:p>
    <w:p w14:paraId="3F13677F">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-5</w:t>
      </w:r>
    </w:p>
    <w:p w14:paraId="0BDB4586">
      <w:pPr>
        <w:spacing w:before="55" w:line="178" w:lineRule="auto"/>
        <w:ind w:left="411"/>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数据资产管理发展趋势</w:t>
      </w:r>
    </w:p>
    <w:p w14:paraId="5262A0B7">
      <w:pPr>
        <w:pStyle w:val="2"/>
        <w:spacing w:line="292" w:lineRule="auto"/>
      </w:pPr>
    </w:p>
    <w:p w14:paraId="5CE3BC9B">
      <w:pPr>
        <w:pStyle w:val="2"/>
        <w:spacing w:line="292" w:lineRule="auto"/>
      </w:pPr>
    </w:p>
    <w:p w14:paraId="7876823E">
      <w:pPr>
        <w:pStyle w:val="2"/>
        <w:spacing w:line="293" w:lineRule="auto"/>
      </w:pPr>
    </w:p>
    <w:p w14:paraId="672B03D8">
      <w:pPr>
        <w:spacing w:before="94" w:line="289" w:lineRule="auto"/>
        <w:ind w:left="249" w:right="2" w:hanging="2"/>
        <w:jc w:val="both"/>
        <w:rPr>
          <w:rFonts w:ascii="微软雅黑" w:hAnsi="微软雅黑" w:eastAsia="微软雅黑" w:cs="微软雅黑"/>
          <w:sz w:val="22"/>
          <w:szCs w:val="22"/>
        </w:rPr>
      </w:pPr>
      <w:r>
        <w:rPr>
          <w:rFonts w:ascii="微软雅黑" w:hAnsi="微软雅黑" w:eastAsia="微软雅黑" w:cs="微软雅黑"/>
          <w:color w:val="231F20"/>
          <w:spacing w:val="-4"/>
          <w:sz w:val="22"/>
          <w:szCs w:val="22"/>
        </w:rPr>
        <w:t>增</w:t>
      </w:r>
      <w:r>
        <w:rPr>
          <w:rFonts w:ascii="微软雅黑" w:hAnsi="微软雅黑" w:eastAsia="微软雅黑" w:cs="微软雅黑"/>
          <w:color w:val="231F20"/>
          <w:spacing w:val="-3"/>
          <w:sz w:val="22"/>
          <w:szCs w:val="22"/>
        </w:rPr>
        <w:t>长态势，到</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pacing w:val="-3"/>
          <w:sz w:val="22"/>
          <w:szCs w:val="22"/>
        </w:rPr>
        <w:t>2021</w:t>
      </w:r>
      <w:r>
        <w:rPr>
          <w:rFonts w:ascii="微软雅黑" w:hAnsi="微软雅黑" w:eastAsia="微软雅黑" w:cs="微软雅黑"/>
          <w:color w:val="231F20"/>
          <w:spacing w:val="-15"/>
          <w:sz w:val="22"/>
          <w:szCs w:val="22"/>
        </w:rPr>
        <w:t xml:space="preserve"> </w:t>
      </w:r>
      <w:r>
        <w:rPr>
          <w:rFonts w:ascii="微软雅黑" w:hAnsi="微软雅黑" w:eastAsia="微软雅黑" w:cs="微软雅黑"/>
          <w:color w:val="231F20"/>
          <w:spacing w:val="-3"/>
          <w:sz w:val="22"/>
          <w:szCs w:val="22"/>
        </w:rPr>
        <w:t>年 DataOps 已由技术萌芽期（</w:t>
      </w:r>
      <w:r>
        <w:rPr>
          <w:rFonts w:ascii="微软雅黑" w:hAnsi="微软雅黑" w:eastAsia="微软雅黑" w:cs="微软雅黑"/>
          <w:color w:val="231F20"/>
          <w:spacing w:val="-4"/>
          <w:sz w:val="22"/>
          <w:szCs w:val="22"/>
        </w:rPr>
        <w:t>Innovation Trigger）爬坡接近至顶峰期（Pea</w:t>
      </w:r>
      <w:r>
        <w:rPr>
          <w:rFonts w:ascii="微软雅黑" w:hAnsi="微软雅黑" w:eastAsia="微软雅黑" w:cs="微软雅黑"/>
          <w:color w:val="231F20"/>
          <w:spacing w:val="-3"/>
          <w:sz w:val="22"/>
          <w:szCs w:val="22"/>
        </w:rPr>
        <w:t>k</w:t>
      </w:r>
      <w:r>
        <w:rPr>
          <w:rFonts w:ascii="微软雅黑" w:hAnsi="微软雅黑" w:eastAsia="微软雅黑" w:cs="微软雅黑"/>
          <w:color w:val="231F20"/>
          <w:sz w:val="22"/>
          <w:szCs w:val="22"/>
        </w:rPr>
        <w:t xml:space="preserve"> of</w:t>
      </w:r>
      <w:r>
        <w:rPr>
          <w:rFonts w:ascii="微软雅黑" w:hAnsi="微软雅黑" w:eastAsia="微软雅黑" w:cs="微软雅黑"/>
          <w:color w:val="231F20"/>
          <w:spacing w:val="28"/>
          <w:sz w:val="22"/>
          <w:szCs w:val="22"/>
        </w:rPr>
        <w:t xml:space="preserve"> </w:t>
      </w:r>
      <w:r>
        <w:rPr>
          <w:rFonts w:ascii="微软雅黑" w:hAnsi="微软雅黑" w:eastAsia="微软雅黑" w:cs="微软雅黑"/>
          <w:color w:val="231F20"/>
          <w:sz w:val="22"/>
          <w:szCs w:val="22"/>
        </w:rPr>
        <w:t>Inflated</w:t>
      </w:r>
      <w:r>
        <w:rPr>
          <w:rFonts w:ascii="微软雅黑" w:hAnsi="微软雅黑" w:eastAsia="微软雅黑" w:cs="微软雅黑"/>
          <w:color w:val="231F20"/>
          <w:spacing w:val="36"/>
          <w:sz w:val="22"/>
          <w:szCs w:val="22"/>
        </w:rPr>
        <w:t xml:space="preserve"> </w:t>
      </w:r>
      <w:r>
        <w:rPr>
          <w:rFonts w:ascii="微软雅黑" w:hAnsi="微软雅黑" w:eastAsia="微软雅黑" w:cs="微软雅黑"/>
          <w:color w:val="231F20"/>
          <w:sz w:val="22"/>
          <w:szCs w:val="22"/>
        </w:rPr>
        <w:t>Expectations</w:t>
      </w:r>
      <w:r>
        <w:rPr>
          <w:rFonts w:ascii="微软雅黑" w:hAnsi="微软雅黑" w:eastAsia="微软雅黑" w:cs="微软雅黑"/>
          <w:color w:val="231F20"/>
          <w:spacing w:val="3"/>
          <w:sz w:val="22"/>
          <w:szCs w:val="22"/>
        </w:rPr>
        <w:t xml:space="preserve">）。然而近年来 </w:t>
      </w:r>
      <w:r>
        <w:rPr>
          <w:rFonts w:ascii="微软雅黑" w:hAnsi="微软雅黑" w:eastAsia="微软雅黑" w:cs="微软雅黑"/>
          <w:color w:val="231F20"/>
          <w:sz w:val="22"/>
          <w:szCs w:val="22"/>
        </w:rPr>
        <w:t>DataOps</w:t>
      </w:r>
      <w:r>
        <w:rPr>
          <w:rFonts w:ascii="微软雅黑" w:hAnsi="微软雅黑" w:eastAsia="微软雅黑" w:cs="微软雅黑"/>
          <w:color w:val="231F20"/>
          <w:spacing w:val="3"/>
          <w:sz w:val="22"/>
          <w:szCs w:val="22"/>
        </w:rPr>
        <w:t xml:space="preserve"> 的发展并不显著，整体上仍处于探</w:t>
      </w:r>
      <w:r>
        <w:rPr>
          <w:rFonts w:ascii="微软雅黑" w:hAnsi="微软雅黑" w:eastAsia="微软雅黑" w:cs="微软雅黑"/>
          <w:color w:val="231F20"/>
          <w:spacing w:val="2"/>
          <w:sz w:val="22"/>
          <w:szCs w:val="22"/>
        </w:rPr>
        <w:t>索阶段。</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当前这一理念主要被数据管理基础较好的企业所采纳。</w:t>
      </w:r>
    </w:p>
    <w:p w14:paraId="5502D2F2">
      <w:pPr>
        <w:spacing w:before="231" w:line="2609" w:lineRule="exact"/>
        <w:ind w:firstLine="242"/>
      </w:pPr>
      <w:r>
        <w:rPr>
          <w:position w:val="-52"/>
        </w:rPr>
        <w:drawing>
          <wp:inline distT="0" distB="0" distL="0" distR="0">
            <wp:extent cx="5975985" cy="1656080"/>
            <wp:effectExtent l="0" t="0" r="0" b="0"/>
            <wp:docPr id="308" name="IM 308"/>
            <wp:cNvGraphicFramePr/>
            <a:graphic xmlns:a="http://schemas.openxmlformats.org/drawingml/2006/main">
              <a:graphicData uri="http://schemas.openxmlformats.org/drawingml/2006/picture">
                <pic:pic xmlns:pic="http://schemas.openxmlformats.org/drawingml/2006/picture">
                  <pic:nvPicPr>
                    <pic:cNvPr id="308" name="IM 308"/>
                    <pic:cNvPicPr/>
                  </pic:nvPicPr>
                  <pic:blipFill>
                    <a:blip r:embed="rId188"/>
                    <a:stretch>
                      <a:fillRect/>
                    </a:stretch>
                  </pic:blipFill>
                  <pic:spPr>
                    <a:xfrm>
                      <a:off x="0" y="0"/>
                      <a:ext cx="5975997" cy="1656522"/>
                    </a:xfrm>
                    <a:prstGeom prst="rect">
                      <a:avLst/>
                    </a:prstGeom>
                  </pic:spPr>
                </pic:pic>
              </a:graphicData>
            </a:graphic>
          </wp:inline>
        </w:drawing>
      </w:r>
    </w:p>
    <w:p w14:paraId="358597E8">
      <w:pPr>
        <w:spacing w:before="35" w:line="190" w:lineRule="auto"/>
        <w:ind w:left="3101"/>
        <w:rPr>
          <w:rFonts w:ascii="微软雅黑" w:hAnsi="微软雅黑" w:eastAsia="微软雅黑" w:cs="微软雅黑"/>
          <w:sz w:val="20"/>
          <w:szCs w:val="20"/>
        </w:rPr>
      </w:pPr>
      <w:r>
        <w:rPr>
          <w:rFonts w:ascii="微软雅黑" w:hAnsi="微软雅黑" w:eastAsia="微软雅黑" w:cs="微软雅黑"/>
          <w:color w:val="231F20"/>
          <w:spacing w:val="6"/>
          <w:sz w:val="20"/>
          <w:szCs w:val="20"/>
        </w:rPr>
        <w:t>图 20</w:t>
      </w:r>
      <w:r>
        <w:rPr>
          <w:rFonts w:ascii="微软雅黑" w:hAnsi="微软雅黑" w:eastAsia="微软雅黑" w:cs="微软雅黑"/>
          <w:color w:val="231F20"/>
          <w:spacing w:val="33"/>
          <w:w w:val="101"/>
          <w:sz w:val="20"/>
          <w:szCs w:val="20"/>
        </w:rPr>
        <w:t xml:space="preserve"> </w:t>
      </w:r>
      <w:r>
        <w:rPr>
          <w:rFonts w:ascii="微软雅黑" w:hAnsi="微软雅黑" w:eastAsia="微软雅黑" w:cs="微软雅黑"/>
          <w:color w:val="231F20"/>
          <w:sz w:val="20"/>
          <w:szCs w:val="20"/>
        </w:rPr>
        <w:t>DataOps</w:t>
      </w:r>
      <w:r>
        <w:rPr>
          <w:rFonts w:ascii="微软雅黑" w:hAnsi="微软雅黑" w:eastAsia="微软雅黑" w:cs="微软雅黑"/>
          <w:color w:val="231F20"/>
          <w:spacing w:val="6"/>
          <w:sz w:val="20"/>
          <w:szCs w:val="20"/>
        </w:rPr>
        <w:t>：敏捷协同的一体化管理</w:t>
      </w:r>
    </w:p>
    <w:p w14:paraId="01AF7F30">
      <w:pPr>
        <w:pStyle w:val="2"/>
        <w:spacing w:line="446" w:lineRule="auto"/>
      </w:pPr>
    </w:p>
    <w:p w14:paraId="3BC399BD">
      <w:pPr>
        <w:spacing w:before="95" w:line="287" w:lineRule="auto"/>
        <w:ind w:left="246" w:right="1" w:firstLine="497"/>
        <w:rPr>
          <w:rFonts w:ascii="微软雅黑" w:hAnsi="微软雅黑" w:eastAsia="微软雅黑" w:cs="微软雅黑"/>
          <w:sz w:val="22"/>
          <w:szCs w:val="22"/>
        </w:rPr>
      </w:pPr>
      <w:r>
        <w:rPr>
          <w:rFonts w:ascii="微软雅黑" w:hAnsi="微软雅黑" w:eastAsia="微软雅黑" w:cs="微软雅黑"/>
          <w:color w:val="231F20"/>
          <w:sz w:val="22"/>
          <w:szCs w:val="22"/>
        </w:rPr>
        <w:t>DataOps</w:t>
      </w:r>
      <w:r>
        <w:rPr>
          <w:rFonts w:ascii="微软雅黑" w:hAnsi="微软雅黑" w:eastAsia="微软雅黑" w:cs="微软雅黑"/>
          <w:color w:val="231F20"/>
          <w:spacing w:val="6"/>
          <w:sz w:val="22"/>
          <w:szCs w:val="22"/>
        </w:rPr>
        <w:t xml:space="preserve"> 倡导协同式、敏捷式的数据资产管理（如图 20 所示</w:t>
      </w:r>
      <w:r>
        <w:rPr>
          <w:rFonts w:ascii="微软雅黑" w:hAnsi="微软雅黑" w:eastAsia="微软雅黑" w:cs="微软雅黑"/>
          <w:color w:val="231F20"/>
          <w:spacing w:val="1"/>
          <w:sz w:val="22"/>
          <w:szCs w:val="22"/>
        </w:rPr>
        <w:t>）</w:t>
      </w:r>
      <w:r>
        <w:rPr>
          <w:rFonts w:ascii="微软雅黑" w:hAnsi="微软雅黑" w:eastAsia="微软雅黑" w:cs="微软雅黑"/>
          <w:color w:val="231F20"/>
          <w:spacing w:val="-20"/>
          <w:sz w:val="22"/>
          <w:szCs w:val="22"/>
        </w:rPr>
        <w:t xml:space="preserve"> </w:t>
      </w:r>
      <w:r>
        <w:rPr>
          <w:rFonts w:ascii="微软雅黑" w:hAnsi="微软雅黑" w:eastAsia="微软雅黑" w:cs="微软雅黑"/>
          <w:color w:val="231F20"/>
          <w:spacing w:val="1"/>
          <w:sz w:val="22"/>
          <w:szCs w:val="22"/>
        </w:rPr>
        <w:t>，</w:t>
      </w:r>
      <w:r>
        <w:rPr>
          <w:rFonts w:ascii="微软雅黑" w:hAnsi="微软雅黑" w:eastAsia="微软雅黑" w:cs="微软雅黑"/>
          <w:color w:val="231F20"/>
          <w:spacing w:val="6"/>
          <w:sz w:val="22"/>
          <w:szCs w:val="22"/>
        </w:rPr>
        <w:t>通过建立数据管道，明</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确数据资产管理的流转过程及环节，采用技术推动数据资产管理自动化，提高所</w:t>
      </w:r>
      <w:r>
        <w:rPr>
          <w:rFonts w:ascii="微软雅黑" w:hAnsi="微软雅黑" w:eastAsia="微软雅黑" w:cs="微软雅黑"/>
          <w:color w:val="231F20"/>
          <w:spacing w:val="3"/>
          <w:sz w:val="22"/>
          <w:szCs w:val="22"/>
        </w:rPr>
        <w:t>有数据资产管理</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相关人员的数据访问和获取效率，缩短数据项目的周期，并持续改进数据质量</w:t>
      </w:r>
      <w:r>
        <w:rPr>
          <w:rFonts w:ascii="微软雅黑" w:hAnsi="微软雅黑" w:eastAsia="微软雅黑" w:cs="微软雅黑"/>
          <w:color w:val="231F20"/>
          <w:spacing w:val="3"/>
          <w:sz w:val="22"/>
          <w:szCs w:val="22"/>
        </w:rPr>
        <w:t>，降低管理成本，</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加速数据价值释放。例如，通过标准设计、模型设计指导数据开发，前置化数据质</w:t>
      </w:r>
      <w:r>
        <w:rPr>
          <w:rFonts w:ascii="微软雅黑" w:hAnsi="微软雅黑" w:eastAsia="微软雅黑" w:cs="微软雅黑"/>
          <w:color w:val="231F20"/>
          <w:spacing w:val="3"/>
          <w:sz w:val="22"/>
          <w:szCs w:val="22"/>
        </w:rPr>
        <w:t>量管理，并建</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 xml:space="preserve">立 </w:t>
      </w:r>
      <w:r>
        <w:rPr>
          <w:rFonts w:ascii="微软雅黑" w:hAnsi="微软雅黑" w:eastAsia="微软雅黑" w:cs="微软雅黑"/>
          <w:color w:val="231F20"/>
          <w:sz w:val="22"/>
          <w:szCs w:val="22"/>
        </w:rPr>
        <w:t>SLA</w:t>
      </w:r>
      <w:r>
        <w:rPr>
          <w:rFonts w:ascii="微软雅黑" w:hAnsi="微软雅黑" w:eastAsia="微软雅黑" w:cs="微软雅黑"/>
          <w:color w:val="231F20"/>
          <w:spacing w:val="2"/>
          <w:sz w:val="22"/>
          <w:szCs w:val="22"/>
        </w:rPr>
        <w:t xml:space="preserve"> 开展数据资产运维，实现开发与管理的协同；数据资产管理成果通过</w:t>
      </w:r>
      <w:r>
        <w:rPr>
          <w:rFonts w:ascii="微软雅黑" w:hAnsi="微软雅黑" w:eastAsia="微软雅黑" w:cs="微软雅黑"/>
          <w:color w:val="231F20"/>
          <w:spacing w:val="1"/>
          <w:sz w:val="22"/>
          <w:szCs w:val="22"/>
        </w:rPr>
        <w:t>被业务分析人员、数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据科学家等角色自助使用，支撑业务运营，同时，运营结果反向指导数据资产管理工作，实</w:t>
      </w:r>
      <w:r>
        <w:rPr>
          <w:rFonts w:ascii="微软雅黑" w:hAnsi="微软雅黑" w:eastAsia="微软雅黑" w:cs="微软雅黑"/>
          <w:color w:val="231F20"/>
          <w:spacing w:val="3"/>
          <w:sz w:val="22"/>
          <w:szCs w:val="22"/>
        </w:rPr>
        <w:t>现管</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理与运营的协同。</w:t>
      </w:r>
    </w:p>
    <w:p w14:paraId="291FE373">
      <w:pPr>
        <w:pStyle w:val="2"/>
        <w:spacing w:line="433" w:lineRule="auto"/>
      </w:pPr>
    </w:p>
    <w:p w14:paraId="3BB8A74A">
      <w:pPr>
        <w:spacing w:before="104" w:line="178" w:lineRule="auto"/>
        <w:ind w:left="253"/>
        <w:rPr>
          <w:rFonts w:ascii="微软雅黑" w:hAnsi="微软雅黑" w:eastAsia="微软雅黑" w:cs="微软雅黑"/>
          <w:sz w:val="24"/>
          <w:szCs w:val="24"/>
        </w:rPr>
      </w:pPr>
      <w:r>
        <w:rPr>
          <w:rFonts w:ascii="微软雅黑" w:hAnsi="微软雅黑" w:eastAsia="微软雅黑" w:cs="微软雅黑"/>
          <w:color w:val="231F20"/>
          <w:spacing w:val="28"/>
          <w:sz w:val="24"/>
          <w:szCs w:val="24"/>
        </w:rPr>
        <w:t xml:space="preserve">5. 技术架构：面向云的 </w:t>
      </w:r>
      <w:r>
        <w:rPr>
          <w:rFonts w:ascii="微软雅黑" w:hAnsi="微软雅黑" w:eastAsia="微软雅黑" w:cs="微软雅黑"/>
          <w:color w:val="231F20"/>
          <w:sz w:val="24"/>
          <w:szCs w:val="24"/>
        </w:rPr>
        <w:t>Data</w:t>
      </w:r>
      <w:r>
        <w:rPr>
          <w:rFonts w:ascii="微软雅黑" w:hAnsi="微软雅黑" w:eastAsia="微软雅黑" w:cs="微软雅黑"/>
          <w:color w:val="231F20"/>
          <w:spacing w:val="27"/>
          <w:w w:val="101"/>
          <w:sz w:val="24"/>
          <w:szCs w:val="24"/>
        </w:rPr>
        <w:t xml:space="preserve"> </w:t>
      </w:r>
      <w:r>
        <w:rPr>
          <w:rFonts w:ascii="微软雅黑" w:hAnsi="微软雅黑" w:eastAsia="微软雅黑" w:cs="微软雅黑"/>
          <w:color w:val="231F20"/>
          <w:sz w:val="24"/>
          <w:szCs w:val="24"/>
        </w:rPr>
        <w:t>Fabric</w:t>
      </w:r>
    </w:p>
    <w:p w14:paraId="07E5E9EE">
      <w:pPr>
        <w:spacing w:before="138" w:line="290" w:lineRule="auto"/>
        <w:ind w:left="247" w:firstLine="493"/>
        <w:jc w:val="both"/>
        <w:rPr>
          <w:rFonts w:ascii="微软雅黑" w:hAnsi="微软雅黑" w:eastAsia="微软雅黑" w:cs="微软雅黑"/>
          <w:sz w:val="22"/>
          <w:szCs w:val="22"/>
        </w:rPr>
      </w:pPr>
      <w:r>
        <w:rPr>
          <w:rFonts w:ascii="微软雅黑" w:hAnsi="微软雅黑" w:eastAsia="微软雅黑" w:cs="微软雅黑"/>
          <w:color w:val="231F20"/>
          <w:spacing w:val="10"/>
          <w:sz w:val="22"/>
          <w:szCs w:val="22"/>
        </w:rPr>
        <w:t>随着数据技术组件日益丰富，数据分布日趋分散，</w:t>
      </w:r>
      <w:r>
        <w:rPr>
          <w:rFonts w:ascii="微软雅黑" w:hAnsi="微软雅黑" w:eastAsia="微软雅黑" w:cs="微软雅黑"/>
          <w:color w:val="231F20"/>
          <w:sz w:val="22"/>
          <w:szCs w:val="22"/>
        </w:rPr>
        <w:t>Gartner</w:t>
      </w:r>
      <w:r>
        <w:rPr>
          <w:rFonts w:ascii="微软雅黑" w:hAnsi="微软雅黑" w:eastAsia="微软雅黑" w:cs="微软雅黑"/>
          <w:color w:val="231F20"/>
          <w:spacing w:val="10"/>
          <w:sz w:val="22"/>
          <w:szCs w:val="22"/>
        </w:rPr>
        <w:t xml:space="preserve"> 认为 </w:t>
      </w:r>
      <w:r>
        <w:rPr>
          <w:rFonts w:ascii="微软雅黑" w:hAnsi="微软雅黑" w:eastAsia="微软雅黑" w:cs="微软雅黑"/>
          <w:color w:val="231F20"/>
          <w:sz w:val="22"/>
          <w:szCs w:val="22"/>
        </w:rPr>
        <w:t>Data</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z w:val="22"/>
          <w:szCs w:val="22"/>
        </w:rPr>
        <w:t>Fabric</w:t>
      </w:r>
      <w:r>
        <w:rPr>
          <w:rFonts w:ascii="微软雅黑" w:hAnsi="微软雅黑" w:eastAsia="微软雅黑" w:cs="微软雅黑"/>
          <w:color w:val="231F20"/>
          <w:spacing w:val="10"/>
          <w:sz w:val="22"/>
          <w:szCs w:val="22"/>
        </w:rPr>
        <w:t xml:space="preserve"> 已成</w:t>
      </w:r>
      <w:r>
        <w:rPr>
          <w:rFonts w:ascii="微软雅黑" w:hAnsi="微软雅黑" w:eastAsia="微软雅黑" w:cs="微软雅黑"/>
          <w:color w:val="231F20"/>
          <w:spacing w:val="9"/>
          <w:sz w:val="22"/>
          <w:szCs w:val="22"/>
        </w:rPr>
        <w:t>为支持</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8"/>
          <w:sz w:val="22"/>
          <w:szCs w:val="22"/>
        </w:rPr>
        <w:t>组装式数据分析及其各种组件的基础架构，通过在大数据技术设计上复用数据集成</w:t>
      </w:r>
      <w:r>
        <w:rPr>
          <w:rFonts w:ascii="微软雅黑" w:hAnsi="微软雅黑" w:eastAsia="微软雅黑" w:cs="微软雅黑"/>
          <w:color w:val="231F20"/>
          <w:spacing w:val="7"/>
          <w:sz w:val="22"/>
          <w:szCs w:val="22"/>
        </w:rPr>
        <w:t>方式，</w:t>
      </w:r>
      <w:r>
        <w:rPr>
          <w:rFonts w:ascii="微软雅黑" w:hAnsi="微软雅黑" w:eastAsia="微软雅黑" w:cs="微软雅黑"/>
          <w:color w:val="231F20"/>
          <w:spacing w:val="-41"/>
          <w:sz w:val="22"/>
          <w:szCs w:val="22"/>
        </w:rPr>
        <w:t xml:space="preserve"> </w:t>
      </w:r>
      <w:r>
        <w:rPr>
          <w:rFonts w:ascii="微软雅黑" w:hAnsi="微软雅黑" w:eastAsia="微软雅黑" w:cs="微软雅黑"/>
          <w:color w:val="231F20"/>
          <w:sz w:val="22"/>
          <w:szCs w:val="22"/>
        </w:rPr>
        <w:t>Data Fabric</w:t>
      </w:r>
      <w:r>
        <w:rPr>
          <w:rFonts w:ascii="微软雅黑" w:hAnsi="微软雅黑" w:eastAsia="微软雅黑" w:cs="微软雅黑"/>
          <w:color w:val="231F20"/>
          <w:spacing w:val="1"/>
          <w:sz w:val="22"/>
          <w:szCs w:val="22"/>
        </w:rPr>
        <w:t xml:space="preserve"> 可缩短 30% 的集成设计时间、30% 的部署时间和 70% 的维护</w:t>
      </w:r>
      <w:r>
        <w:rPr>
          <w:rFonts w:ascii="微软雅黑" w:hAnsi="微软雅黑" w:eastAsia="微软雅黑" w:cs="微软雅黑"/>
          <w:color w:val="231F20"/>
          <w:sz w:val="22"/>
          <w:szCs w:val="22"/>
        </w:rPr>
        <w:t>时间。</w:t>
      </w:r>
    </w:p>
    <w:p w14:paraId="7EBE5337">
      <w:pPr>
        <w:spacing w:before="15" w:line="290" w:lineRule="auto"/>
        <w:ind w:left="248" w:right="1" w:firstLine="482"/>
        <w:jc w:val="both"/>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事实上，</w:t>
      </w:r>
      <w:r>
        <w:rPr>
          <w:rFonts w:ascii="微软雅黑" w:hAnsi="微软雅黑" w:eastAsia="微软雅黑" w:cs="微软雅黑"/>
          <w:color w:val="231F20"/>
          <w:sz w:val="22"/>
          <w:szCs w:val="22"/>
        </w:rPr>
        <w:t>Data</w:t>
      </w:r>
      <w:r>
        <w:rPr>
          <w:rFonts w:ascii="微软雅黑" w:hAnsi="微软雅黑" w:eastAsia="微软雅黑" w:cs="微软雅黑"/>
          <w:color w:val="231F20"/>
          <w:spacing w:val="51"/>
          <w:w w:val="101"/>
          <w:sz w:val="22"/>
          <w:szCs w:val="22"/>
        </w:rPr>
        <w:t xml:space="preserve"> </w:t>
      </w:r>
      <w:r>
        <w:rPr>
          <w:rFonts w:ascii="微软雅黑" w:hAnsi="微软雅黑" w:eastAsia="微软雅黑" w:cs="微软雅黑"/>
          <w:color w:val="231F20"/>
          <w:sz w:val="22"/>
          <w:szCs w:val="22"/>
        </w:rPr>
        <w:t>Fabric</w:t>
      </w:r>
      <w:r>
        <w:rPr>
          <w:rFonts w:ascii="微软雅黑" w:hAnsi="微软雅黑" w:eastAsia="微软雅黑" w:cs="微软雅黑"/>
          <w:color w:val="231F20"/>
          <w:spacing w:val="2"/>
          <w:sz w:val="22"/>
          <w:szCs w:val="22"/>
        </w:rPr>
        <w:t xml:space="preserve"> 不是一个产品而是一种设计理念，是利用 </w:t>
      </w:r>
      <w:r>
        <w:rPr>
          <w:rFonts w:ascii="微软雅黑" w:hAnsi="微软雅黑" w:eastAsia="微软雅黑" w:cs="微软雅黑"/>
          <w:color w:val="231F20"/>
          <w:sz w:val="22"/>
          <w:szCs w:val="22"/>
        </w:rPr>
        <w:t>AI</w:t>
      </w:r>
      <w:r>
        <w:rPr>
          <w:rFonts w:ascii="微软雅黑" w:hAnsi="微软雅黑" w:eastAsia="微软雅黑" w:cs="微软雅黑"/>
          <w:color w:val="231F20"/>
          <w:spacing w:val="2"/>
          <w:sz w:val="22"/>
          <w:szCs w:val="22"/>
        </w:rPr>
        <w:t>、机器学习等功能，访问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数据或支持数据动态整合，</w:t>
      </w:r>
      <w:r>
        <w:rPr>
          <w:rFonts w:ascii="微软雅黑" w:hAnsi="微软雅黑" w:eastAsia="微软雅黑" w:cs="微软雅黑"/>
          <w:color w:val="231F20"/>
          <w:spacing w:val="-33"/>
          <w:sz w:val="22"/>
          <w:szCs w:val="22"/>
        </w:rPr>
        <w:t xml:space="preserve"> </w:t>
      </w:r>
      <w:r>
        <w:rPr>
          <w:rFonts w:ascii="微软雅黑" w:hAnsi="微软雅黑" w:eastAsia="微软雅黑" w:cs="微软雅黑"/>
          <w:color w:val="231F20"/>
          <w:spacing w:val="3"/>
          <w:sz w:val="22"/>
          <w:szCs w:val="22"/>
        </w:rPr>
        <w:t>以实现将“恰当”的数据在“恰当”的时间提供给“恰当”的人。在</w:t>
      </w:r>
      <w:r>
        <w:rPr>
          <w:rFonts w:ascii="微软雅黑" w:hAnsi="微软雅黑" w:eastAsia="微软雅黑" w:cs="微软雅黑"/>
          <w:color w:val="231F20"/>
          <w:sz w:val="22"/>
          <w:szCs w:val="22"/>
        </w:rPr>
        <w:t xml:space="preserve"> Data</w:t>
      </w:r>
      <w:r>
        <w:rPr>
          <w:rFonts w:ascii="微软雅黑" w:hAnsi="微软雅黑" w:eastAsia="微软雅黑" w:cs="微软雅黑"/>
          <w:color w:val="231F20"/>
          <w:spacing w:val="40"/>
          <w:w w:val="101"/>
          <w:sz w:val="22"/>
          <w:szCs w:val="22"/>
        </w:rPr>
        <w:t xml:space="preserve"> </w:t>
      </w:r>
      <w:r>
        <w:rPr>
          <w:rFonts w:ascii="微软雅黑" w:hAnsi="微软雅黑" w:eastAsia="微软雅黑" w:cs="微软雅黑"/>
          <w:color w:val="231F20"/>
          <w:sz w:val="22"/>
          <w:szCs w:val="22"/>
        </w:rPr>
        <w:t>Fabric</w:t>
      </w:r>
      <w:r>
        <w:rPr>
          <w:rFonts w:ascii="微软雅黑" w:hAnsi="微软雅黑" w:eastAsia="微软雅黑" w:cs="微软雅黑"/>
          <w:color w:val="231F20"/>
          <w:spacing w:val="5"/>
          <w:sz w:val="22"/>
          <w:szCs w:val="22"/>
        </w:rPr>
        <w:t xml:space="preserve"> 之前，数据结构的设计主要部署为静态基础设施，而在未来将需要采用动态的数据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网格方法全面重新设计。</w:t>
      </w:r>
    </w:p>
    <w:p w14:paraId="26BAC127">
      <w:pPr>
        <w:pStyle w:val="2"/>
        <w:spacing w:before="260" w:line="193" w:lineRule="auto"/>
        <w:ind w:left="4839"/>
        <w:rPr>
          <w:sz w:val="20"/>
          <w:szCs w:val="20"/>
        </w:rPr>
      </w:pPr>
      <w:r>
        <w:pict>
          <v:shape id="_x0000_s1351" o:spid="_x0000_s1351" o:spt="202" type="#_x0000_t202" style="position:absolute;left:0pt;margin-left:274.65pt;margin-top:16.6pt;height:15.95pt;width:199.4pt;z-index:251906048;mso-width-relative:page;mso-height-relative:page;" filled="f" stroked="f" coordsize="21600,21600">
            <v:path/>
            <v:fill on="f" focussize="0,0"/>
            <v:stroke on="f"/>
            <v:imagedata o:title=""/>
            <o:lock v:ext="edit" aspectratio="f"/>
            <v:textbox inset="0mm,0mm,0mm,0mm">
              <w:txbxContent>
                <w:p w14:paraId="40C39830">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1"/>
          <w:sz w:val="20"/>
          <w:szCs w:val="20"/>
        </w:rPr>
        <w:t>45</w:t>
      </w:r>
    </w:p>
    <w:p w14:paraId="2ED6B25E">
      <w:pPr>
        <w:spacing w:line="193" w:lineRule="auto"/>
        <w:rPr>
          <w:sz w:val="20"/>
          <w:szCs w:val="20"/>
        </w:rPr>
        <w:sectPr>
          <w:pgSz w:w="11906" w:h="16158"/>
          <w:pgMar w:top="400" w:right="1245" w:bottom="400" w:left="1004" w:header="0" w:footer="0" w:gutter="0"/>
          <w:cols w:space="720" w:num="1"/>
        </w:sectPr>
      </w:pPr>
    </w:p>
    <w:p w14:paraId="7012FB6F">
      <w:pPr>
        <w:pStyle w:val="2"/>
        <w:spacing w:line="349" w:lineRule="auto"/>
      </w:pPr>
    </w:p>
    <w:p w14:paraId="5345D892">
      <w:pPr>
        <w:pStyle w:val="2"/>
        <w:spacing w:line="350" w:lineRule="auto"/>
      </w:pPr>
    </w:p>
    <w:p w14:paraId="27E9AF98">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-5</w:t>
      </w:r>
    </w:p>
    <w:p w14:paraId="76B3D289">
      <w:pPr>
        <w:spacing w:before="55" w:line="178" w:lineRule="auto"/>
        <w:ind w:left="411"/>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数据资产管理发展趋势</w:t>
      </w:r>
    </w:p>
    <w:p w14:paraId="6D30CBB1">
      <w:pPr>
        <w:pStyle w:val="2"/>
        <w:spacing w:line="292" w:lineRule="auto"/>
      </w:pPr>
    </w:p>
    <w:p w14:paraId="7C564E8D">
      <w:pPr>
        <w:pStyle w:val="2"/>
        <w:spacing w:line="292" w:lineRule="auto"/>
      </w:pPr>
    </w:p>
    <w:p w14:paraId="4555C61C">
      <w:pPr>
        <w:pStyle w:val="2"/>
        <w:spacing w:line="292" w:lineRule="auto"/>
      </w:pPr>
    </w:p>
    <w:p w14:paraId="7EABFDDA">
      <w:pPr>
        <w:spacing w:before="94" w:line="291" w:lineRule="auto"/>
        <w:ind w:left="247" w:right="66" w:firstLine="495"/>
        <w:rPr>
          <w:rFonts w:ascii="微软雅黑" w:hAnsi="微软雅黑" w:eastAsia="微软雅黑" w:cs="微软雅黑"/>
          <w:sz w:val="22"/>
          <w:szCs w:val="22"/>
        </w:rPr>
      </w:pPr>
      <w:r>
        <w:rPr>
          <w:rFonts w:ascii="微软雅黑" w:hAnsi="微软雅黑" w:eastAsia="微软雅黑" w:cs="微软雅黑"/>
          <w:color w:val="231F20"/>
          <w:sz w:val="22"/>
          <w:szCs w:val="22"/>
        </w:rPr>
        <w:t>Data</w:t>
      </w:r>
      <w:r>
        <w:rPr>
          <w:rFonts w:ascii="微软雅黑" w:hAnsi="微软雅黑" w:eastAsia="微软雅黑" w:cs="微软雅黑"/>
          <w:color w:val="231F20"/>
          <w:spacing w:val="49"/>
          <w:sz w:val="22"/>
          <w:szCs w:val="22"/>
        </w:rPr>
        <w:t xml:space="preserve"> </w:t>
      </w:r>
      <w:r>
        <w:rPr>
          <w:rFonts w:ascii="微软雅黑" w:hAnsi="微软雅黑" w:eastAsia="微软雅黑" w:cs="微软雅黑"/>
          <w:color w:val="231F20"/>
          <w:sz w:val="22"/>
          <w:szCs w:val="22"/>
        </w:rPr>
        <w:t>Fabric</w:t>
      </w:r>
      <w:r>
        <w:rPr>
          <w:rFonts w:ascii="微软雅黑" w:hAnsi="微软雅黑" w:eastAsia="微软雅黑" w:cs="微软雅黑"/>
          <w:color w:val="231F20"/>
          <w:spacing w:val="10"/>
          <w:sz w:val="22"/>
          <w:szCs w:val="22"/>
        </w:rPr>
        <w:t xml:space="preserve"> 是数据仓库、数据湖的理念和技术升级。在理念层面，数据仓库、数据湖作</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为信息时代或大数据时代初期的产物，其强调“集中式”数据存储和</w:t>
      </w:r>
      <w:r>
        <w:rPr>
          <w:rFonts w:ascii="微软雅黑" w:hAnsi="微软雅黑" w:eastAsia="微软雅黑" w:cs="微软雅黑"/>
          <w:color w:val="231F20"/>
          <w:spacing w:val="3"/>
          <w:sz w:val="22"/>
          <w:szCs w:val="22"/>
        </w:rPr>
        <w:t>计算，但是在云计算时代，</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实现多云环境下的数据集中意味着较高的成本，</w:t>
      </w:r>
      <w:r>
        <w:rPr>
          <w:rFonts w:ascii="微软雅黑" w:hAnsi="微软雅黑" w:eastAsia="微软雅黑" w:cs="微软雅黑"/>
          <w:color w:val="231F20"/>
          <w:spacing w:val="-40"/>
          <w:sz w:val="22"/>
          <w:szCs w:val="22"/>
        </w:rPr>
        <w:t xml:space="preserve"> </w:t>
      </w:r>
      <w:r>
        <w:rPr>
          <w:rFonts w:ascii="微软雅黑" w:hAnsi="微软雅黑" w:eastAsia="微软雅黑" w:cs="微软雅黑"/>
          <w:color w:val="231F20"/>
          <w:spacing w:val="3"/>
          <w:sz w:val="22"/>
          <w:szCs w:val="22"/>
        </w:rPr>
        <w:t xml:space="preserve">因此 </w:t>
      </w:r>
      <w:r>
        <w:rPr>
          <w:rFonts w:ascii="微软雅黑" w:hAnsi="微软雅黑" w:eastAsia="微软雅黑" w:cs="微软雅黑"/>
          <w:color w:val="231F20"/>
          <w:sz w:val="22"/>
          <w:szCs w:val="22"/>
        </w:rPr>
        <w:t>Data</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z w:val="22"/>
          <w:szCs w:val="22"/>
        </w:rPr>
        <w:t>Fabric</w:t>
      </w:r>
      <w:r>
        <w:rPr>
          <w:rFonts w:ascii="微软雅黑" w:hAnsi="微软雅黑" w:eastAsia="微软雅黑" w:cs="微软雅黑"/>
          <w:color w:val="231F20"/>
          <w:spacing w:val="3"/>
          <w:sz w:val="22"/>
          <w:szCs w:val="22"/>
        </w:rPr>
        <w:t xml:space="preserve"> 强调的是去中</w:t>
      </w:r>
      <w:r>
        <w:rPr>
          <w:rFonts w:ascii="微软雅黑" w:hAnsi="微软雅黑" w:eastAsia="微软雅黑" w:cs="微软雅黑"/>
          <w:color w:val="231F20"/>
          <w:spacing w:val="2"/>
          <w:sz w:val="22"/>
          <w:szCs w:val="22"/>
        </w:rPr>
        <w:t>心化、分布式的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数据网络架构。在技术层面，</w:t>
      </w:r>
      <w:r>
        <w:rPr>
          <w:rFonts w:ascii="微软雅黑" w:hAnsi="微软雅黑" w:eastAsia="微软雅黑" w:cs="微软雅黑"/>
          <w:color w:val="231F20"/>
          <w:spacing w:val="-37"/>
          <w:sz w:val="22"/>
          <w:szCs w:val="22"/>
        </w:rPr>
        <w:t xml:space="preserve"> </w:t>
      </w:r>
      <w:r>
        <w:rPr>
          <w:rFonts w:ascii="微软雅黑" w:hAnsi="微软雅黑" w:eastAsia="微软雅黑" w:cs="微软雅黑"/>
          <w:color w:val="231F20"/>
          <w:sz w:val="22"/>
          <w:szCs w:val="22"/>
        </w:rPr>
        <w:t>Data</w:t>
      </w:r>
      <w:r>
        <w:rPr>
          <w:rFonts w:ascii="微软雅黑" w:hAnsi="微软雅黑" w:eastAsia="微软雅黑" w:cs="微软雅黑"/>
          <w:color w:val="231F20"/>
          <w:spacing w:val="35"/>
          <w:sz w:val="22"/>
          <w:szCs w:val="22"/>
        </w:rPr>
        <w:t xml:space="preserve"> </w:t>
      </w:r>
      <w:r>
        <w:rPr>
          <w:rFonts w:ascii="微软雅黑" w:hAnsi="微软雅黑" w:eastAsia="微软雅黑" w:cs="微软雅黑"/>
          <w:color w:val="231F20"/>
          <w:sz w:val="22"/>
          <w:szCs w:val="22"/>
        </w:rPr>
        <w:t>Fabric</w:t>
      </w:r>
      <w:r>
        <w:rPr>
          <w:rFonts w:ascii="微软雅黑" w:hAnsi="微软雅黑" w:eastAsia="微软雅黑" w:cs="微软雅黑"/>
          <w:color w:val="231F20"/>
          <w:spacing w:val="3"/>
          <w:sz w:val="22"/>
          <w:szCs w:val="22"/>
        </w:rPr>
        <w:t xml:space="preserve"> 与数据仓库、</w:t>
      </w:r>
      <w:r>
        <w:rPr>
          <w:rFonts w:ascii="微软雅黑" w:hAnsi="微软雅黑" w:eastAsia="微软雅黑" w:cs="微软雅黑"/>
          <w:color w:val="231F20"/>
          <w:spacing w:val="2"/>
          <w:sz w:val="22"/>
          <w:szCs w:val="22"/>
        </w:rPr>
        <w:t>数据湖等并非是替代关系，相反，</w:t>
      </w:r>
      <w:r>
        <w:rPr>
          <w:rFonts w:ascii="微软雅黑" w:hAnsi="微软雅黑" w:eastAsia="微软雅黑" w:cs="微软雅黑"/>
          <w:color w:val="231F20"/>
          <w:spacing w:val="-41"/>
          <w:sz w:val="22"/>
          <w:szCs w:val="22"/>
        </w:rPr>
        <w:t xml:space="preserve"> </w:t>
      </w:r>
      <w:r>
        <w:rPr>
          <w:rFonts w:ascii="微软雅黑" w:hAnsi="微软雅黑" w:eastAsia="微软雅黑" w:cs="微软雅黑"/>
          <w:color w:val="231F20"/>
          <w:sz w:val="22"/>
          <w:szCs w:val="22"/>
        </w:rPr>
        <w:t>Data Fabric</w:t>
      </w:r>
      <w:r>
        <w:rPr>
          <w:rFonts w:ascii="微软雅黑" w:hAnsi="微软雅黑" w:eastAsia="微软雅黑" w:cs="微软雅黑"/>
          <w:color w:val="231F20"/>
          <w:spacing w:val="3"/>
          <w:sz w:val="22"/>
          <w:szCs w:val="22"/>
        </w:rPr>
        <w:t xml:space="preserve"> 可复用数据仓库、数据湖相关技术组件，同时强调与云计算、数据虚拟化、</w:t>
      </w:r>
      <w:r>
        <w:rPr>
          <w:rFonts w:ascii="微软雅黑" w:hAnsi="微软雅黑" w:eastAsia="微软雅黑" w:cs="微软雅黑"/>
          <w:color w:val="231F20"/>
          <w:sz w:val="22"/>
          <w:szCs w:val="22"/>
        </w:rPr>
        <w:t>AI</w:t>
      </w:r>
      <w:r>
        <w:rPr>
          <w:rFonts w:ascii="微软雅黑" w:hAnsi="微软雅黑" w:eastAsia="微软雅黑" w:cs="微软雅黑"/>
          <w:color w:val="231F20"/>
          <w:spacing w:val="3"/>
          <w:sz w:val="22"/>
          <w:szCs w:val="22"/>
        </w:rPr>
        <w:t>、知识图谱</w:t>
      </w:r>
      <w:r>
        <w:rPr>
          <w:rFonts w:ascii="微软雅黑" w:hAnsi="微软雅黑" w:eastAsia="微软雅黑" w:cs="微软雅黑"/>
          <w:color w:val="231F20"/>
          <w:spacing w:val="6"/>
          <w:sz w:val="22"/>
          <w:szCs w:val="22"/>
        </w:rPr>
        <w:t xml:space="preserve"> </w:t>
      </w:r>
      <w:r>
        <w:rPr>
          <w:rFonts w:ascii="微软雅黑" w:hAnsi="微软雅黑" w:eastAsia="微软雅黑" w:cs="微软雅黑"/>
          <w:color w:val="231F20"/>
          <w:spacing w:val="-3"/>
          <w:sz w:val="22"/>
          <w:szCs w:val="22"/>
        </w:rPr>
        <w:t>等技术的融合。</w:t>
      </w:r>
    </w:p>
    <w:p w14:paraId="0C7B4038">
      <w:pPr>
        <w:spacing w:before="26" w:line="291" w:lineRule="auto"/>
        <w:ind w:left="248" w:right="73" w:firstLine="494"/>
        <w:jc w:val="both"/>
        <w:rPr>
          <w:rFonts w:ascii="微软雅黑" w:hAnsi="微软雅黑" w:eastAsia="微软雅黑" w:cs="微软雅黑"/>
          <w:sz w:val="22"/>
          <w:szCs w:val="22"/>
        </w:rPr>
      </w:pPr>
      <w:r>
        <w:rPr>
          <w:rFonts w:ascii="微软雅黑" w:hAnsi="微软雅黑" w:eastAsia="微软雅黑" w:cs="微软雅黑"/>
          <w:color w:val="231F20"/>
          <w:sz w:val="22"/>
          <w:szCs w:val="22"/>
        </w:rPr>
        <w:t>Data</w:t>
      </w:r>
      <w:r>
        <w:rPr>
          <w:rFonts w:ascii="微软雅黑" w:hAnsi="微软雅黑" w:eastAsia="微软雅黑" w:cs="微软雅黑"/>
          <w:color w:val="231F20"/>
          <w:spacing w:val="5"/>
          <w:sz w:val="22"/>
          <w:szCs w:val="22"/>
        </w:rPr>
        <w:t xml:space="preserve"> </w:t>
      </w:r>
      <w:r>
        <w:rPr>
          <w:rFonts w:ascii="微软雅黑" w:hAnsi="微软雅黑" w:eastAsia="微软雅黑" w:cs="微软雅黑"/>
          <w:color w:val="231F20"/>
          <w:sz w:val="22"/>
          <w:szCs w:val="22"/>
        </w:rPr>
        <w:t>Fabric</w:t>
      </w:r>
      <w:r>
        <w:rPr>
          <w:rFonts w:ascii="微软雅黑" w:hAnsi="微软雅黑" w:eastAsia="微软雅黑" w:cs="微软雅黑"/>
          <w:color w:val="231F20"/>
          <w:spacing w:val="5"/>
          <w:sz w:val="22"/>
          <w:szCs w:val="22"/>
        </w:rPr>
        <w:t xml:space="preserve"> 的目标是减少数据复制规模，节约数据集成成本，提</w:t>
      </w:r>
      <w:r>
        <w:rPr>
          <w:rFonts w:ascii="微软雅黑" w:hAnsi="微软雅黑" w:eastAsia="微软雅黑" w:cs="微软雅黑"/>
          <w:color w:val="231F20"/>
          <w:spacing w:val="4"/>
          <w:sz w:val="22"/>
          <w:szCs w:val="22"/>
        </w:rPr>
        <w:t>升数据访问和获取效率。</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8"/>
          <w:sz w:val="22"/>
          <w:szCs w:val="22"/>
        </w:rPr>
        <w:t>为实现这一目标，企业应至少具备以下三个能力。</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pacing w:val="8"/>
          <w:sz w:val="22"/>
          <w:szCs w:val="22"/>
        </w:rPr>
        <w:t>一是在数据之间建立虚拟链接，简化数据访</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1"/>
          <w:sz w:val="22"/>
          <w:szCs w:val="22"/>
        </w:rPr>
        <w:t xml:space="preserve">问模式，从而减少数据复制数量；二是利用 </w:t>
      </w:r>
      <w:r>
        <w:rPr>
          <w:rFonts w:ascii="微软雅黑" w:hAnsi="微软雅黑" w:eastAsia="微软雅黑" w:cs="微软雅黑"/>
          <w:color w:val="231F20"/>
          <w:sz w:val="22"/>
          <w:szCs w:val="22"/>
        </w:rPr>
        <w:t>AI</w:t>
      </w:r>
      <w:r>
        <w:rPr>
          <w:rFonts w:ascii="微软雅黑" w:hAnsi="微软雅黑" w:eastAsia="微软雅黑" w:cs="微软雅黑"/>
          <w:color w:val="231F20"/>
          <w:spacing w:val="11"/>
          <w:sz w:val="22"/>
          <w:szCs w:val="22"/>
        </w:rPr>
        <w:t xml:space="preserve"> 技术，使数据资产目录根据企业业务情况和数</w:t>
      </w:r>
      <w:r>
        <w:rPr>
          <w:rFonts w:ascii="微软雅黑" w:hAnsi="微软雅黑" w:eastAsia="微软雅黑" w:cs="微软雅黑"/>
          <w:color w:val="231F20"/>
          <w:spacing w:val="16"/>
          <w:w w:val="101"/>
          <w:sz w:val="22"/>
          <w:szCs w:val="22"/>
        </w:rPr>
        <w:t xml:space="preserve"> </w:t>
      </w:r>
      <w:r>
        <w:rPr>
          <w:rFonts w:ascii="微软雅黑" w:hAnsi="微软雅黑" w:eastAsia="微软雅黑" w:cs="微软雅黑"/>
          <w:color w:val="231F20"/>
          <w:spacing w:val="9"/>
          <w:sz w:val="22"/>
          <w:szCs w:val="22"/>
        </w:rPr>
        <w:t xml:space="preserve">据需求的变化，及时自动调整和优化；三是智能化向数据使用方推送数据，并提供自助式的数 </w:t>
      </w:r>
      <w:r>
        <w:rPr>
          <w:rFonts w:ascii="微软雅黑" w:hAnsi="微软雅黑" w:eastAsia="微软雅黑" w:cs="微软雅黑"/>
          <w:color w:val="231F20"/>
          <w:spacing w:val="1"/>
          <w:sz w:val="22"/>
          <w:szCs w:val="22"/>
        </w:rPr>
        <w:t>据服务。</w:t>
      </w:r>
    </w:p>
    <w:p w14:paraId="50849843">
      <w:pPr>
        <w:spacing w:before="1" w:line="290" w:lineRule="auto"/>
        <w:ind w:left="249" w:right="74" w:firstLine="507"/>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目前，IBM、Informatica 和 Talend 等推出了针对 Data Fabric 的解决方案。以 IBM 为例，</w:t>
      </w:r>
      <w:r>
        <w:rPr>
          <w:rFonts w:ascii="微软雅黑" w:hAnsi="微软雅黑" w:eastAsia="微软雅黑" w:cs="微软雅黑"/>
          <w:color w:val="231F20"/>
          <w:spacing w:val="5"/>
          <w:sz w:val="22"/>
          <w:szCs w:val="22"/>
        </w:rPr>
        <w:t xml:space="preserve"> </w:t>
      </w:r>
      <w:r>
        <w:rPr>
          <w:rFonts w:ascii="微软雅黑" w:hAnsi="微软雅黑" w:eastAsia="微软雅黑" w:cs="微软雅黑"/>
          <w:color w:val="231F20"/>
          <w:spacing w:val="-1"/>
          <w:sz w:val="22"/>
          <w:szCs w:val="22"/>
        </w:rPr>
        <w:t>其于 2021</w:t>
      </w:r>
      <w:r>
        <w:rPr>
          <w:rFonts w:ascii="微软雅黑" w:hAnsi="微软雅黑" w:eastAsia="微软雅黑" w:cs="微软雅黑"/>
          <w:color w:val="231F20"/>
          <w:spacing w:val="-13"/>
          <w:sz w:val="22"/>
          <w:szCs w:val="22"/>
        </w:rPr>
        <w:t xml:space="preserve"> </w:t>
      </w:r>
      <w:r>
        <w:rPr>
          <w:rFonts w:ascii="微软雅黑" w:hAnsi="微软雅黑" w:eastAsia="微软雅黑" w:cs="微软雅黑"/>
          <w:color w:val="231F20"/>
          <w:spacing w:val="-1"/>
          <w:sz w:val="22"/>
          <w:szCs w:val="22"/>
        </w:rPr>
        <w:t>年 7 月发布的 Cloud Pak for Data4.0 的软件组合增加了智能化的 Data Fabr</w:t>
      </w:r>
      <w:r>
        <w:rPr>
          <w:rFonts w:ascii="微软雅黑" w:hAnsi="微软雅黑" w:eastAsia="微软雅黑" w:cs="微软雅黑"/>
          <w:color w:val="231F20"/>
          <w:spacing w:val="-2"/>
          <w:sz w:val="22"/>
          <w:szCs w:val="22"/>
        </w:rPr>
        <w:t>ic</w:t>
      </w:r>
      <w:r>
        <w:rPr>
          <w:rFonts w:ascii="微软雅黑" w:hAnsi="微软雅黑" w:eastAsia="微软雅黑" w:cs="微软雅黑"/>
          <w:color w:val="231F20"/>
          <w:spacing w:val="-12"/>
          <w:sz w:val="22"/>
          <w:szCs w:val="22"/>
        </w:rPr>
        <w:t xml:space="preserve"> </w:t>
      </w:r>
      <w:r>
        <w:rPr>
          <w:rFonts w:ascii="微软雅黑" w:hAnsi="微软雅黑" w:eastAsia="微软雅黑" w:cs="微软雅黑"/>
          <w:color w:val="231F20"/>
          <w:spacing w:val="-2"/>
          <w:sz w:val="22"/>
          <w:szCs w:val="22"/>
        </w:rPr>
        <w:t>功能，</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 xml:space="preserve">其中 </w:t>
      </w:r>
      <w:r>
        <w:rPr>
          <w:rFonts w:ascii="微软雅黑" w:hAnsi="微软雅黑" w:eastAsia="微软雅黑" w:cs="微软雅黑"/>
          <w:color w:val="231F20"/>
          <w:sz w:val="22"/>
          <w:szCs w:val="22"/>
        </w:rPr>
        <w:t>AutoSQL</w:t>
      </w:r>
      <w:r>
        <w:rPr>
          <w:rFonts w:ascii="微软雅黑" w:hAnsi="微软雅黑" w:eastAsia="微软雅黑" w:cs="微软雅黑"/>
          <w:color w:val="231F20"/>
          <w:spacing w:val="2"/>
          <w:sz w:val="22"/>
          <w:szCs w:val="22"/>
        </w:rPr>
        <w:t>（结构化查询语言</w:t>
      </w:r>
      <w:r>
        <w:rPr>
          <w:rFonts w:ascii="微软雅黑" w:hAnsi="微软雅黑" w:eastAsia="微软雅黑" w:cs="微软雅黑"/>
          <w:color w:val="231F20"/>
          <w:spacing w:val="3"/>
          <w:sz w:val="22"/>
          <w:szCs w:val="22"/>
        </w:rPr>
        <w:t>）</w:t>
      </w:r>
      <w:r>
        <w:rPr>
          <w:rFonts w:ascii="微软雅黑" w:hAnsi="微软雅黑" w:eastAsia="微软雅黑" w:cs="微软雅黑"/>
          <w:color w:val="231F20"/>
          <w:spacing w:val="-14"/>
          <w:sz w:val="22"/>
          <w:szCs w:val="22"/>
        </w:rPr>
        <w:t xml:space="preserve"> </w:t>
      </w:r>
      <w:r>
        <w:rPr>
          <w:rFonts w:ascii="微软雅黑" w:hAnsi="微软雅黑" w:eastAsia="微软雅黑" w:cs="微软雅黑"/>
          <w:color w:val="231F20"/>
          <w:spacing w:val="3"/>
          <w:sz w:val="22"/>
          <w:szCs w:val="22"/>
        </w:rPr>
        <w:t>，</w:t>
      </w:r>
      <w:r>
        <w:rPr>
          <w:rFonts w:ascii="微软雅黑" w:hAnsi="微软雅黑" w:eastAsia="微软雅黑" w:cs="微软雅黑"/>
          <w:color w:val="231F20"/>
          <w:spacing w:val="2"/>
          <w:sz w:val="22"/>
          <w:szCs w:val="22"/>
        </w:rPr>
        <w:t xml:space="preserve">可以通过 </w:t>
      </w:r>
      <w:r>
        <w:rPr>
          <w:rFonts w:ascii="微软雅黑" w:hAnsi="微软雅黑" w:eastAsia="微软雅黑" w:cs="微软雅黑"/>
          <w:color w:val="231F20"/>
          <w:sz w:val="22"/>
          <w:szCs w:val="22"/>
        </w:rPr>
        <w:t>AI</w:t>
      </w:r>
      <w:r>
        <w:rPr>
          <w:rFonts w:ascii="微软雅黑" w:hAnsi="微软雅黑" w:eastAsia="微软雅黑" w:cs="微软雅黑"/>
          <w:color w:val="231F20"/>
          <w:spacing w:val="2"/>
          <w:sz w:val="22"/>
          <w:szCs w:val="22"/>
        </w:rPr>
        <w:t xml:space="preserve"> 进行数据的自动访问、整合和管理，使分布式</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查询的速度提升 8 倍，同时节约 50% 的成本。</w:t>
      </w:r>
    </w:p>
    <w:p w14:paraId="3EA2732F">
      <w:pPr>
        <w:pStyle w:val="2"/>
        <w:spacing w:line="380" w:lineRule="auto"/>
      </w:pPr>
    </w:p>
    <w:p w14:paraId="7549A170">
      <w:pPr>
        <w:spacing w:before="103" w:line="180" w:lineRule="auto"/>
        <w:ind w:left="251"/>
        <w:rPr>
          <w:rFonts w:ascii="微软雅黑" w:hAnsi="微软雅黑" w:eastAsia="微软雅黑" w:cs="微软雅黑"/>
          <w:sz w:val="24"/>
          <w:szCs w:val="24"/>
        </w:rPr>
      </w:pPr>
      <w:r>
        <w:rPr>
          <w:rFonts w:ascii="微软雅黑" w:hAnsi="微软雅黑" w:eastAsia="微软雅黑" w:cs="微软雅黑"/>
          <w:color w:val="231F20"/>
          <w:spacing w:val="7"/>
          <w:sz w:val="24"/>
          <w:szCs w:val="24"/>
        </w:rPr>
        <w:t>6. 管理手段：自动化与智能化广泛应用</w:t>
      </w:r>
    </w:p>
    <w:p w14:paraId="357DD645">
      <w:pPr>
        <w:spacing w:before="140" w:line="289" w:lineRule="auto"/>
        <w:ind w:left="246" w:firstLine="494"/>
        <w:jc w:val="both"/>
        <w:rPr>
          <w:rFonts w:ascii="微软雅黑" w:hAnsi="微软雅黑" w:eastAsia="微软雅黑" w:cs="微软雅黑"/>
          <w:sz w:val="22"/>
          <w:szCs w:val="22"/>
        </w:rPr>
      </w:pPr>
      <w:r>
        <w:rPr>
          <w:rFonts w:ascii="微软雅黑" w:hAnsi="微软雅黑" w:eastAsia="微软雅黑" w:cs="微软雅黑"/>
          <w:color w:val="231F20"/>
          <w:spacing w:val="-8"/>
          <w:sz w:val="22"/>
          <w:szCs w:val="22"/>
        </w:rPr>
        <w:t>随着数据复杂性持续增加，依靠“手工人力”的数据资产管理手段将逐步被“自动智能”的“专</w:t>
      </w:r>
      <w:r>
        <w:rPr>
          <w:rFonts w:ascii="微软雅黑" w:hAnsi="微软雅黑" w:eastAsia="微软雅黑" w:cs="微软雅黑"/>
          <w:color w:val="231F20"/>
          <w:spacing w:val="3"/>
          <w:sz w:val="22"/>
          <w:szCs w:val="22"/>
        </w:rPr>
        <w:t xml:space="preserve">  </w:t>
      </w:r>
      <w:r>
        <w:rPr>
          <w:rFonts w:ascii="微软雅黑" w:hAnsi="微软雅黑" w:eastAsia="微软雅黑" w:cs="微软雅黑"/>
          <w:color w:val="231F20"/>
          <w:spacing w:val="-6"/>
          <w:sz w:val="22"/>
          <w:szCs w:val="22"/>
        </w:rPr>
        <w:t>业工具”取代，覆盖数据资源化、数据资产化的多个活动职能， 在不影响数据资产管理效果的同时，</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极大地降低了数据资产管理成本。</w:t>
      </w:r>
    </w:p>
    <w:p w14:paraId="73552AA5">
      <w:pPr>
        <w:spacing w:before="21" w:line="286" w:lineRule="auto"/>
        <w:ind w:left="247" w:firstLine="482"/>
        <w:jc w:val="both"/>
        <w:rPr>
          <w:rFonts w:ascii="微软雅黑" w:hAnsi="微软雅黑" w:eastAsia="微软雅黑" w:cs="微软雅黑"/>
          <w:sz w:val="22"/>
          <w:szCs w:val="22"/>
        </w:rPr>
      </w:pPr>
      <w:r>
        <w:rPr>
          <w:rFonts w:ascii="微软雅黑" w:hAnsi="微软雅黑" w:eastAsia="微软雅黑" w:cs="微软雅黑"/>
          <w:color w:val="231F20"/>
          <w:spacing w:val="-6"/>
          <w:sz w:val="22"/>
          <w:szCs w:val="22"/>
        </w:rPr>
        <w:t>具体来说，是指利用</w:t>
      </w:r>
      <w:r>
        <w:rPr>
          <w:rFonts w:ascii="微软雅黑" w:hAnsi="微软雅黑" w:eastAsia="微软雅黑" w:cs="微软雅黑"/>
          <w:color w:val="231F20"/>
          <w:spacing w:val="-25"/>
          <w:sz w:val="22"/>
          <w:szCs w:val="22"/>
        </w:rPr>
        <w:t xml:space="preserve"> </w:t>
      </w:r>
      <w:r>
        <w:rPr>
          <w:rFonts w:ascii="微软雅黑" w:hAnsi="微软雅黑" w:eastAsia="微软雅黑" w:cs="微软雅黑"/>
          <w:color w:val="231F20"/>
          <w:spacing w:val="-6"/>
          <w:sz w:val="22"/>
          <w:szCs w:val="22"/>
        </w:rPr>
        <w:t>AI、ML、RPA、</w:t>
      </w:r>
      <w:r>
        <w:rPr>
          <w:rFonts w:ascii="微软雅黑" w:hAnsi="微软雅黑" w:eastAsia="微软雅黑" w:cs="微软雅黑"/>
          <w:color w:val="231F20"/>
          <w:spacing w:val="-7"/>
          <w:sz w:val="22"/>
          <w:szCs w:val="22"/>
        </w:rPr>
        <w:t>语义分析、可视化等技术，</w:t>
      </w:r>
      <w:r>
        <w:rPr>
          <w:rFonts w:ascii="微软雅黑" w:hAnsi="微软雅黑" w:eastAsia="微软雅黑" w:cs="微软雅黑"/>
          <w:color w:val="231F20"/>
          <w:spacing w:val="-22"/>
          <w:sz w:val="22"/>
          <w:szCs w:val="22"/>
        </w:rPr>
        <w:t xml:space="preserve"> </w:t>
      </w:r>
      <w:r>
        <w:rPr>
          <w:rFonts w:ascii="微软雅黑" w:hAnsi="微软雅黑" w:eastAsia="微软雅黑" w:cs="微软雅黑"/>
          <w:color w:val="231F20"/>
          <w:spacing w:val="-7"/>
          <w:sz w:val="22"/>
          <w:szCs w:val="22"/>
        </w:rPr>
        <w:t>自动识别或匹配数据规则（包</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8"/>
          <w:sz w:val="22"/>
          <w:szCs w:val="22"/>
        </w:rPr>
        <w:t>括数据标准规则、数据质量规则、数据安全规则等</w:t>
      </w:r>
      <w:r>
        <w:rPr>
          <w:rFonts w:ascii="微软雅黑" w:hAnsi="微软雅黑" w:eastAsia="微软雅黑" w:cs="微软雅黑"/>
          <w:color w:val="231F20"/>
          <w:spacing w:val="2"/>
          <w:sz w:val="22"/>
          <w:szCs w:val="22"/>
        </w:rPr>
        <w:t>）</w:t>
      </w:r>
      <w:r>
        <w:rPr>
          <w:rFonts w:ascii="微软雅黑" w:hAnsi="微软雅黑" w:eastAsia="微软雅黑" w:cs="微软雅黑"/>
          <w:color w:val="231F20"/>
          <w:spacing w:val="1"/>
          <w:sz w:val="22"/>
          <w:szCs w:val="22"/>
        </w:rPr>
        <w:t xml:space="preserve"> </w:t>
      </w:r>
      <w:r>
        <w:rPr>
          <w:rFonts w:ascii="微软雅黑" w:hAnsi="微软雅黑" w:eastAsia="微软雅黑" w:cs="微软雅黑"/>
          <w:color w:val="231F20"/>
          <w:spacing w:val="2"/>
          <w:sz w:val="22"/>
          <w:szCs w:val="22"/>
        </w:rPr>
        <w:t>，</w:t>
      </w:r>
      <w:r>
        <w:rPr>
          <w:rFonts w:ascii="微软雅黑" w:hAnsi="微软雅黑" w:eastAsia="微软雅黑" w:cs="微软雅黑"/>
          <w:color w:val="231F20"/>
          <w:spacing w:val="8"/>
          <w:sz w:val="22"/>
          <w:szCs w:val="22"/>
        </w:rPr>
        <w:t>自动执行数据规则校验，或是</w:t>
      </w:r>
      <w:r>
        <w:rPr>
          <w:rFonts w:ascii="微软雅黑" w:hAnsi="微软雅黑" w:eastAsia="微软雅黑" w:cs="微软雅黑"/>
          <w:color w:val="231F20"/>
          <w:spacing w:val="7"/>
          <w:sz w:val="22"/>
          <w:szCs w:val="22"/>
        </w:rPr>
        <w:t>自动发现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4"/>
          <w:sz w:val="22"/>
          <w:szCs w:val="22"/>
        </w:rPr>
        <w:t>数据之间的关联关系，并以可视化的方式展现。此外，可利用</w:t>
      </w:r>
      <w:r>
        <w:rPr>
          <w:rFonts w:ascii="微软雅黑" w:hAnsi="微软雅黑" w:eastAsia="微软雅黑" w:cs="微软雅黑"/>
          <w:color w:val="231F20"/>
          <w:spacing w:val="13"/>
          <w:sz w:val="22"/>
          <w:szCs w:val="22"/>
        </w:rPr>
        <w:t xml:space="preserve"> </w:t>
      </w:r>
      <w:r>
        <w:rPr>
          <w:rFonts w:ascii="微软雅黑" w:hAnsi="微软雅黑" w:eastAsia="微软雅黑" w:cs="微软雅黑"/>
          <w:color w:val="231F20"/>
          <w:sz w:val="22"/>
          <w:szCs w:val="22"/>
        </w:rPr>
        <w:t>VR</w:t>
      </w:r>
      <w:r>
        <w:rPr>
          <w:rFonts w:ascii="微软雅黑" w:hAnsi="微软雅黑" w:eastAsia="微软雅黑" w:cs="微软雅黑"/>
          <w:color w:val="231F20"/>
          <w:spacing w:val="13"/>
          <w:sz w:val="22"/>
          <w:szCs w:val="22"/>
        </w:rPr>
        <w:t>、</w:t>
      </w:r>
      <w:r>
        <w:rPr>
          <w:rFonts w:ascii="微软雅黑" w:hAnsi="微软雅黑" w:eastAsia="微软雅黑" w:cs="微软雅黑"/>
          <w:color w:val="231F20"/>
          <w:sz w:val="22"/>
          <w:szCs w:val="22"/>
        </w:rPr>
        <w:t>AR</w:t>
      </w:r>
      <w:r>
        <w:rPr>
          <w:rFonts w:ascii="微软雅黑" w:hAnsi="微软雅黑" w:eastAsia="微软雅黑" w:cs="微软雅黑"/>
          <w:color w:val="231F20"/>
          <w:spacing w:val="13"/>
          <w:sz w:val="22"/>
          <w:szCs w:val="22"/>
        </w:rPr>
        <w:t xml:space="preserve"> 等技术，帮助数据使</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用者探索数据和挖掘数据，提升数据应用的趣味性，降低数据使用门槛，扩大数据使用对象范</w:t>
      </w:r>
      <w:r>
        <w:rPr>
          <w:rFonts w:ascii="微软雅黑" w:hAnsi="微软雅黑" w:eastAsia="微软雅黑" w:cs="微软雅黑"/>
          <w:color w:val="231F20"/>
          <w:spacing w:val="5"/>
          <w:sz w:val="22"/>
          <w:szCs w:val="22"/>
        </w:rPr>
        <w:t xml:space="preserve">  </w:t>
      </w:r>
      <w:r>
        <w:rPr>
          <w:rFonts w:ascii="微软雅黑" w:hAnsi="微软雅黑" w:eastAsia="微软雅黑" w:cs="微软雅黑"/>
          <w:color w:val="231F20"/>
          <w:sz w:val="22"/>
          <w:szCs w:val="22"/>
        </w:rPr>
        <w:t>围。例如，</w:t>
      </w:r>
      <w:r>
        <w:rPr>
          <w:rFonts w:ascii="微软雅黑" w:hAnsi="微软雅黑" w:eastAsia="微软雅黑" w:cs="微软雅黑"/>
          <w:color w:val="231F20"/>
          <w:spacing w:val="19"/>
          <w:sz w:val="22"/>
          <w:szCs w:val="22"/>
        </w:rPr>
        <w:t xml:space="preserve">  </w:t>
      </w:r>
      <w:r>
        <w:rPr>
          <w:rFonts w:ascii="微软雅黑" w:hAnsi="微软雅黑" w:eastAsia="微软雅黑" w:cs="微软雅黑"/>
          <w:color w:val="231F20"/>
          <w:sz w:val="22"/>
          <w:szCs w:val="22"/>
        </w:rPr>
        <w:t xml:space="preserve">中国建设银行比对法律法规要求， 实施了自动化数据安全分类分级打标。截至目前， </w:t>
      </w:r>
      <w:r>
        <w:rPr>
          <w:rFonts w:ascii="微软雅黑" w:hAnsi="微软雅黑" w:eastAsia="微软雅黑" w:cs="微软雅黑"/>
          <w:color w:val="231F20"/>
          <w:spacing w:val="10"/>
          <w:sz w:val="22"/>
          <w:szCs w:val="22"/>
        </w:rPr>
        <w:t>构建了包括 5.9 万项的安全基础词库</w:t>
      </w:r>
      <w:r>
        <w:rPr>
          <w:rFonts w:ascii="微软雅黑" w:hAnsi="微软雅黑" w:eastAsia="微软雅黑" w:cs="微软雅黑"/>
          <w:color w:val="231F20"/>
          <w:spacing w:val="9"/>
          <w:sz w:val="22"/>
          <w:szCs w:val="22"/>
        </w:rPr>
        <w:t>，通过自动化定级机器学习模型对 18 万余个数据项进行</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自动化定级。</w:t>
      </w:r>
    </w:p>
    <w:p w14:paraId="205AFFB7">
      <w:pPr>
        <w:pStyle w:val="2"/>
        <w:spacing w:line="325" w:lineRule="auto"/>
      </w:pPr>
    </w:p>
    <w:p w14:paraId="66A6C2AD">
      <w:pPr>
        <w:spacing w:before="79" w:line="212" w:lineRule="auto"/>
        <w:ind w:left="5513"/>
        <w:rPr>
          <w:rFonts w:hint="eastAsia" w:ascii="宋体" w:hAnsi="宋体" w:eastAsia="宋体" w:cs="宋体"/>
          <w:sz w:val="24"/>
          <w:szCs w:val="24"/>
          <w:lang w:eastAsia="zh-CN"/>
        </w:rPr>
      </w:pPr>
      <w:r>
        <w:pict>
          <v:shape id="_x0000_s1352" o:spid="_x0000_s1352" o:spt="202" type="#_x0000_t202" style="position:absolute;left:0pt;margin-left:240.95pt;margin-top:-1.75pt;height:11.3pt;width:13pt;z-index:251907072;mso-width-relative:page;mso-height-relative:page;" filled="f" stroked="f" coordsize="21600,21600">
            <v:path/>
            <v:fill on="f" focussize="0,0"/>
            <v:stroke on="f"/>
            <v:imagedata o:title=""/>
            <o:lock v:ext="edit" aspectratio="f"/>
            <v:textbox inset="0mm,0mm,0mm,0mm">
              <w:txbxContent>
                <w:p w14:paraId="76934775">
                  <w:pPr>
                    <w:pStyle w:val="2"/>
                    <w:spacing w:before="20" w:line="194" w:lineRule="auto"/>
                    <w:ind w:left="20"/>
                    <w:rPr>
                      <w:sz w:val="20"/>
                      <w:szCs w:val="20"/>
                    </w:rPr>
                  </w:pPr>
                  <w:r>
                    <w:rPr>
                      <w:color w:val="231F20"/>
                      <w:spacing w:val="-1"/>
                      <w:sz w:val="20"/>
                      <w:szCs w:val="20"/>
                    </w:rPr>
                    <w:t>46</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p w14:paraId="5CDA9369">
      <w:pPr>
        <w:spacing w:line="212" w:lineRule="auto"/>
        <w:rPr>
          <w:rFonts w:ascii="宋体" w:hAnsi="宋体" w:eastAsia="宋体" w:cs="宋体"/>
          <w:sz w:val="24"/>
          <w:szCs w:val="24"/>
        </w:rPr>
        <w:sectPr>
          <w:pgSz w:w="11906" w:h="16158"/>
          <w:pgMar w:top="400" w:right="1178" w:bottom="400" w:left="1004" w:header="0" w:footer="0" w:gutter="0"/>
          <w:cols w:space="720" w:num="1"/>
        </w:sectPr>
      </w:pPr>
    </w:p>
    <w:p w14:paraId="25787925">
      <w:pPr>
        <w:pStyle w:val="2"/>
        <w:spacing w:line="349" w:lineRule="auto"/>
      </w:pPr>
    </w:p>
    <w:p w14:paraId="17411B03">
      <w:pPr>
        <w:pStyle w:val="2"/>
        <w:spacing w:line="350" w:lineRule="auto"/>
      </w:pPr>
    </w:p>
    <w:p w14:paraId="427A7E35">
      <w:pPr>
        <w:spacing w:before="80" w:line="182" w:lineRule="auto"/>
        <w:rPr>
          <w:rFonts w:ascii="Segoe UI" w:hAnsi="Segoe UI" w:eastAsia="Segoe UI" w:cs="Segoe UI"/>
          <w:sz w:val="24"/>
          <w:szCs w:val="24"/>
        </w:rPr>
      </w:pPr>
      <w:r>
        <w:rPr>
          <w:rFonts w:ascii="Segoe UI" w:hAnsi="Segoe UI" w:eastAsia="Segoe UI" w:cs="Segoe UI"/>
          <w:b/>
          <w:bCs/>
          <w:color w:val="648676"/>
          <w:spacing w:val="27"/>
          <w:w w:val="110"/>
          <w:sz w:val="24"/>
          <w:szCs w:val="24"/>
        </w:rPr>
        <w:t>CHAPTER -5</w:t>
      </w:r>
    </w:p>
    <w:p w14:paraId="51B2FA46">
      <w:pPr>
        <w:spacing w:before="55" w:line="178" w:lineRule="auto"/>
        <w:ind w:left="411"/>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数据资产管理发展趋势</w:t>
      </w:r>
    </w:p>
    <w:p w14:paraId="422F4C24">
      <w:pPr>
        <w:pStyle w:val="2"/>
        <w:spacing w:line="293" w:lineRule="auto"/>
      </w:pPr>
    </w:p>
    <w:p w14:paraId="0AF2AA5E">
      <w:pPr>
        <w:pStyle w:val="2"/>
        <w:spacing w:line="294" w:lineRule="auto"/>
      </w:pPr>
    </w:p>
    <w:p w14:paraId="6234C77F">
      <w:pPr>
        <w:pStyle w:val="2"/>
        <w:spacing w:line="294" w:lineRule="auto"/>
      </w:pPr>
    </w:p>
    <w:p w14:paraId="3A5417A8">
      <w:pPr>
        <w:spacing w:before="103" w:line="178" w:lineRule="auto"/>
        <w:ind w:left="254"/>
        <w:rPr>
          <w:rFonts w:ascii="微软雅黑" w:hAnsi="微软雅黑" w:eastAsia="微软雅黑" w:cs="微软雅黑"/>
          <w:sz w:val="24"/>
          <w:szCs w:val="24"/>
        </w:rPr>
      </w:pPr>
      <w:r>
        <w:rPr>
          <w:rFonts w:ascii="微软雅黑" w:hAnsi="微软雅黑" w:eastAsia="微软雅黑" w:cs="微软雅黑"/>
          <w:color w:val="231F20"/>
          <w:spacing w:val="6"/>
          <w:sz w:val="24"/>
          <w:szCs w:val="24"/>
        </w:rPr>
        <w:t>7. 运营模式：构建多元化的数据生态</w:t>
      </w:r>
    </w:p>
    <w:p w14:paraId="79FD5B0F">
      <w:pPr>
        <w:spacing w:before="141" w:line="289" w:lineRule="auto"/>
        <w:ind w:left="248" w:right="7" w:firstLine="480"/>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运营数据是持续创造数据价值的有效方式，多元化的数据生态通过引入多维度数据、多</w:t>
      </w:r>
      <w:r>
        <w:rPr>
          <w:rFonts w:ascii="微软雅黑" w:hAnsi="微软雅黑" w:eastAsia="微软雅黑" w:cs="微软雅黑"/>
          <w:color w:val="231F20"/>
          <w:spacing w:val="2"/>
          <w:sz w:val="22"/>
          <w:szCs w:val="22"/>
        </w:rPr>
        <w:t>类参</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与方、多种产品形态，  进一步拓展数据应用场景和数</w:t>
      </w:r>
      <w:r>
        <w:rPr>
          <w:rFonts w:ascii="微软雅黑" w:hAnsi="微软雅黑" w:eastAsia="微软雅黑" w:cs="微软雅黑"/>
          <w:color w:val="231F20"/>
          <w:spacing w:val="-5"/>
          <w:sz w:val="22"/>
          <w:szCs w:val="22"/>
        </w:rPr>
        <w:t>据合作方式，为数据运营提供了良好的环境。</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“开放银行”是数据生态的典型代表。</w:t>
      </w:r>
    </w:p>
    <w:p w14:paraId="55E5B591">
      <w:pPr>
        <w:spacing w:before="17" w:line="289" w:lineRule="auto"/>
        <w:ind w:left="249" w:right="2" w:firstLine="501"/>
        <w:jc w:val="both"/>
        <w:rPr>
          <w:rFonts w:ascii="微软雅黑" w:hAnsi="微软雅黑" w:eastAsia="微软雅黑" w:cs="微软雅黑"/>
          <w:sz w:val="22"/>
          <w:szCs w:val="22"/>
        </w:rPr>
      </w:pPr>
      <w:r>
        <w:rPr>
          <w:rFonts w:ascii="微软雅黑" w:hAnsi="微软雅黑" w:eastAsia="微软雅黑" w:cs="微软雅黑"/>
          <w:color w:val="231F20"/>
          <w:spacing w:val="1"/>
          <w:sz w:val="22"/>
          <w:szCs w:val="22"/>
        </w:rPr>
        <w:t xml:space="preserve">“开放银行”的本质是一种平台化商业模式，以 </w:t>
      </w:r>
      <w:r>
        <w:rPr>
          <w:rFonts w:ascii="微软雅黑" w:hAnsi="微软雅黑" w:eastAsia="微软雅黑" w:cs="微软雅黑"/>
          <w:color w:val="231F20"/>
          <w:sz w:val="22"/>
          <w:szCs w:val="22"/>
        </w:rPr>
        <w:t>API</w:t>
      </w:r>
      <w:r>
        <w:rPr>
          <w:rFonts w:ascii="微软雅黑" w:hAnsi="微软雅黑" w:eastAsia="微软雅黑" w:cs="微软雅黑"/>
          <w:color w:val="231F20"/>
          <w:spacing w:val="1"/>
          <w:sz w:val="22"/>
          <w:szCs w:val="22"/>
        </w:rPr>
        <w:t xml:space="preserve"> 作为技术手段，实现银行数据与第三方</w:t>
      </w:r>
      <w:r>
        <w:rPr>
          <w:rFonts w:ascii="微软雅黑" w:hAnsi="微软雅黑" w:eastAsia="微软雅黑" w:cs="微软雅黑"/>
          <w:color w:val="231F20"/>
          <w:spacing w:val="9"/>
          <w:sz w:val="22"/>
          <w:szCs w:val="22"/>
        </w:rPr>
        <w:t xml:space="preserve"> </w:t>
      </w:r>
      <w:r>
        <w:rPr>
          <w:rFonts w:ascii="微软雅黑" w:hAnsi="微软雅黑" w:eastAsia="微软雅黑" w:cs="微软雅黑"/>
          <w:color w:val="231F20"/>
          <w:spacing w:val="4"/>
          <w:sz w:val="22"/>
          <w:szCs w:val="22"/>
        </w:rPr>
        <w:t>服务商的共享，从而为金融生态中的客户、第三方开发者、金融科技企业以及其他合</w:t>
      </w:r>
      <w:r>
        <w:rPr>
          <w:rFonts w:ascii="微软雅黑" w:hAnsi="微软雅黑" w:eastAsia="微软雅黑" w:cs="微软雅黑"/>
          <w:color w:val="231F20"/>
          <w:spacing w:val="3"/>
          <w:sz w:val="22"/>
          <w:szCs w:val="22"/>
        </w:rPr>
        <w:t>作伙伴提供</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服务，并最终为消费者创造出新价值。</w:t>
      </w:r>
    </w:p>
    <w:p w14:paraId="6BA59338">
      <w:pPr>
        <w:spacing w:before="19" w:line="290" w:lineRule="auto"/>
        <w:ind w:left="242" w:firstLine="489"/>
        <w:jc w:val="both"/>
        <w:rPr>
          <w:rFonts w:ascii="微软雅黑" w:hAnsi="微软雅黑" w:eastAsia="微软雅黑" w:cs="微软雅黑"/>
          <w:sz w:val="22"/>
          <w:szCs w:val="22"/>
        </w:rPr>
      </w:pPr>
      <w:r>
        <w:rPr>
          <w:rFonts w:ascii="微软雅黑" w:hAnsi="微软雅黑" w:eastAsia="微软雅黑" w:cs="微软雅黑"/>
          <w:color w:val="231F20"/>
          <w:spacing w:val="5"/>
          <w:sz w:val="22"/>
          <w:szCs w:val="22"/>
        </w:rPr>
        <w:t>2018 年，英国针对其零售银行市场竞争不充分和金融行业创新滞后的</w:t>
      </w:r>
      <w:r>
        <w:rPr>
          <w:rFonts w:ascii="微软雅黑" w:hAnsi="微软雅黑" w:eastAsia="微软雅黑" w:cs="微软雅黑"/>
          <w:color w:val="231F20"/>
          <w:spacing w:val="4"/>
          <w:sz w:val="22"/>
          <w:szCs w:val="22"/>
        </w:rPr>
        <w:t>情况，正式实施“开</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放银行（</w:t>
      </w:r>
      <w:r>
        <w:rPr>
          <w:rFonts w:ascii="微软雅黑" w:hAnsi="微软雅黑" w:eastAsia="微软雅黑" w:cs="微软雅黑"/>
          <w:color w:val="231F20"/>
          <w:sz w:val="22"/>
          <w:szCs w:val="22"/>
        </w:rPr>
        <w:t>Open</w:t>
      </w:r>
      <w:r>
        <w:rPr>
          <w:rFonts w:ascii="微软雅黑" w:hAnsi="微软雅黑" w:eastAsia="微软雅黑" w:cs="微软雅黑"/>
          <w:color w:val="231F20"/>
          <w:spacing w:val="49"/>
          <w:sz w:val="22"/>
          <w:szCs w:val="22"/>
        </w:rPr>
        <w:t xml:space="preserve"> </w:t>
      </w:r>
      <w:r>
        <w:rPr>
          <w:rFonts w:ascii="微软雅黑" w:hAnsi="微软雅黑" w:eastAsia="微软雅黑" w:cs="微软雅黑"/>
          <w:color w:val="231F20"/>
          <w:sz w:val="22"/>
          <w:szCs w:val="22"/>
        </w:rPr>
        <w:t>Bank</w:t>
      </w:r>
      <w:r>
        <w:rPr>
          <w:rFonts w:ascii="微软雅黑" w:hAnsi="微软雅黑" w:eastAsia="微软雅黑" w:cs="微软雅黑"/>
          <w:color w:val="231F20"/>
          <w:spacing w:val="3"/>
          <w:sz w:val="22"/>
          <w:szCs w:val="22"/>
        </w:rPr>
        <w:t>）</w:t>
      </w:r>
      <w:r>
        <w:rPr>
          <w:rFonts w:ascii="微软雅黑" w:hAnsi="微软雅黑" w:eastAsia="微软雅黑" w:cs="微软雅黑"/>
          <w:color w:val="231F20"/>
          <w:spacing w:val="-41"/>
          <w:sz w:val="22"/>
          <w:szCs w:val="22"/>
        </w:rPr>
        <w:t xml:space="preserve"> </w:t>
      </w:r>
      <w:r>
        <w:rPr>
          <w:rFonts w:ascii="微软雅黑" w:hAnsi="微软雅黑" w:eastAsia="微软雅黑" w:cs="微软雅黑"/>
          <w:color w:val="231F20"/>
          <w:spacing w:val="3"/>
          <w:sz w:val="22"/>
          <w:szCs w:val="22"/>
        </w:rPr>
        <w:t>”计划，旨在改善消费者保护，并增强零售银行业务竞争。我国在 2019</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年开始推广和鼓励银行开展“开放银行”实践。据相关统计，绝大多数全国性银行已通过标</w:t>
      </w:r>
      <w:r>
        <w:rPr>
          <w:rFonts w:ascii="微软雅黑" w:hAnsi="微软雅黑" w:eastAsia="微软雅黑" w:cs="微软雅黑"/>
          <w:color w:val="231F20"/>
          <w:spacing w:val="3"/>
          <w:sz w:val="22"/>
          <w:szCs w:val="22"/>
        </w:rPr>
        <w:t>准化</w:t>
      </w:r>
      <w:r>
        <w:rPr>
          <w:rFonts w:ascii="微软雅黑" w:hAnsi="微软雅黑" w:eastAsia="微软雅黑" w:cs="微软雅黑"/>
          <w:color w:val="231F20"/>
          <w:sz w:val="22"/>
          <w:szCs w:val="22"/>
        </w:rPr>
        <w:t xml:space="preserve"> API</w:t>
      </w:r>
      <w:r>
        <w:rPr>
          <w:rFonts w:ascii="微软雅黑" w:hAnsi="微软雅黑" w:eastAsia="微软雅黑" w:cs="微软雅黑"/>
          <w:color w:val="231F20"/>
          <w:spacing w:val="4"/>
          <w:sz w:val="22"/>
          <w:szCs w:val="22"/>
        </w:rPr>
        <w:t xml:space="preserve"> 接口，面向教育、医疗、交通、物流、工业等行业提供包括在线身份认证、风险评估、信用</w:t>
      </w:r>
      <w:r>
        <w:rPr>
          <w:rFonts w:ascii="微软雅黑" w:hAnsi="微软雅黑" w:eastAsia="微软雅黑" w:cs="微软雅黑"/>
          <w:color w:val="231F20"/>
          <w:spacing w:val="8"/>
          <w:sz w:val="22"/>
          <w:szCs w:val="22"/>
        </w:rPr>
        <w:t xml:space="preserve"> </w:t>
      </w:r>
      <w:r>
        <w:rPr>
          <w:rFonts w:ascii="微软雅黑" w:hAnsi="微软雅黑" w:eastAsia="微软雅黑" w:cs="微软雅黑"/>
          <w:color w:val="231F20"/>
          <w:spacing w:val="-2"/>
          <w:sz w:val="22"/>
          <w:szCs w:val="22"/>
        </w:rPr>
        <w:t>评价等数据服务。</w:t>
      </w:r>
    </w:p>
    <w:p w14:paraId="68E14C5F">
      <w:pPr>
        <w:pStyle w:val="2"/>
        <w:spacing w:line="382" w:lineRule="auto"/>
      </w:pPr>
    </w:p>
    <w:p w14:paraId="1B392C97">
      <w:pPr>
        <w:spacing w:before="103" w:line="179" w:lineRule="auto"/>
        <w:ind w:left="253"/>
        <w:rPr>
          <w:rFonts w:ascii="微软雅黑" w:hAnsi="微软雅黑" w:eastAsia="微软雅黑" w:cs="微软雅黑"/>
          <w:sz w:val="24"/>
          <w:szCs w:val="24"/>
        </w:rPr>
      </w:pPr>
      <w:r>
        <w:rPr>
          <w:rFonts w:ascii="微软雅黑" w:hAnsi="微软雅黑" w:eastAsia="微软雅黑" w:cs="微软雅黑"/>
          <w:color w:val="231F20"/>
          <w:spacing w:val="7"/>
          <w:sz w:val="24"/>
          <w:szCs w:val="24"/>
        </w:rPr>
        <w:t>8. 数据安全：兼顾合规与发展</w:t>
      </w:r>
    </w:p>
    <w:p w14:paraId="4C9D0C40">
      <w:pPr>
        <w:spacing w:before="145" w:line="290" w:lineRule="auto"/>
        <w:ind w:left="247" w:right="6" w:firstLine="483"/>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首先，应意识到数据安全与数据资产合理利用并不冲突。两</w:t>
      </w:r>
      <w:r>
        <w:rPr>
          <w:rFonts w:ascii="微软雅黑" w:hAnsi="微软雅黑" w:eastAsia="微软雅黑" w:cs="微软雅黑"/>
          <w:color w:val="231F20"/>
          <w:spacing w:val="2"/>
          <w:sz w:val="22"/>
          <w:szCs w:val="22"/>
        </w:rPr>
        <w:t>者之间存在着互相促进的关系。</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数据安全是合理利用的前提条件，合理利用是数据安全保护的最终目的。只有做好数据安全保</w:t>
      </w:r>
      <w:r>
        <w:rPr>
          <w:rFonts w:ascii="微软雅黑" w:hAnsi="微软雅黑" w:eastAsia="微软雅黑" w:cs="微软雅黑"/>
          <w:color w:val="231F20"/>
          <w:spacing w:val="11"/>
          <w:sz w:val="22"/>
          <w:szCs w:val="22"/>
        </w:rPr>
        <w:t xml:space="preserve"> </w:t>
      </w:r>
      <w:r>
        <w:rPr>
          <w:rFonts w:ascii="微软雅黑" w:hAnsi="微软雅黑" w:eastAsia="微软雅黑" w:cs="微软雅黑"/>
          <w:color w:val="231F20"/>
          <w:spacing w:val="4"/>
          <w:sz w:val="22"/>
          <w:szCs w:val="22"/>
        </w:rPr>
        <w:t>护，才能让数据所有者愿意授予组织或其他主体对数据的</w:t>
      </w:r>
      <w:r>
        <w:rPr>
          <w:rFonts w:ascii="微软雅黑" w:hAnsi="微软雅黑" w:eastAsia="微软雅黑" w:cs="微软雅黑"/>
          <w:color w:val="231F20"/>
          <w:spacing w:val="3"/>
          <w:sz w:val="22"/>
          <w:szCs w:val="22"/>
        </w:rPr>
        <w:t>使用权利，进一步推动数据资产流通。</w:t>
      </w:r>
      <w:r>
        <w:rPr>
          <w:rFonts w:ascii="微软雅黑" w:hAnsi="微软雅黑" w:eastAsia="微软雅黑" w:cs="微软雅黑"/>
          <w:color w:val="231F20"/>
          <w:sz w:val="22"/>
          <w:szCs w:val="22"/>
        </w:rPr>
        <w:t xml:space="preserve"> GDPR</w:t>
      </w:r>
      <w:r>
        <w:rPr>
          <w:rFonts w:ascii="微软雅黑" w:hAnsi="微软雅黑" w:eastAsia="微软雅黑" w:cs="微软雅黑"/>
          <w:color w:val="231F20"/>
          <w:spacing w:val="4"/>
          <w:sz w:val="22"/>
          <w:szCs w:val="22"/>
        </w:rPr>
        <w:t xml:space="preserve"> 倡导平衡“数据权利保护”与“数据自由流通”的理念</w:t>
      </w:r>
      <w:r>
        <w:rPr>
          <w:rFonts w:ascii="微软雅黑" w:hAnsi="微软雅黑" w:eastAsia="微软雅黑" w:cs="微软雅黑"/>
          <w:color w:val="231F20"/>
          <w:spacing w:val="3"/>
          <w:sz w:val="22"/>
          <w:szCs w:val="22"/>
        </w:rPr>
        <w:t>，在赋予数据主体权利的同时，强</w:t>
      </w:r>
      <w:r>
        <w:rPr>
          <w:rFonts w:ascii="微软雅黑" w:hAnsi="微软雅黑" w:eastAsia="微软雅黑" w:cs="微软雅黑"/>
          <w:color w:val="231F20"/>
          <w:sz w:val="22"/>
          <w:szCs w:val="22"/>
        </w:rPr>
        <w:t xml:space="preserve"> 调个人数据的自由流通不得因为在个人数据</w:t>
      </w:r>
      <w:r>
        <w:rPr>
          <w:rFonts w:ascii="微软雅黑" w:hAnsi="微软雅黑" w:eastAsia="微软雅黑" w:cs="微软雅黑"/>
          <w:color w:val="231F20"/>
          <w:spacing w:val="-1"/>
          <w:sz w:val="22"/>
          <w:szCs w:val="22"/>
        </w:rPr>
        <w:t>处理过程中保护自然人权利而被限制或禁止。</w:t>
      </w:r>
    </w:p>
    <w:p w14:paraId="238B4484">
      <w:pPr>
        <w:spacing w:before="13" w:line="291" w:lineRule="auto"/>
        <w:ind w:left="247" w:right="9" w:firstLine="483"/>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其次，应从数据安全管理和数据资产流通两方面同步寻找平衡点。在数据安全</w:t>
      </w:r>
      <w:r>
        <w:rPr>
          <w:rFonts w:ascii="微软雅黑" w:hAnsi="微软雅黑" w:eastAsia="微软雅黑" w:cs="微软雅黑"/>
          <w:color w:val="231F20"/>
          <w:spacing w:val="2"/>
          <w:sz w:val="22"/>
          <w:szCs w:val="22"/>
        </w:rPr>
        <w:t>管理侧，通过</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建立数据安全管理机制，制定数据安全分类分级标准和使用技术规范，提</w:t>
      </w:r>
      <w:r>
        <w:rPr>
          <w:rFonts w:ascii="微软雅黑" w:hAnsi="微软雅黑" w:eastAsia="微软雅黑" w:cs="微软雅黑"/>
          <w:color w:val="231F20"/>
          <w:spacing w:val="3"/>
          <w:sz w:val="22"/>
          <w:szCs w:val="22"/>
        </w:rPr>
        <w:t>升数据安全治理能力；</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在数据资产流通侧，将数据安全合规、个人信息保护等要求作为基本“</w:t>
      </w:r>
      <w:r>
        <w:rPr>
          <w:rFonts w:ascii="微软雅黑" w:hAnsi="微软雅黑" w:eastAsia="微软雅黑" w:cs="微软雅黑"/>
          <w:color w:val="231F20"/>
          <w:spacing w:val="3"/>
          <w:sz w:val="22"/>
          <w:szCs w:val="22"/>
        </w:rPr>
        <w:t>红线”，将其潜在风险作</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为成本指标，在不触碰“红线”的前提下，进行数据资产流通的收益</w:t>
      </w:r>
      <w:r>
        <w:rPr>
          <w:rFonts w:ascii="微软雅黑" w:hAnsi="微软雅黑" w:eastAsia="微软雅黑" w:cs="微软雅黑"/>
          <w:color w:val="231F20"/>
          <w:spacing w:val="3"/>
          <w:sz w:val="22"/>
          <w:szCs w:val="22"/>
        </w:rPr>
        <w:t>分析，探索数据安全与资产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流通的均衡方案。</w:t>
      </w:r>
    </w:p>
    <w:p w14:paraId="03ACE3BE">
      <w:pPr>
        <w:pStyle w:val="2"/>
        <w:spacing w:line="261" w:lineRule="auto"/>
      </w:pPr>
    </w:p>
    <w:p w14:paraId="67410757">
      <w:pPr>
        <w:pStyle w:val="2"/>
        <w:spacing w:line="262" w:lineRule="auto"/>
      </w:pPr>
    </w:p>
    <w:p w14:paraId="09F2F044">
      <w:pPr>
        <w:pStyle w:val="2"/>
        <w:spacing w:line="262" w:lineRule="auto"/>
      </w:pPr>
    </w:p>
    <w:p w14:paraId="48193E1D">
      <w:pPr>
        <w:pStyle w:val="2"/>
        <w:spacing w:line="262" w:lineRule="auto"/>
      </w:pPr>
    </w:p>
    <w:p w14:paraId="5AB75FE6">
      <w:pPr>
        <w:pStyle w:val="2"/>
        <w:spacing w:line="262" w:lineRule="auto"/>
      </w:pPr>
    </w:p>
    <w:p w14:paraId="5173A992">
      <w:pPr>
        <w:pStyle w:val="2"/>
        <w:spacing w:line="262" w:lineRule="auto"/>
      </w:pPr>
    </w:p>
    <w:p w14:paraId="73D79FFA">
      <w:pPr>
        <w:pStyle w:val="2"/>
        <w:spacing w:before="59" w:line="194" w:lineRule="auto"/>
        <w:ind w:left="4839"/>
        <w:rPr>
          <w:sz w:val="20"/>
          <w:szCs w:val="20"/>
        </w:rPr>
      </w:pPr>
      <w:r>
        <w:pict>
          <v:shape id="_x0000_s1353" o:spid="_x0000_s1353" o:spt="202" type="#_x0000_t202" style="position:absolute;left:0pt;margin-left:274.65pt;margin-top:6.55pt;height:15.95pt;width:199.4pt;z-index:251908096;mso-width-relative:page;mso-height-relative:page;" filled="f" stroked="f" coordsize="21600,21600">
            <v:path/>
            <v:fill on="f" focussize="0,0"/>
            <v:stroke on="f"/>
            <v:imagedata o:title=""/>
            <o:lock v:ext="edit" aspectratio="f"/>
            <v:textbox inset="0mm,0mm,0mm,0mm">
              <w:txbxContent>
                <w:p w14:paraId="1236DD8B">
                  <w:pPr>
                    <w:spacing w:before="20" w:line="214" w:lineRule="auto"/>
                    <w:ind w:left="20"/>
                    <w:rPr>
                      <w:rFonts w:hint="eastAsia" w:ascii="宋体" w:hAnsi="宋体" w:eastAsia="宋体" w:cs="宋体"/>
                      <w:sz w:val="24"/>
                      <w:szCs w:val="24"/>
                      <w:lang w:eastAsia="zh-CN"/>
                    </w:rPr>
                  </w:pP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txbxContent>
            </v:textbox>
          </v:shape>
        </w:pict>
      </w:r>
      <w:r>
        <w:rPr>
          <w:color w:val="231F20"/>
          <w:spacing w:val="-1"/>
          <w:sz w:val="20"/>
          <w:szCs w:val="20"/>
        </w:rPr>
        <w:t>47</w:t>
      </w:r>
    </w:p>
    <w:p w14:paraId="3912D9CF">
      <w:pPr>
        <w:spacing w:line="194" w:lineRule="auto"/>
        <w:rPr>
          <w:sz w:val="20"/>
          <w:szCs w:val="20"/>
        </w:rPr>
        <w:sectPr>
          <w:pgSz w:w="11906" w:h="16158"/>
          <w:pgMar w:top="400" w:right="1245" w:bottom="400" w:left="1004" w:header="0" w:footer="0" w:gutter="0"/>
          <w:cols w:space="720" w:num="1"/>
        </w:sectPr>
      </w:pPr>
    </w:p>
    <w:p w14:paraId="37B41C07">
      <w:pPr>
        <w:pStyle w:val="2"/>
        <w:spacing w:line="349" w:lineRule="auto"/>
      </w:pPr>
    </w:p>
    <w:p w14:paraId="7C84D67A">
      <w:pPr>
        <w:pStyle w:val="2"/>
        <w:spacing w:line="350" w:lineRule="auto"/>
      </w:pPr>
    </w:p>
    <w:p w14:paraId="36EC2FCA">
      <w:pPr>
        <w:spacing w:before="80" w:line="182" w:lineRule="auto"/>
        <w:rPr>
          <w:rFonts w:ascii="Segoe UI" w:hAnsi="Segoe UI" w:eastAsia="Segoe UI" w:cs="Segoe UI"/>
          <w:sz w:val="24"/>
          <w:szCs w:val="24"/>
        </w:rPr>
      </w:pPr>
      <w:r>
        <w:rPr>
          <w:rFonts w:ascii="Segoe UI" w:hAnsi="Segoe UI" w:eastAsia="Segoe UI" w:cs="Segoe UI"/>
          <w:b/>
          <w:bCs/>
          <w:color w:val="648676"/>
          <w:spacing w:val="25"/>
          <w:w w:val="111"/>
          <w:sz w:val="24"/>
          <w:szCs w:val="24"/>
        </w:rPr>
        <w:t>CHAPTER -6</w:t>
      </w:r>
    </w:p>
    <w:p w14:paraId="357B2453">
      <w:pPr>
        <w:spacing w:before="55" w:line="178" w:lineRule="auto"/>
        <w:ind w:left="405"/>
        <w:rPr>
          <w:rFonts w:ascii="微软雅黑" w:hAnsi="微软雅黑" w:eastAsia="微软雅黑" w:cs="微软雅黑"/>
          <w:sz w:val="20"/>
          <w:szCs w:val="20"/>
        </w:rPr>
      </w:pPr>
      <w:r>
        <w:rPr>
          <w:rFonts w:ascii="微软雅黑" w:hAnsi="微软雅黑" w:eastAsia="微软雅黑" w:cs="微软雅黑"/>
          <w:color w:val="648676"/>
          <w:spacing w:val="-1"/>
          <w:sz w:val="20"/>
          <w:szCs w:val="20"/>
        </w:rPr>
        <w:t>数据资产管理总结与展望</w:t>
      </w:r>
    </w:p>
    <w:p w14:paraId="34AA8181">
      <w:pPr>
        <w:pStyle w:val="2"/>
        <w:spacing w:line="256" w:lineRule="auto"/>
      </w:pPr>
    </w:p>
    <w:p w14:paraId="736EB2D3">
      <w:pPr>
        <w:pStyle w:val="2"/>
        <w:spacing w:line="256" w:lineRule="auto"/>
      </w:pPr>
    </w:p>
    <w:p w14:paraId="61DDA7B7">
      <w:pPr>
        <w:pStyle w:val="2"/>
        <w:spacing w:line="256" w:lineRule="auto"/>
      </w:pPr>
    </w:p>
    <w:p w14:paraId="74CACD17">
      <w:pPr>
        <w:spacing w:before="223" w:line="178" w:lineRule="auto"/>
        <w:ind w:left="267"/>
        <w:rPr>
          <w:rFonts w:ascii="微软雅黑" w:hAnsi="微软雅黑" w:eastAsia="微软雅黑" w:cs="微软雅黑"/>
          <w:sz w:val="52"/>
          <w:szCs w:val="52"/>
        </w:rPr>
      </w:pPr>
      <w:r>
        <w:rPr>
          <w:rFonts w:ascii="微软雅黑" w:hAnsi="微软雅黑" w:eastAsia="微软雅黑" w:cs="微软雅黑"/>
          <w:color w:val="648676"/>
          <w:spacing w:val="-2"/>
          <w:sz w:val="52"/>
          <w:szCs w:val="52"/>
        </w:rPr>
        <w:t>六、数据资产管理总结与展望</w:t>
      </w:r>
    </w:p>
    <w:p w14:paraId="02223068">
      <w:pPr>
        <w:pStyle w:val="2"/>
        <w:spacing w:line="264" w:lineRule="auto"/>
      </w:pPr>
    </w:p>
    <w:p w14:paraId="73864328">
      <w:pPr>
        <w:pStyle w:val="2"/>
        <w:spacing w:line="264" w:lineRule="auto"/>
      </w:pPr>
    </w:p>
    <w:p w14:paraId="7D743FE4">
      <w:pPr>
        <w:pStyle w:val="2"/>
        <w:spacing w:line="265" w:lineRule="auto"/>
      </w:pPr>
    </w:p>
    <w:p w14:paraId="132511ED">
      <w:pPr>
        <w:pStyle w:val="2"/>
        <w:spacing w:line="265" w:lineRule="auto"/>
      </w:pPr>
    </w:p>
    <w:p w14:paraId="5A6D1624">
      <w:pPr>
        <w:spacing w:before="94" w:line="289" w:lineRule="auto"/>
        <w:ind w:left="248" w:right="85" w:firstLine="489"/>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当前，数据资产管理呈现蓬勃发展的态势，为数据要素市</w:t>
      </w:r>
      <w:r>
        <w:rPr>
          <w:rFonts w:ascii="微软雅黑" w:hAnsi="微软雅黑" w:eastAsia="微软雅黑" w:cs="微软雅黑"/>
          <w:color w:val="231F20"/>
          <w:spacing w:val="2"/>
          <w:sz w:val="22"/>
          <w:szCs w:val="22"/>
        </w:rPr>
        <w:t>场的发展提供强劲动力，为数字经</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济发展奠定良好基础。在国家规划的大力推动下，在行业政策的有效指导下，我们期待</w:t>
      </w:r>
      <w:r>
        <w:rPr>
          <w:rFonts w:ascii="微软雅黑" w:hAnsi="微软雅黑" w:eastAsia="微软雅黑" w:cs="微软雅黑"/>
          <w:color w:val="231F20"/>
          <w:spacing w:val="3"/>
          <w:sz w:val="22"/>
          <w:szCs w:val="22"/>
        </w:rPr>
        <w:t>数据资产</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管理将稳步前进，促进数据资产价值将进一步释放。</w:t>
      </w:r>
    </w:p>
    <w:p w14:paraId="6F88A751">
      <w:pPr>
        <w:spacing w:before="17" w:line="290" w:lineRule="auto"/>
        <w:ind w:left="247" w:right="90" w:firstLine="482"/>
        <w:jc w:val="both"/>
        <w:rPr>
          <w:rFonts w:ascii="微软雅黑" w:hAnsi="微软雅黑" w:eastAsia="微软雅黑" w:cs="微软雅黑"/>
          <w:sz w:val="22"/>
          <w:szCs w:val="22"/>
        </w:rPr>
      </w:pPr>
      <w:r>
        <w:rPr>
          <w:rFonts w:ascii="微软雅黑" w:hAnsi="微软雅黑" w:eastAsia="微软雅黑" w:cs="微软雅黑"/>
          <w:color w:val="231F20"/>
          <w:spacing w:val="2"/>
          <w:sz w:val="22"/>
          <w:szCs w:val="22"/>
        </w:rPr>
        <w:t>一是明确责权利，有效推进管理。</w:t>
      </w:r>
      <w:r>
        <w:rPr>
          <w:rFonts w:ascii="微软雅黑" w:hAnsi="微软雅黑" w:eastAsia="微软雅黑" w:cs="微软雅黑"/>
          <w:color w:val="231F20"/>
          <w:spacing w:val="-32"/>
          <w:sz w:val="22"/>
          <w:szCs w:val="22"/>
        </w:rPr>
        <w:t xml:space="preserve"> </w:t>
      </w:r>
      <w:r>
        <w:rPr>
          <w:rFonts w:ascii="微软雅黑" w:hAnsi="微软雅黑" w:eastAsia="微软雅黑" w:cs="微软雅黑"/>
          <w:color w:val="231F20"/>
          <w:spacing w:val="2"/>
          <w:sz w:val="22"/>
          <w:szCs w:val="22"/>
        </w:rPr>
        <w:t>明确数据资产管理角色与职责，从业务侧出发确定数据资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产的责任人，构建数据资产管理认责体系；制定数据发展战略，统筹规划</w:t>
      </w:r>
      <w:r>
        <w:rPr>
          <w:rFonts w:ascii="微软雅黑" w:hAnsi="微软雅黑" w:eastAsia="微软雅黑" w:cs="微软雅黑"/>
          <w:color w:val="231F20"/>
          <w:spacing w:val="3"/>
          <w:sz w:val="22"/>
          <w:szCs w:val="22"/>
        </w:rPr>
        <w:t>数据资产管理，逐步建</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立健全包括数字型人才、管理型人才、技术型人才、业务型人才的团队；开展</w:t>
      </w:r>
      <w:r>
        <w:rPr>
          <w:rFonts w:ascii="微软雅黑" w:hAnsi="微软雅黑" w:eastAsia="微软雅黑" w:cs="微软雅黑"/>
          <w:color w:val="231F20"/>
          <w:spacing w:val="3"/>
          <w:sz w:val="22"/>
          <w:szCs w:val="22"/>
        </w:rPr>
        <w:t>数据资产管理过程</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1"/>
          <w:sz w:val="22"/>
          <w:szCs w:val="22"/>
        </w:rPr>
        <w:t>管理，优化管理资源，提高管理效率。</w:t>
      </w:r>
    </w:p>
    <w:p w14:paraId="17D9AC52">
      <w:pPr>
        <w:spacing w:before="15" w:line="290" w:lineRule="auto"/>
        <w:ind w:left="247" w:firstLine="487"/>
        <w:jc w:val="both"/>
        <w:rPr>
          <w:rFonts w:ascii="微软雅黑" w:hAnsi="微软雅黑" w:eastAsia="微软雅黑" w:cs="微软雅黑"/>
          <w:sz w:val="22"/>
          <w:szCs w:val="22"/>
        </w:rPr>
      </w:pPr>
      <w:r>
        <w:rPr>
          <w:rFonts w:ascii="微软雅黑" w:hAnsi="微软雅黑" w:eastAsia="微软雅黑" w:cs="微软雅黑"/>
          <w:color w:val="231F20"/>
          <w:spacing w:val="-11"/>
          <w:sz w:val="22"/>
          <w:szCs w:val="22"/>
        </w:rPr>
        <w:t>二是合理引进技术，提升敏捷能力。在数据资产管理的过程中，合理引进包括云计算、人工智能、</w:t>
      </w:r>
      <w:r>
        <w:rPr>
          <w:rFonts w:ascii="微软雅黑" w:hAnsi="微软雅黑" w:eastAsia="微软雅黑" w:cs="微软雅黑"/>
          <w:color w:val="231F20"/>
          <w:spacing w:val="15"/>
          <w:sz w:val="22"/>
          <w:szCs w:val="22"/>
        </w:rPr>
        <w:t xml:space="preserve"> </w:t>
      </w:r>
      <w:r>
        <w:rPr>
          <w:rFonts w:ascii="微软雅黑" w:hAnsi="微软雅黑" w:eastAsia="微软雅黑" w:cs="微软雅黑"/>
          <w:color w:val="231F20"/>
          <w:spacing w:val="4"/>
          <w:sz w:val="22"/>
          <w:szCs w:val="22"/>
        </w:rPr>
        <w:t>机器学习、知识图谱等创新技术，进一步提升数据资产管理的智能化、</w:t>
      </w:r>
      <w:r>
        <w:rPr>
          <w:rFonts w:ascii="微软雅黑" w:hAnsi="微软雅黑" w:eastAsia="微软雅黑" w:cs="微软雅黑"/>
          <w:color w:val="231F20"/>
          <w:spacing w:val="3"/>
          <w:sz w:val="22"/>
          <w:szCs w:val="22"/>
        </w:rPr>
        <w:t>自动化水平，降低数据资</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产管理的人力投入与风险成本；建立数据资产管理敏</w:t>
      </w:r>
      <w:r>
        <w:rPr>
          <w:rFonts w:ascii="微软雅黑" w:hAnsi="微软雅黑" w:eastAsia="微软雅黑" w:cs="微软雅黑"/>
          <w:color w:val="231F20"/>
          <w:spacing w:val="-3"/>
          <w:sz w:val="22"/>
          <w:szCs w:val="22"/>
        </w:rPr>
        <w:t>捷组织和敏捷机制，采用 DataOps</w:t>
      </w:r>
      <w:r>
        <w:rPr>
          <w:rFonts w:ascii="微软雅黑" w:hAnsi="微软雅黑" w:eastAsia="微软雅黑" w:cs="微软雅黑"/>
          <w:color w:val="231F20"/>
          <w:spacing w:val="-16"/>
          <w:sz w:val="22"/>
          <w:szCs w:val="22"/>
        </w:rPr>
        <w:t xml:space="preserve"> </w:t>
      </w:r>
      <w:r>
        <w:rPr>
          <w:rFonts w:ascii="微软雅黑" w:hAnsi="微软雅黑" w:eastAsia="微软雅黑" w:cs="微软雅黑"/>
          <w:color w:val="231F20"/>
          <w:spacing w:val="-3"/>
          <w:sz w:val="22"/>
          <w:szCs w:val="22"/>
        </w:rPr>
        <w:t>敏捷技术，</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及时响应业务和需求的变化。</w:t>
      </w:r>
    </w:p>
    <w:p w14:paraId="62E9E471">
      <w:pPr>
        <w:spacing w:before="15" w:line="290" w:lineRule="auto"/>
        <w:ind w:left="248" w:right="85" w:firstLine="483"/>
        <w:jc w:val="both"/>
        <w:rPr>
          <w:rFonts w:ascii="微软雅黑" w:hAnsi="微软雅黑" w:eastAsia="微软雅黑" w:cs="微软雅黑"/>
          <w:sz w:val="22"/>
          <w:szCs w:val="22"/>
        </w:rPr>
      </w:pPr>
      <w:r>
        <w:rPr>
          <w:rFonts w:ascii="微软雅黑" w:hAnsi="微软雅黑" w:eastAsia="微软雅黑" w:cs="微软雅黑"/>
          <w:color w:val="231F20"/>
          <w:spacing w:val="3"/>
          <w:sz w:val="22"/>
          <w:szCs w:val="22"/>
        </w:rPr>
        <w:t>三是着眼业务发展，释放数据价值。从业务侧出发制定数据资产标准规</w:t>
      </w:r>
      <w:r>
        <w:rPr>
          <w:rFonts w:ascii="微软雅黑" w:hAnsi="微软雅黑" w:eastAsia="微软雅黑" w:cs="微软雅黑"/>
          <w:color w:val="231F20"/>
          <w:spacing w:val="2"/>
          <w:sz w:val="22"/>
          <w:szCs w:val="22"/>
        </w:rPr>
        <w:t>则，确定数据资产质</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3"/>
          <w:sz w:val="22"/>
          <w:szCs w:val="22"/>
        </w:rPr>
        <w:t>量预期水平；</w:t>
      </w:r>
      <w:r>
        <w:rPr>
          <w:rFonts w:ascii="微软雅黑" w:hAnsi="微软雅黑" w:eastAsia="微软雅黑" w:cs="微软雅黑"/>
          <w:color w:val="231F20"/>
          <w:spacing w:val="-27"/>
          <w:sz w:val="22"/>
          <w:szCs w:val="22"/>
        </w:rPr>
        <w:t xml:space="preserve"> </w:t>
      </w:r>
      <w:r>
        <w:rPr>
          <w:rFonts w:ascii="微软雅黑" w:hAnsi="微软雅黑" w:eastAsia="微软雅黑" w:cs="微软雅黑"/>
          <w:color w:val="231F20"/>
          <w:spacing w:val="3"/>
          <w:sz w:val="22"/>
          <w:szCs w:val="22"/>
        </w:rPr>
        <w:t>明确数据资产的业务应用场景，增强数据决策的准确性和实时性，满足业务的数据</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4"/>
          <w:sz w:val="22"/>
          <w:szCs w:val="22"/>
        </w:rPr>
        <w:t>需求；评估数据资产价值，构建数据资产运营体系，建立科学的正向反</w:t>
      </w:r>
      <w:r>
        <w:rPr>
          <w:rFonts w:ascii="微软雅黑" w:hAnsi="微软雅黑" w:eastAsia="微软雅黑" w:cs="微软雅黑"/>
          <w:color w:val="231F20"/>
          <w:spacing w:val="3"/>
          <w:sz w:val="22"/>
          <w:szCs w:val="22"/>
        </w:rPr>
        <w:t>馈和闭环管理机制，提高</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2"/>
          <w:sz w:val="22"/>
          <w:szCs w:val="22"/>
        </w:rPr>
        <w:t>数据资产的服务和应用效果。</w:t>
      </w:r>
    </w:p>
    <w:p w14:paraId="1529D9B4">
      <w:pPr>
        <w:spacing w:before="18" w:line="282" w:lineRule="auto"/>
        <w:ind w:left="247" w:right="89" w:firstLine="493"/>
        <w:jc w:val="both"/>
        <w:rPr>
          <w:rFonts w:ascii="微软雅黑" w:hAnsi="微软雅黑" w:eastAsia="微软雅黑" w:cs="微软雅黑"/>
          <w:sz w:val="22"/>
          <w:szCs w:val="22"/>
        </w:rPr>
      </w:pPr>
      <w:r>
        <w:rPr>
          <w:rFonts w:ascii="微软雅黑" w:hAnsi="微软雅黑" w:eastAsia="微软雅黑" w:cs="微软雅黑"/>
          <w:color w:val="231F20"/>
          <w:spacing w:val="8"/>
          <w:sz w:val="22"/>
          <w:szCs w:val="22"/>
        </w:rPr>
        <w:t>四是加强数据合规，注重风险风控。</w:t>
      </w:r>
      <w:r>
        <w:rPr>
          <w:rFonts w:ascii="微软雅黑" w:hAnsi="微软雅黑" w:eastAsia="微软雅黑" w:cs="微软雅黑"/>
          <w:color w:val="231F20"/>
          <w:spacing w:val="-34"/>
          <w:sz w:val="22"/>
          <w:szCs w:val="22"/>
        </w:rPr>
        <w:t xml:space="preserve"> </w:t>
      </w:r>
      <w:r>
        <w:rPr>
          <w:rFonts w:ascii="微软雅黑" w:hAnsi="微软雅黑" w:eastAsia="微软雅黑" w:cs="微软雅黑"/>
          <w:color w:val="231F20"/>
          <w:spacing w:val="8"/>
          <w:sz w:val="22"/>
          <w:szCs w:val="22"/>
        </w:rPr>
        <w:t>遵循《网络安全</w:t>
      </w:r>
      <w:r>
        <w:rPr>
          <w:rFonts w:ascii="微软雅黑" w:hAnsi="微软雅黑" w:eastAsia="微软雅黑" w:cs="微软雅黑"/>
          <w:color w:val="231F20"/>
          <w:spacing w:val="7"/>
          <w:sz w:val="22"/>
          <w:szCs w:val="22"/>
        </w:rPr>
        <w:t>法》、《数据安全法》和《个人信息</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保护法》相关要求，构建数据安全管理体系，形成数据安全分类分级标准，覆盖数据资产管理</w:t>
      </w:r>
      <w:r>
        <w:rPr>
          <w:rFonts w:ascii="微软雅黑" w:hAnsi="微软雅黑" w:eastAsia="微软雅黑" w:cs="微软雅黑"/>
          <w:color w:val="231F20"/>
          <w:spacing w:val="11"/>
          <w:sz w:val="22"/>
          <w:szCs w:val="22"/>
        </w:rPr>
        <w:t xml:space="preserve"> </w:t>
      </w:r>
      <w:r>
        <w:rPr>
          <w:rFonts w:ascii="微软雅黑" w:hAnsi="微软雅黑" w:eastAsia="微软雅黑" w:cs="微软雅黑"/>
          <w:color w:val="231F20"/>
          <w:spacing w:val="9"/>
          <w:sz w:val="22"/>
          <w:szCs w:val="22"/>
        </w:rPr>
        <w:t xml:space="preserve">全流程、各环节；制定数据资产管理的风险应急机制，开展数据安全合规内外部审计，确保数 </w:t>
      </w:r>
      <w:r>
        <w:rPr>
          <w:rFonts w:ascii="微软雅黑" w:hAnsi="微软雅黑" w:eastAsia="微软雅黑" w:cs="微软雅黑"/>
          <w:color w:val="231F20"/>
          <w:spacing w:val="5"/>
          <w:sz w:val="22"/>
          <w:szCs w:val="22"/>
        </w:rPr>
        <w:t>据资产安全可控。</w:t>
      </w:r>
    </w:p>
    <w:p w14:paraId="5E816C70">
      <w:pPr>
        <w:spacing w:before="66" w:line="282" w:lineRule="auto"/>
        <w:ind w:left="247" w:right="89" w:firstLine="482"/>
        <w:jc w:val="both"/>
        <w:rPr>
          <w:rFonts w:ascii="微软雅黑" w:hAnsi="微软雅黑" w:eastAsia="微软雅黑" w:cs="微软雅黑"/>
          <w:sz w:val="22"/>
          <w:szCs w:val="22"/>
        </w:rPr>
      </w:pPr>
      <w:r>
        <w:rPr>
          <w:rFonts w:ascii="微软雅黑" w:hAnsi="微软雅黑" w:eastAsia="微软雅黑" w:cs="微软雅黑"/>
          <w:color w:val="231F20"/>
          <w:spacing w:val="8"/>
          <w:sz w:val="22"/>
          <w:szCs w:val="22"/>
        </w:rPr>
        <w:t>五是持续迭代完善，形成良性闭环。</w:t>
      </w:r>
      <w:r>
        <w:rPr>
          <w:rFonts w:ascii="微软雅黑" w:hAnsi="微软雅黑" w:eastAsia="微软雅黑" w:cs="微软雅黑"/>
          <w:color w:val="231F20"/>
          <w:spacing w:val="-37"/>
          <w:sz w:val="22"/>
          <w:szCs w:val="22"/>
        </w:rPr>
        <w:t xml:space="preserve"> </w:t>
      </w:r>
      <w:r>
        <w:rPr>
          <w:rFonts w:ascii="微软雅黑" w:hAnsi="微软雅黑" w:eastAsia="微软雅黑" w:cs="微软雅黑"/>
          <w:color w:val="231F20"/>
          <w:spacing w:val="8"/>
          <w:sz w:val="22"/>
          <w:szCs w:val="22"/>
        </w:rPr>
        <w:t>培养数据文化，提高数据素养，鼓励业务</w:t>
      </w:r>
      <w:r>
        <w:rPr>
          <w:rFonts w:ascii="微软雅黑" w:hAnsi="微软雅黑" w:eastAsia="微软雅黑" w:cs="微软雅黑"/>
          <w:color w:val="231F20"/>
          <w:spacing w:val="7"/>
          <w:sz w:val="22"/>
          <w:szCs w:val="22"/>
        </w:rPr>
        <w:t>人员参与数</w:t>
      </w:r>
      <w:r>
        <w:rPr>
          <w:rFonts w:ascii="微软雅黑" w:hAnsi="微软雅黑" w:eastAsia="微软雅黑" w:cs="微软雅黑"/>
          <w:color w:val="231F20"/>
          <w:sz w:val="22"/>
          <w:szCs w:val="22"/>
        </w:rPr>
        <w:t xml:space="preserve"> </w:t>
      </w:r>
      <w:r>
        <w:rPr>
          <w:rFonts w:ascii="微软雅黑" w:hAnsi="微软雅黑" w:eastAsia="微软雅黑" w:cs="微软雅黑"/>
          <w:color w:val="231F20"/>
          <w:spacing w:val="9"/>
          <w:sz w:val="22"/>
          <w:szCs w:val="22"/>
        </w:rPr>
        <w:t>据资产的管理与应用，构建良好的沟通与协作机制；开展常态化数据资产管理检查，建立数据</w:t>
      </w:r>
      <w:r>
        <w:rPr>
          <w:rFonts w:ascii="微软雅黑" w:hAnsi="微软雅黑" w:eastAsia="微软雅黑" w:cs="微软雅黑"/>
          <w:color w:val="231F20"/>
          <w:spacing w:val="11"/>
          <w:sz w:val="22"/>
          <w:szCs w:val="22"/>
        </w:rPr>
        <w:t xml:space="preserve"> </w:t>
      </w:r>
      <w:r>
        <w:rPr>
          <w:rFonts w:ascii="微软雅黑" w:hAnsi="微软雅黑" w:eastAsia="微软雅黑" w:cs="微软雅黑"/>
          <w:color w:val="231F20"/>
          <w:spacing w:val="9"/>
          <w:sz w:val="22"/>
          <w:szCs w:val="22"/>
        </w:rPr>
        <w:t>资产管理基线，定期总结问题形成业务案例，发起多方讨论商议，不断优化数据资产管理策略</w:t>
      </w:r>
      <w:r>
        <w:rPr>
          <w:rFonts w:ascii="微软雅黑" w:hAnsi="微软雅黑" w:eastAsia="微软雅黑" w:cs="微软雅黑"/>
          <w:color w:val="231F20"/>
          <w:spacing w:val="11"/>
          <w:sz w:val="22"/>
          <w:szCs w:val="22"/>
        </w:rPr>
        <w:t xml:space="preserve"> </w:t>
      </w:r>
      <w:r>
        <w:rPr>
          <w:rFonts w:ascii="微软雅黑" w:hAnsi="微软雅黑" w:eastAsia="微软雅黑" w:cs="微软雅黑"/>
          <w:color w:val="231F20"/>
          <w:spacing w:val="1"/>
          <w:sz w:val="22"/>
          <w:szCs w:val="22"/>
        </w:rPr>
        <w:t>和路径。</w:t>
      </w:r>
    </w:p>
    <w:p w14:paraId="569992E8">
      <w:pPr>
        <w:pStyle w:val="2"/>
        <w:spacing w:line="322" w:lineRule="auto"/>
      </w:pPr>
    </w:p>
    <w:p w14:paraId="25C3CF5A">
      <w:pPr>
        <w:spacing w:before="78" w:line="212" w:lineRule="auto"/>
        <w:ind w:left="5513"/>
        <w:rPr>
          <w:rFonts w:hint="eastAsia" w:ascii="宋体" w:hAnsi="宋体" w:eastAsia="宋体" w:cs="宋体"/>
          <w:sz w:val="24"/>
          <w:szCs w:val="24"/>
          <w:lang w:eastAsia="zh-CN"/>
        </w:rPr>
      </w:pPr>
      <w:r>
        <w:pict>
          <v:shape id="_x0000_s1354" o:spid="_x0000_s1354" o:spt="202" type="#_x0000_t202" style="position:absolute;left:0pt;margin-left:240.95pt;margin-top:-1.75pt;height:11.3pt;width:13pt;z-index:251909120;mso-width-relative:page;mso-height-relative:page;" filled="f" stroked="f" coordsize="21600,21600">
            <v:path/>
            <v:fill on="f" focussize="0,0"/>
            <v:stroke on="f"/>
            <v:imagedata o:title=""/>
            <o:lock v:ext="edit" aspectratio="f"/>
            <v:textbox inset="0mm,0mm,0mm,0mm">
              <w:txbxContent>
                <w:p w14:paraId="1A1B28B8">
                  <w:pPr>
                    <w:pStyle w:val="2"/>
                    <w:spacing w:before="20" w:line="194" w:lineRule="auto"/>
                    <w:ind w:left="20"/>
                    <w:rPr>
                      <w:sz w:val="20"/>
                      <w:szCs w:val="20"/>
                    </w:rPr>
                  </w:pPr>
                  <w:r>
                    <w:rPr>
                      <w:color w:val="231F20"/>
                      <w:spacing w:val="-1"/>
                      <w:sz w:val="20"/>
                      <w:szCs w:val="20"/>
                    </w:rPr>
                    <w:t>48</w:t>
                  </w:r>
                </w:p>
              </w:txbxContent>
            </v:textbox>
          </v:shape>
        </w:pict>
      </w:r>
      <w:r>
        <w:rPr>
          <w:rFonts w:ascii="宋体" w:hAnsi="宋体" w:eastAsia="宋体" w:cs="宋体"/>
          <w:spacing w:val="-1"/>
          <w:sz w:val="24"/>
          <w:szCs w:val="24"/>
        </w:rPr>
        <w:t xml:space="preserve">更多专业文档请访问 </w:t>
      </w:r>
      <w:r>
        <w:rPr>
          <w:rFonts w:hint="eastAsia" w:ascii="宋体" w:hAnsi="宋体" w:eastAsia="宋体" w:cs="宋体"/>
          <w:spacing w:val="-1"/>
          <w:sz w:val="24"/>
          <w:szCs w:val="24"/>
          <w:lang w:eastAsia="zh-CN"/>
        </w:rPr>
        <w:t>ITIL先锋论坛</w:t>
      </w:r>
    </w:p>
    <w:sectPr>
      <w:pgSz w:w="11906" w:h="16158"/>
      <w:pgMar w:top="400" w:right="1162" w:bottom="400" w:left="1004"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BA780">
    <w:pPr>
      <w:spacing w:line="168" w:lineRule="auto"/>
      <w:ind w:left="4895"/>
      <w:rPr>
        <w:rFonts w:ascii="微软雅黑" w:hAnsi="微软雅黑" w:eastAsia="微软雅黑" w:cs="微软雅黑"/>
        <w:sz w:val="20"/>
        <w:szCs w:val="20"/>
      </w:rPr>
    </w:pPr>
    <w:r>
      <w:rPr>
        <w:rFonts w:ascii="微软雅黑" w:hAnsi="微软雅黑" w:eastAsia="微软雅黑" w:cs="微软雅黑"/>
        <w:color w:val="231F20"/>
        <w:sz w:val="20"/>
        <w:szCs w:val="20"/>
      </w:rPr>
      <w:t>Ⅱ</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7AEFA">
    <w:pPr>
      <w:pStyle w:val="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429F4">
    <w:pPr>
      <w:pStyle w:val="2"/>
      <w:spacing w:line="14" w:lineRule="auto"/>
      <w:rPr>
        <w:sz w:val="2"/>
      </w:rPr>
    </w:pPr>
    <w:r>
      <w:pict>
        <v:shape id="_x0000_s2049" o:spid="_x0000_s2049" o:spt="202" type="#_x0000_t202" style="position:absolute;left:0pt;margin-left:294.9pt;margin-top:767.85pt;height:11.35pt;width:6.5pt;mso-position-horizontal-relative:page;mso-position-vertical-relative:page;z-index:-251656192;mso-width-relative:page;mso-height-relative:page;" filled="f" stroked="f" coordsize="21600,21600" o:allowincell="f">
          <v:path/>
          <v:fill on="f" focussize="0,0"/>
          <v:stroke on="f"/>
          <v:imagedata o:title=""/>
          <o:lock v:ext="edit" aspectratio="f"/>
          <v:textbox inset="0mm,0mm,0mm,0mm">
            <w:txbxContent>
              <w:p w14:paraId="2DDE16F5">
                <w:pPr>
                  <w:pStyle w:val="2"/>
                  <w:spacing w:before="20" w:line="194" w:lineRule="auto"/>
                  <w:jc w:val="right"/>
                  <w:outlineLvl w:val="0"/>
                  <w:rPr>
                    <w:sz w:val="20"/>
                    <w:szCs w:val="20"/>
                  </w:rPr>
                </w:pPr>
                <w:r>
                  <w:rPr>
                    <w:color w:val="231F20"/>
                    <w:spacing w:val="-22"/>
                    <w:sz w:val="20"/>
                    <w:szCs w:val="20"/>
                  </w:rPr>
                  <w:t>1</w:t>
                </w:r>
              </w:p>
            </w:txbxContent>
          </v:textbox>
        </v:shape>
      </w:pict>
    </w:r>
    <w:r>
      <w:drawing>
        <wp:anchor distT="0" distB="0" distL="0" distR="0" simplePos="0" relativeHeight="251661312" behindDoc="1" locked="0" layoutInCell="0" allowOverlap="1">
          <wp:simplePos x="0" y="0"/>
          <wp:positionH relativeFrom="page">
            <wp:posOffset>635</wp:posOffset>
          </wp:positionH>
          <wp:positionV relativeFrom="page">
            <wp:posOffset>0</wp:posOffset>
          </wp:positionV>
          <wp:extent cx="7559040" cy="10259695"/>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
                  <a:stretch>
                    <a:fillRect/>
                  </a:stretch>
                </pic:blipFill>
                <pic:spPr>
                  <a:xfrm>
                    <a:off x="0" y="0"/>
                    <a:ext cx="7559033" cy="1026000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8A5CE">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0D44982"/>
    <w:rsid w:val="25F451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微软雅黑" w:hAnsi="微软雅黑" w:eastAsia="微软雅黑" w:cs="微软雅黑"/>
      <w:sz w:val="22"/>
      <w:szCs w:val="22"/>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image" Target="media/image91.png"/><Relationship Id="rId98" Type="http://schemas.openxmlformats.org/officeDocument/2006/relationships/image" Target="media/image90.png"/><Relationship Id="rId97" Type="http://schemas.openxmlformats.org/officeDocument/2006/relationships/image" Target="media/image89.png"/><Relationship Id="rId96" Type="http://schemas.openxmlformats.org/officeDocument/2006/relationships/image" Target="media/image88.png"/><Relationship Id="rId95" Type="http://schemas.openxmlformats.org/officeDocument/2006/relationships/image" Target="media/image87.jpeg"/><Relationship Id="rId94" Type="http://schemas.openxmlformats.org/officeDocument/2006/relationships/image" Target="media/image86.jpeg"/><Relationship Id="rId93" Type="http://schemas.openxmlformats.org/officeDocument/2006/relationships/image" Target="media/image85.png"/><Relationship Id="rId92" Type="http://schemas.openxmlformats.org/officeDocument/2006/relationships/image" Target="media/image84.png"/><Relationship Id="rId91" Type="http://schemas.openxmlformats.org/officeDocument/2006/relationships/image" Target="media/image83.png"/><Relationship Id="rId90" Type="http://schemas.openxmlformats.org/officeDocument/2006/relationships/image" Target="media/image82.png"/><Relationship Id="rId9" Type="http://schemas.openxmlformats.org/officeDocument/2006/relationships/theme" Target="theme/theme1.xml"/><Relationship Id="rId89" Type="http://schemas.openxmlformats.org/officeDocument/2006/relationships/image" Target="media/image81.png"/><Relationship Id="rId88" Type="http://schemas.openxmlformats.org/officeDocument/2006/relationships/image" Target="media/image80.png"/><Relationship Id="rId87" Type="http://schemas.openxmlformats.org/officeDocument/2006/relationships/image" Target="media/image79.png"/><Relationship Id="rId86" Type="http://schemas.openxmlformats.org/officeDocument/2006/relationships/image" Target="media/image78.jpeg"/><Relationship Id="rId85" Type="http://schemas.openxmlformats.org/officeDocument/2006/relationships/image" Target="media/image77.png"/><Relationship Id="rId84" Type="http://schemas.openxmlformats.org/officeDocument/2006/relationships/image" Target="media/image76.png"/><Relationship Id="rId83" Type="http://schemas.openxmlformats.org/officeDocument/2006/relationships/image" Target="media/image75.png"/><Relationship Id="rId82" Type="http://schemas.openxmlformats.org/officeDocument/2006/relationships/image" Target="media/image74.png"/><Relationship Id="rId81" Type="http://schemas.openxmlformats.org/officeDocument/2006/relationships/image" Target="media/image73.png"/><Relationship Id="rId80" Type="http://schemas.openxmlformats.org/officeDocument/2006/relationships/image" Target="media/image72.png"/><Relationship Id="rId8" Type="http://schemas.openxmlformats.org/officeDocument/2006/relationships/footer" Target="footer2.xml"/><Relationship Id="rId79" Type="http://schemas.openxmlformats.org/officeDocument/2006/relationships/image" Target="media/image71.png"/><Relationship Id="rId78" Type="http://schemas.openxmlformats.org/officeDocument/2006/relationships/image" Target="media/image70.png"/><Relationship Id="rId77" Type="http://schemas.openxmlformats.org/officeDocument/2006/relationships/image" Target="media/image69.png"/><Relationship Id="rId76" Type="http://schemas.openxmlformats.org/officeDocument/2006/relationships/image" Target="media/image68.png"/><Relationship Id="rId75" Type="http://schemas.openxmlformats.org/officeDocument/2006/relationships/image" Target="media/image67.png"/><Relationship Id="rId74" Type="http://schemas.openxmlformats.org/officeDocument/2006/relationships/image" Target="media/image66.png"/><Relationship Id="rId73" Type="http://schemas.openxmlformats.org/officeDocument/2006/relationships/image" Target="media/image65.png"/><Relationship Id="rId72" Type="http://schemas.openxmlformats.org/officeDocument/2006/relationships/image" Target="media/image64.png"/><Relationship Id="rId71" Type="http://schemas.openxmlformats.org/officeDocument/2006/relationships/image" Target="media/image63.png"/><Relationship Id="rId70" Type="http://schemas.openxmlformats.org/officeDocument/2006/relationships/image" Target="media/image62.png"/><Relationship Id="rId7" Type="http://schemas.openxmlformats.org/officeDocument/2006/relationships/footer" Target="footer1.xml"/><Relationship Id="rId69" Type="http://schemas.openxmlformats.org/officeDocument/2006/relationships/image" Target="media/image61.png"/><Relationship Id="rId68" Type="http://schemas.openxmlformats.org/officeDocument/2006/relationships/image" Target="media/image60.png"/><Relationship Id="rId67" Type="http://schemas.openxmlformats.org/officeDocument/2006/relationships/image" Target="media/image59.png"/><Relationship Id="rId66" Type="http://schemas.openxmlformats.org/officeDocument/2006/relationships/image" Target="media/image58.png"/><Relationship Id="rId65" Type="http://schemas.openxmlformats.org/officeDocument/2006/relationships/image" Target="media/image57.png"/><Relationship Id="rId64" Type="http://schemas.openxmlformats.org/officeDocument/2006/relationships/image" Target="media/image56.png"/><Relationship Id="rId63" Type="http://schemas.openxmlformats.org/officeDocument/2006/relationships/image" Target="media/image55.png"/><Relationship Id="rId62" Type="http://schemas.openxmlformats.org/officeDocument/2006/relationships/image" Target="media/image54.png"/><Relationship Id="rId61" Type="http://schemas.openxmlformats.org/officeDocument/2006/relationships/image" Target="media/image53.png"/><Relationship Id="rId60" Type="http://schemas.openxmlformats.org/officeDocument/2006/relationships/image" Target="media/image52.png"/><Relationship Id="rId6" Type="http://schemas.openxmlformats.org/officeDocument/2006/relationships/header" Target="header2.xml"/><Relationship Id="rId59" Type="http://schemas.openxmlformats.org/officeDocument/2006/relationships/image" Target="media/image51.png"/><Relationship Id="rId58" Type="http://schemas.openxmlformats.org/officeDocument/2006/relationships/image" Target="media/image50.png"/><Relationship Id="rId57" Type="http://schemas.openxmlformats.org/officeDocument/2006/relationships/image" Target="media/image49.png"/><Relationship Id="rId56" Type="http://schemas.openxmlformats.org/officeDocument/2006/relationships/image" Target="media/image48.png"/><Relationship Id="rId55" Type="http://schemas.openxmlformats.org/officeDocument/2006/relationships/image" Target="media/image47.png"/><Relationship Id="rId54" Type="http://schemas.openxmlformats.org/officeDocument/2006/relationships/image" Target="media/image46.png"/><Relationship Id="rId53" Type="http://schemas.openxmlformats.org/officeDocument/2006/relationships/image" Target="media/image45.png"/><Relationship Id="rId52" Type="http://schemas.openxmlformats.org/officeDocument/2006/relationships/image" Target="media/image44.png"/><Relationship Id="rId51" Type="http://schemas.openxmlformats.org/officeDocument/2006/relationships/image" Target="media/image43.png"/><Relationship Id="rId50" Type="http://schemas.openxmlformats.org/officeDocument/2006/relationships/image" Target="media/image42.png"/><Relationship Id="rId5" Type="http://schemas.openxmlformats.org/officeDocument/2006/relationships/header" Target="header1.xml"/><Relationship Id="rId49" Type="http://schemas.openxmlformats.org/officeDocument/2006/relationships/image" Target="media/image41.png"/><Relationship Id="rId48" Type="http://schemas.openxmlformats.org/officeDocument/2006/relationships/image" Target="media/image40.png"/><Relationship Id="rId47" Type="http://schemas.openxmlformats.org/officeDocument/2006/relationships/image" Target="media/image39.png"/><Relationship Id="rId46" Type="http://schemas.openxmlformats.org/officeDocument/2006/relationships/image" Target="media/image38.png"/><Relationship Id="rId45" Type="http://schemas.openxmlformats.org/officeDocument/2006/relationships/image" Target="media/image37.png"/><Relationship Id="rId44" Type="http://schemas.openxmlformats.org/officeDocument/2006/relationships/image" Target="media/image36.png"/><Relationship Id="rId43" Type="http://schemas.openxmlformats.org/officeDocument/2006/relationships/image" Target="media/image35.png"/><Relationship Id="rId42" Type="http://schemas.openxmlformats.org/officeDocument/2006/relationships/image" Target="media/image34.png"/><Relationship Id="rId41" Type="http://schemas.openxmlformats.org/officeDocument/2006/relationships/image" Target="media/image33.png"/><Relationship Id="rId40" Type="http://schemas.openxmlformats.org/officeDocument/2006/relationships/image" Target="media/image32.png"/><Relationship Id="rId4" Type="http://schemas.openxmlformats.org/officeDocument/2006/relationships/endnotes" Target="endnotes.xml"/><Relationship Id="rId39" Type="http://schemas.openxmlformats.org/officeDocument/2006/relationships/image" Target="media/image31.png"/><Relationship Id="rId38" Type="http://schemas.openxmlformats.org/officeDocument/2006/relationships/image" Target="media/image30.png"/><Relationship Id="rId37" Type="http://schemas.openxmlformats.org/officeDocument/2006/relationships/image" Target="media/image29.png"/><Relationship Id="rId36" Type="http://schemas.openxmlformats.org/officeDocument/2006/relationships/image" Target="media/image28.png"/><Relationship Id="rId35" Type="http://schemas.openxmlformats.org/officeDocument/2006/relationships/image" Target="media/image27.png"/><Relationship Id="rId34" Type="http://schemas.openxmlformats.org/officeDocument/2006/relationships/image" Target="media/image26.png"/><Relationship Id="rId33" Type="http://schemas.openxmlformats.org/officeDocument/2006/relationships/image" Target="media/image25.png"/><Relationship Id="rId32" Type="http://schemas.openxmlformats.org/officeDocument/2006/relationships/image" Target="media/image24.png"/><Relationship Id="rId31" Type="http://schemas.openxmlformats.org/officeDocument/2006/relationships/image" Target="media/image23.png"/><Relationship Id="rId30" Type="http://schemas.openxmlformats.org/officeDocument/2006/relationships/image" Target="media/image22.png"/><Relationship Id="rId3" Type="http://schemas.openxmlformats.org/officeDocument/2006/relationships/footnotes" Target="footnotes.xml"/><Relationship Id="rId29" Type="http://schemas.openxmlformats.org/officeDocument/2006/relationships/image" Target="media/image21.png"/><Relationship Id="rId28" Type="http://schemas.openxmlformats.org/officeDocument/2006/relationships/image" Target="media/image20.png"/><Relationship Id="rId27" Type="http://schemas.openxmlformats.org/officeDocument/2006/relationships/image" Target="media/image19.png"/><Relationship Id="rId26" Type="http://schemas.openxmlformats.org/officeDocument/2006/relationships/image" Target="media/image18.png"/><Relationship Id="rId25" Type="http://schemas.openxmlformats.org/officeDocument/2006/relationships/image" Target="media/image17.png"/><Relationship Id="rId24" Type="http://schemas.openxmlformats.org/officeDocument/2006/relationships/image" Target="media/image16.png"/><Relationship Id="rId23" Type="http://schemas.openxmlformats.org/officeDocument/2006/relationships/image" Target="media/image15.png"/><Relationship Id="rId22" Type="http://schemas.openxmlformats.org/officeDocument/2006/relationships/image" Target="media/image14.png"/><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0" Type="http://schemas.openxmlformats.org/officeDocument/2006/relationships/fontTable" Target="fontTable.xml"/><Relationship Id="rId19" Type="http://schemas.openxmlformats.org/officeDocument/2006/relationships/image" Target="media/image11.png"/><Relationship Id="rId189" Type="http://schemas.openxmlformats.org/officeDocument/2006/relationships/customXml" Target="../customXml/item1.xml"/><Relationship Id="rId188" Type="http://schemas.openxmlformats.org/officeDocument/2006/relationships/image" Target="media/image180.png"/><Relationship Id="rId187" Type="http://schemas.openxmlformats.org/officeDocument/2006/relationships/image" Target="media/image179.png"/><Relationship Id="rId186" Type="http://schemas.openxmlformats.org/officeDocument/2006/relationships/image" Target="media/image178.png"/><Relationship Id="rId185" Type="http://schemas.openxmlformats.org/officeDocument/2006/relationships/image" Target="media/image177.png"/><Relationship Id="rId184" Type="http://schemas.openxmlformats.org/officeDocument/2006/relationships/image" Target="media/image176.png"/><Relationship Id="rId183" Type="http://schemas.openxmlformats.org/officeDocument/2006/relationships/image" Target="media/image175.png"/><Relationship Id="rId182" Type="http://schemas.openxmlformats.org/officeDocument/2006/relationships/image" Target="media/image174.png"/><Relationship Id="rId181" Type="http://schemas.openxmlformats.org/officeDocument/2006/relationships/image" Target="media/image173.png"/><Relationship Id="rId180" Type="http://schemas.openxmlformats.org/officeDocument/2006/relationships/image" Target="media/image172.png"/><Relationship Id="rId18" Type="http://schemas.openxmlformats.org/officeDocument/2006/relationships/image" Target="media/image10.png"/><Relationship Id="rId179" Type="http://schemas.openxmlformats.org/officeDocument/2006/relationships/image" Target="media/image171.png"/><Relationship Id="rId178" Type="http://schemas.openxmlformats.org/officeDocument/2006/relationships/image" Target="media/image170.png"/><Relationship Id="rId177" Type="http://schemas.openxmlformats.org/officeDocument/2006/relationships/image" Target="media/image169.png"/><Relationship Id="rId176" Type="http://schemas.openxmlformats.org/officeDocument/2006/relationships/image" Target="media/image168.png"/><Relationship Id="rId175" Type="http://schemas.openxmlformats.org/officeDocument/2006/relationships/image" Target="media/image167.png"/><Relationship Id="rId174" Type="http://schemas.openxmlformats.org/officeDocument/2006/relationships/image" Target="media/image166.png"/><Relationship Id="rId173" Type="http://schemas.openxmlformats.org/officeDocument/2006/relationships/image" Target="media/image165.png"/><Relationship Id="rId172" Type="http://schemas.openxmlformats.org/officeDocument/2006/relationships/image" Target="media/image164.png"/><Relationship Id="rId171" Type="http://schemas.openxmlformats.org/officeDocument/2006/relationships/image" Target="media/image163.png"/><Relationship Id="rId170" Type="http://schemas.openxmlformats.org/officeDocument/2006/relationships/image" Target="media/image162.png"/><Relationship Id="rId17" Type="http://schemas.openxmlformats.org/officeDocument/2006/relationships/image" Target="media/image9.png"/><Relationship Id="rId169" Type="http://schemas.openxmlformats.org/officeDocument/2006/relationships/image" Target="media/image161.png"/><Relationship Id="rId168" Type="http://schemas.openxmlformats.org/officeDocument/2006/relationships/image" Target="media/image160.png"/><Relationship Id="rId167" Type="http://schemas.openxmlformats.org/officeDocument/2006/relationships/image" Target="media/image159.png"/><Relationship Id="rId166" Type="http://schemas.openxmlformats.org/officeDocument/2006/relationships/image" Target="media/image158.png"/><Relationship Id="rId165" Type="http://schemas.openxmlformats.org/officeDocument/2006/relationships/image" Target="media/image157.png"/><Relationship Id="rId164" Type="http://schemas.openxmlformats.org/officeDocument/2006/relationships/image" Target="media/image156.png"/><Relationship Id="rId163" Type="http://schemas.openxmlformats.org/officeDocument/2006/relationships/image" Target="media/image155.png"/><Relationship Id="rId162" Type="http://schemas.openxmlformats.org/officeDocument/2006/relationships/image" Target="media/image154.png"/><Relationship Id="rId161" Type="http://schemas.openxmlformats.org/officeDocument/2006/relationships/image" Target="media/image153.png"/><Relationship Id="rId160" Type="http://schemas.openxmlformats.org/officeDocument/2006/relationships/image" Target="media/image152.png"/><Relationship Id="rId16" Type="http://schemas.openxmlformats.org/officeDocument/2006/relationships/image" Target="media/image8.png"/><Relationship Id="rId159" Type="http://schemas.openxmlformats.org/officeDocument/2006/relationships/image" Target="media/image151.png"/><Relationship Id="rId158" Type="http://schemas.openxmlformats.org/officeDocument/2006/relationships/image" Target="media/image150.png"/><Relationship Id="rId157" Type="http://schemas.openxmlformats.org/officeDocument/2006/relationships/image" Target="media/image149.png"/><Relationship Id="rId156" Type="http://schemas.openxmlformats.org/officeDocument/2006/relationships/image" Target="media/image148.png"/><Relationship Id="rId155" Type="http://schemas.openxmlformats.org/officeDocument/2006/relationships/image" Target="media/image147.png"/><Relationship Id="rId154" Type="http://schemas.openxmlformats.org/officeDocument/2006/relationships/image" Target="media/image146.png"/><Relationship Id="rId153" Type="http://schemas.openxmlformats.org/officeDocument/2006/relationships/image" Target="media/image145.png"/><Relationship Id="rId152" Type="http://schemas.openxmlformats.org/officeDocument/2006/relationships/image" Target="media/image144.png"/><Relationship Id="rId151" Type="http://schemas.openxmlformats.org/officeDocument/2006/relationships/image" Target="media/image143.png"/><Relationship Id="rId150" Type="http://schemas.openxmlformats.org/officeDocument/2006/relationships/image" Target="media/image142.png"/><Relationship Id="rId15" Type="http://schemas.openxmlformats.org/officeDocument/2006/relationships/image" Target="media/image7.png"/><Relationship Id="rId149" Type="http://schemas.openxmlformats.org/officeDocument/2006/relationships/image" Target="media/image141.png"/><Relationship Id="rId148" Type="http://schemas.openxmlformats.org/officeDocument/2006/relationships/image" Target="media/image140.png"/><Relationship Id="rId147" Type="http://schemas.openxmlformats.org/officeDocument/2006/relationships/image" Target="media/image139.png"/><Relationship Id="rId146" Type="http://schemas.openxmlformats.org/officeDocument/2006/relationships/image" Target="media/image138.png"/><Relationship Id="rId145" Type="http://schemas.openxmlformats.org/officeDocument/2006/relationships/image" Target="media/image137.png"/><Relationship Id="rId144" Type="http://schemas.openxmlformats.org/officeDocument/2006/relationships/image" Target="media/image136.png"/><Relationship Id="rId143" Type="http://schemas.openxmlformats.org/officeDocument/2006/relationships/image" Target="media/image135.png"/><Relationship Id="rId142" Type="http://schemas.openxmlformats.org/officeDocument/2006/relationships/image" Target="media/image134.png"/><Relationship Id="rId141" Type="http://schemas.openxmlformats.org/officeDocument/2006/relationships/image" Target="media/image133.png"/><Relationship Id="rId140" Type="http://schemas.openxmlformats.org/officeDocument/2006/relationships/image" Target="media/image132.png"/><Relationship Id="rId14" Type="http://schemas.openxmlformats.org/officeDocument/2006/relationships/image" Target="media/image6.png"/><Relationship Id="rId139" Type="http://schemas.openxmlformats.org/officeDocument/2006/relationships/image" Target="media/image131.png"/><Relationship Id="rId138" Type="http://schemas.openxmlformats.org/officeDocument/2006/relationships/image" Target="media/image130.png"/><Relationship Id="rId137" Type="http://schemas.openxmlformats.org/officeDocument/2006/relationships/image" Target="media/image129.png"/><Relationship Id="rId136" Type="http://schemas.openxmlformats.org/officeDocument/2006/relationships/image" Target="media/image128.png"/><Relationship Id="rId135" Type="http://schemas.openxmlformats.org/officeDocument/2006/relationships/image" Target="media/image127.png"/><Relationship Id="rId134" Type="http://schemas.openxmlformats.org/officeDocument/2006/relationships/image" Target="media/image126.jpeg"/><Relationship Id="rId133" Type="http://schemas.openxmlformats.org/officeDocument/2006/relationships/image" Target="media/image125.png"/><Relationship Id="rId132" Type="http://schemas.openxmlformats.org/officeDocument/2006/relationships/image" Target="media/image124.png"/><Relationship Id="rId131" Type="http://schemas.openxmlformats.org/officeDocument/2006/relationships/image" Target="media/image123.png"/><Relationship Id="rId130" Type="http://schemas.openxmlformats.org/officeDocument/2006/relationships/image" Target="media/image122.jpeg"/><Relationship Id="rId13" Type="http://schemas.openxmlformats.org/officeDocument/2006/relationships/image" Target="media/image5.png"/><Relationship Id="rId129" Type="http://schemas.openxmlformats.org/officeDocument/2006/relationships/image" Target="media/image121.png"/><Relationship Id="rId128" Type="http://schemas.openxmlformats.org/officeDocument/2006/relationships/image" Target="media/image120.png"/><Relationship Id="rId127" Type="http://schemas.openxmlformats.org/officeDocument/2006/relationships/image" Target="media/image119.jpeg"/><Relationship Id="rId126" Type="http://schemas.openxmlformats.org/officeDocument/2006/relationships/image" Target="media/image118.png"/><Relationship Id="rId125" Type="http://schemas.openxmlformats.org/officeDocument/2006/relationships/image" Target="media/image117.png"/><Relationship Id="rId124" Type="http://schemas.openxmlformats.org/officeDocument/2006/relationships/image" Target="media/image116.png"/><Relationship Id="rId123" Type="http://schemas.openxmlformats.org/officeDocument/2006/relationships/image" Target="media/image115.png"/><Relationship Id="rId122" Type="http://schemas.openxmlformats.org/officeDocument/2006/relationships/image" Target="media/image114.png"/><Relationship Id="rId121" Type="http://schemas.openxmlformats.org/officeDocument/2006/relationships/image" Target="media/image113.png"/><Relationship Id="rId120" Type="http://schemas.openxmlformats.org/officeDocument/2006/relationships/image" Target="media/image112.png"/><Relationship Id="rId12" Type="http://schemas.openxmlformats.org/officeDocument/2006/relationships/image" Target="media/image4.png"/><Relationship Id="rId119" Type="http://schemas.openxmlformats.org/officeDocument/2006/relationships/image" Target="media/image111.png"/><Relationship Id="rId118" Type="http://schemas.openxmlformats.org/officeDocument/2006/relationships/image" Target="media/image110.png"/><Relationship Id="rId117" Type="http://schemas.openxmlformats.org/officeDocument/2006/relationships/image" Target="media/image109.png"/><Relationship Id="rId116" Type="http://schemas.openxmlformats.org/officeDocument/2006/relationships/image" Target="media/image108.jpeg"/><Relationship Id="rId115" Type="http://schemas.openxmlformats.org/officeDocument/2006/relationships/image" Target="media/image107.jpeg"/><Relationship Id="rId114" Type="http://schemas.openxmlformats.org/officeDocument/2006/relationships/image" Target="media/image106.jpeg"/><Relationship Id="rId113" Type="http://schemas.openxmlformats.org/officeDocument/2006/relationships/image" Target="media/image105.png"/><Relationship Id="rId112" Type="http://schemas.openxmlformats.org/officeDocument/2006/relationships/image" Target="media/image104.png"/><Relationship Id="rId111" Type="http://schemas.openxmlformats.org/officeDocument/2006/relationships/image" Target="media/image103.png"/><Relationship Id="rId110" Type="http://schemas.openxmlformats.org/officeDocument/2006/relationships/image" Target="media/image102.png"/><Relationship Id="rId11" Type="http://schemas.openxmlformats.org/officeDocument/2006/relationships/image" Target="media/image3.png"/><Relationship Id="rId109" Type="http://schemas.openxmlformats.org/officeDocument/2006/relationships/image" Target="media/image101.png"/><Relationship Id="rId108" Type="http://schemas.openxmlformats.org/officeDocument/2006/relationships/image" Target="media/image100.png"/><Relationship Id="rId107" Type="http://schemas.openxmlformats.org/officeDocument/2006/relationships/image" Target="media/image99.png"/><Relationship Id="rId106" Type="http://schemas.openxmlformats.org/officeDocument/2006/relationships/image" Target="media/image98.png"/><Relationship Id="rId105" Type="http://schemas.openxmlformats.org/officeDocument/2006/relationships/image" Target="media/image97.png"/><Relationship Id="rId104" Type="http://schemas.openxmlformats.org/officeDocument/2006/relationships/image" Target="media/image96.png"/><Relationship Id="rId103" Type="http://schemas.openxmlformats.org/officeDocument/2006/relationships/image" Target="media/image95.png"/><Relationship Id="rId102" Type="http://schemas.openxmlformats.org/officeDocument/2006/relationships/image" Target="media/image94.png"/><Relationship Id="rId101" Type="http://schemas.openxmlformats.org/officeDocument/2006/relationships/image" Target="media/image93.png"/><Relationship Id="rId100" Type="http://schemas.openxmlformats.org/officeDocument/2006/relationships/image" Target="media/image92.png"/><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1026" textRotate="1"/>
    <customShpInfo spid="_x0000_s1027"/>
    <customShpInfo spid="_x0000_s1028"/>
    <customShpInfo spid="_x0000_s1029"/>
    <customShpInfo spid="_x0000_s1030"/>
    <customShpInfo spid="_x0000_s1032"/>
    <customShpInfo spid="_x0000_s1033"/>
    <customShpInfo spid="_x0000_s1034"/>
    <customShpInfo spid="_x0000_s1035"/>
    <customShpInfo spid="_x0000_s1031"/>
    <customShpInfo spid="_x0000_s1036"/>
    <customShpInfo spid="_x0000_s1037"/>
    <customShpInfo spid="_x0000_s1039"/>
    <customShpInfo spid="_x0000_s1040"/>
    <customShpInfo spid="_x0000_s1041"/>
    <customShpInfo spid="_x0000_s1042"/>
    <customShpInfo spid="_x0000_s1043"/>
    <customShpInfo spid="_x0000_s1044"/>
    <customShpInfo spid="_x0000_s1038"/>
    <customShpInfo spid="_x0000_s1045"/>
    <customShpInfo spid="_x0000_s1046"/>
    <customShpInfo spid="_x0000_s1047"/>
    <customShpInfo spid="_x0000_s1049"/>
    <customShpInfo spid="_x0000_s1048"/>
    <customShpInfo spid="_x0000_s1050"/>
    <customShpInfo spid="_x0000_s1051"/>
    <customShpInfo spid="_x0000_s1052"/>
    <customShpInfo spid="_x0000_s1053"/>
    <customShpInfo spid="_x0000_s1054"/>
    <customShpInfo spid="_x0000_s1055"/>
    <customShpInfo spid="_x0000_s1056"/>
    <customShpInfo spid="_x0000_s1057"/>
    <customShpInfo spid="_x0000_s1059"/>
    <customShpInfo spid="_x0000_s1060"/>
    <customShpInfo spid="_x0000_s1058"/>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4"/>
    <customShpInfo spid="_x0000_s1075"/>
    <customShpInfo spid="_x0000_s1073"/>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6"/>
    <customShpInfo spid="_x0000_s1107"/>
    <customShpInfo spid="_x0000_s1105"/>
    <customShpInfo spid="_x0000_s1108"/>
    <customShpInfo spid="_x0000_s1109"/>
    <customShpInfo spid="_x0000_s1110"/>
    <customShpInfo spid="_x0000_s1112"/>
    <customShpInfo spid="_x0000_s1113"/>
    <customShpInfo spid="_x0000_s1114"/>
    <customShpInfo spid="_x0000_s1111"/>
    <customShpInfo spid="_x0000_s1116"/>
    <customShpInfo spid="_x0000_s1117"/>
    <customShpInfo spid="_x0000_s1115"/>
    <customShpInfo spid="_x0000_s1118"/>
    <customShpInfo spid="_x0000_s1119"/>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20"/>
    <customShpInfo spid="_x0000_s1133"/>
    <customShpInfo spid="_x0000_s1134"/>
    <customShpInfo spid="_x0000_s1136"/>
    <customShpInfo spid="_x0000_s1137"/>
    <customShpInfo spid="_x0000_s1135"/>
    <customShpInfo spid="_x0000_s1139"/>
    <customShpInfo spid="_x0000_s1140"/>
    <customShpInfo spid="_x0000_s1142"/>
    <customShpInfo spid="_x0000_s1143"/>
    <customShpInfo spid="_x0000_s1141"/>
    <customShpInfo spid="_x0000_s1145"/>
    <customShpInfo spid="_x0000_s1146"/>
    <customShpInfo spid="_x0000_s1144"/>
    <customShpInfo spid="_x0000_s1138"/>
    <customShpInfo spid="_x0000_s1147"/>
    <customShpInfo spid="_x0000_s1149"/>
    <customShpInfo spid="_x0000_s1150"/>
    <customShpInfo spid="_x0000_s1148"/>
    <customShpInfo spid="_x0000_s1152"/>
    <customShpInfo spid="_x0000_s1153"/>
    <customShpInfo spid="_x0000_s1155"/>
    <customShpInfo spid="_x0000_s1156"/>
    <customShpInfo spid="_x0000_s1154"/>
    <customShpInfo spid="_x0000_s1157"/>
    <customShpInfo spid="_x0000_s1158"/>
    <customShpInfo spid="_x0000_s1159"/>
    <customShpInfo spid="_x0000_s1160"/>
    <customShpInfo spid="_x0000_s1162"/>
    <customShpInfo spid="_x0000_s1163"/>
    <customShpInfo spid="_x0000_s1161"/>
    <customShpInfo spid="_x0000_s1164"/>
    <customShpInfo spid="_x0000_s1165"/>
    <customShpInfo spid="_x0000_s1166"/>
    <customShpInfo spid="_x0000_s1151"/>
    <customShpInfo spid="_x0000_s1167"/>
    <customShpInfo spid="_x0000_s1168"/>
    <customShpInfo spid="_x0000_s1170"/>
    <customShpInfo spid="_x0000_s1171"/>
    <customShpInfo spid="_x0000_s1169"/>
    <customShpInfo spid="_x0000_s1173"/>
    <customShpInfo spid="_x0000_s1174"/>
    <customShpInfo spid="_x0000_s1172"/>
    <customShpInfo spid="_x0000_s1176"/>
    <customShpInfo spid="_x0000_s1177"/>
    <customShpInfo spid="_x0000_s1175"/>
    <customShpInfo spid="_x0000_s1178"/>
    <customShpInfo spid="_x0000_s1180"/>
    <customShpInfo spid="_x0000_s1181"/>
    <customShpInfo spid="_x0000_s1179"/>
    <customShpInfo spid="_x0000_s1183"/>
    <customShpInfo spid="_x0000_s1184"/>
    <customShpInfo spid="_x0000_s1186"/>
    <customShpInfo spid="_x0000_s1187"/>
    <customShpInfo spid="_x0000_s1185"/>
    <customShpInfo spid="_x0000_s1189"/>
    <customShpInfo spid="_x0000_s1190"/>
    <customShpInfo spid="_x0000_s1188"/>
    <customShpInfo spid="_x0000_s1182"/>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1"/>
    <customShpInfo spid="_x0000_s1202"/>
    <customShpInfo spid="_x0000_s1204"/>
    <customShpInfo spid="_x0000_s1205"/>
    <customShpInfo spid="_x0000_s1203"/>
    <customShpInfo spid="_x0000_s1207"/>
    <customShpInfo spid="_x0000_s1208"/>
    <customShpInfo spid="_x0000_s1206"/>
    <customShpInfo spid="_x0000_s1200"/>
    <customShpInfo spid="_x0000_s1209"/>
    <customShpInfo spid="_x0000_s1211"/>
    <customShpInfo spid="_x0000_s1212"/>
    <customShpInfo spid="_x0000_s1210"/>
    <customShpInfo spid="_x0000_s1214"/>
    <customShpInfo spid="_x0000_s1215"/>
    <customShpInfo spid="_x0000_s1213"/>
    <customShpInfo spid="_x0000_s1216"/>
    <customShpInfo spid="_x0000_s1217"/>
    <customShpInfo spid="_x0000_s1219"/>
    <customShpInfo spid="_x0000_s1220"/>
    <customShpInfo spid="_x0000_s1218"/>
    <customShpInfo spid="_x0000_s1222"/>
    <customShpInfo spid="_x0000_s1223"/>
    <customShpInfo spid="_x0000_s1221"/>
    <customShpInfo spid="_x0000_s1225"/>
    <customShpInfo spid="_x0000_s1226"/>
    <customShpInfo spid="_x0000_s1224"/>
    <customShpInfo spid="_x0000_s1228"/>
    <customShpInfo spid="_x0000_s1229"/>
    <customShpInfo spid="_x0000_s1227"/>
    <customShpInfo spid="_x0000_s1230"/>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41"/>
    <customShpInfo spid="_x0000_s1242"/>
    <customShpInfo spid="_x0000_s1243"/>
    <customShpInfo spid="_x0000_s1245"/>
    <customShpInfo spid="_x0000_s1246"/>
    <customShpInfo spid="_x0000_s1244"/>
    <customShpInfo spid="_x0000_s1248"/>
    <customShpInfo spid="_x0000_s1249"/>
    <customShpInfo spid="_x0000_s1247"/>
    <customShpInfo spid="_x0000_s1250"/>
    <customShpInfo spid="_x0000_s1252"/>
    <customShpInfo spid="_x0000_s1253"/>
    <customShpInfo spid="_x0000_s1255"/>
    <customShpInfo spid="_x0000_s1256"/>
    <customShpInfo spid="_x0000_s1254"/>
    <customShpInfo spid="_x0000_s1258"/>
    <customShpInfo spid="_x0000_s1259"/>
    <customShpInfo spid="_x0000_s1257"/>
    <customShpInfo spid="_x0000_s1261"/>
    <customShpInfo spid="_x0000_s1262"/>
    <customShpInfo spid="_x0000_s1260"/>
    <customShpInfo spid="_x0000_s1251"/>
    <customShpInfo spid="_x0000_s1263"/>
    <customShpInfo spid="_x0000_s1264"/>
    <customShpInfo spid="_x0000_s1265"/>
    <customShpInfo spid="_x0000_s1266"/>
    <customShpInfo spid="_x0000_s1267"/>
    <customShpInfo spid="_x0000_s1269"/>
    <customShpInfo spid="_x0000_s1270"/>
    <customShpInfo spid="_x0000_s1268"/>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1"/>
    <customShpInfo spid="_x0000_s1282"/>
    <customShpInfo spid="_x0000_s1280"/>
    <customShpInfo spid="_x0000_s1283"/>
    <customShpInfo spid="_x0000_s1284"/>
    <customShpInfo spid="_x0000_s1285"/>
    <customShpInfo spid="_x0000_s1286"/>
    <customShpInfo spid="_x0000_s1287"/>
    <customShpInfo spid="_x0000_s1288"/>
    <customShpInfo spid="_x0000_s1289"/>
    <customShpInfo spid="_x0000_s1291"/>
    <customShpInfo spid="_x0000_s1292"/>
    <customShpInfo spid="_x0000_s1290"/>
    <customShpInfo spid="_x0000_s1294"/>
    <customShpInfo spid="_x0000_s1295"/>
    <customShpInfo spid="_x0000_s1293"/>
    <customShpInfo spid="_x0000_s1297"/>
    <customShpInfo spid="_x0000_s1298"/>
    <customShpInfo spid="_x0000_s1296"/>
    <customShpInfo spid="_x0000_s1299"/>
    <customShpInfo spid="_x0000_s1301"/>
    <customShpInfo spid="_x0000_s1302"/>
    <customShpInfo spid="_x0000_s1300"/>
    <customShpInfo spid="_x0000_s1304"/>
    <customShpInfo spid="_x0000_s1305"/>
    <customShpInfo spid="_x0000_s1303"/>
    <customShpInfo spid="_x0000_s1307"/>
    <customShpInfo spid="_x0000_s1308"/>
    <customShpInfo spid="_x0000_s1306"/>
    <customShpInfo spid="_x0000_s1309"/>
    <customShpInfo spid="_x0000_s1311"/>
    <customShpInfo spid="_x0000_s1312"/>
    <customShpInfo spid="_x0000_s1310"/>
    <customShpInfo spid="_x0000_s1314"/>
    <customShpInfo spid="_x0000_s1315"/>
    <customShpInfo spid="_x0000_s1317"/>
    <customShpInfo spid="_x0000_s1318"/>
    <customShpInfo spid="_x0000_s1316"/>
    <customShpInfo spid="_x0000_s1320"/>
    <customShpInfo spid="_x0000_s1321"/>
    <customShpInfo spid="_x0000_s1319"/>
    <customShpInfo spid="_x0000_s1313"/>
    <customShpInfo spid="_x0000_s1322"/>
    <customShpInfo spid="_x0000_s1324"/>
    <customShpInfo spid="_x0000_s1325"/>
    <customShpInfo spid="_x0000_s1323"/>
    <customShpInfo spid="_x0000_s1327"/>
    <customShpInfo spid="_x0000_s1328"/>
    <customShpInfo spid="_x0000_s1330"/>
    <customShpInfo spid="_x0000_s1331"/>
    <customShpInfo spid="_x0000_s1329"/>
    <customShpInfo spid="_x0000_s1333"/>
    <customShpInfo spid="_x0000_s1334"/>
    <customShpInfo spid="_x0000_s1332"/>
    <customShpInfo spid="_x0000_s1326"/>
    <customShpInfo spid="_x0000_s1335"/>
    <customShpInfo spid="_x0000_s1336"/>
    <customShpInfo spid="_x0000_s1337"/>
    <customShpInfo spid="_x0000_s1339"/>
    <customShpInfo spid="_x0000_s1340"/>
    <customShpInfo spid="_x0000_s1341"/>
    <customShpInfo spid="_x0000_s1338"/>
    <customShpInfo spid="_x0000_s1342"/>
    <customShpInfo spid="_x0000_s1344"/>
    <customShpInfo spid="_x0000_s1345"/>
    <customShpInfo spid="_x0000_s1346"/>
    <customShpInfo spid="_x0000_s1347"/>
    <customShpInfo spid="_x0000_s1343"/>
    <customShpInfo spid="_x0000_s1348"/>
    <customShpInfo spid="_x0000_s1349"/>
    <customShpInfo spid="_x0000_s1350"/>
    <customShpInfo spid="_x0000_s1351"/>
    <customShpInfo spid="_x0000_s1352"/>
    <customShpInfo spid="_x0000_s1353"/>
    <customShpInfo spid="_x0000_s135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53</Pages>
  <Words>1504</Words>
  <Characters>1625</Characters>
  <TotalTime>1</TotalTime>
  <ScaleCrop>false</ScaleCrop>
  <LinksUpToDate>false</LinksUpToDate>
  <CharactersWithSpaces>3130</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2025-01-05T18:26:00Z</dcterms:created>
  <dc:creator>Administrator</dc:creator>
  <cp:lastModifiedBy>申伶</cp:lastModifiedBy>
  <dcterms:modified xsi:type="dcterms:W3CDTF">2025-01-05T10:49:54Z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2025-01-05T18:26:56Z</vt:filetime>
  </property>
  <property fmtid="{D5CDD505-2E9C-101B-9397-08002B2CF9AE}" pid="4" name="KSOTemplateDocerSaveRecord">
    <vt:lpwstr>eyJoZGlkIjoiYjRmZGZjMzBlMTg0MDU3ZDM1MmUxZjAzOTk1NmY0NDIiLCJ1c2VySWQiOiIyOTExMDIwMDIifQ==</vt:lpwstr>
  </property>
  <property fmtid="{D5CDD505-2E9C-101B-9397-08002B2CF9AE}" pid="5" name="KSOProductBuildVer">
    <vt:lpwstr>2052-12.1.0.19302</vt:lpwstr>
  </property>
  <property fmtid="{D5CDD505-2E9C-101B-9397-08002B2CF9AE}" pid="6" name="ICV">
    <vt:lpwstr>6F92ADC5E93642F9AF84716ECDC196FD_12</vt:lpwstr>
  </property>
</Properties>
</file>