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D56AC7">
      <w:pPr>
        <w:widowControl w:val="0"/>
        <w:spacing w:line="240" w:lineRule="auto"/>
      </w:pPr>
      <w:r>
        <w:drawing>
          <wp:inline distT="0" distB="0" distL="114300" distR="114300">
            <wp:extent cx="5911850" cy="2933700"/>
            <wp:effectExtent l="0" t="0" r="1270" b="7620"/>
            <wp:docPr id="7" name="图片 7" descr="广告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广告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11850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1891645" cy="15516225"/>
                <wp:effectExtent l="0" t="0" r="10795" b="13335"/>
                <wp:wrapNone/>
                <wp:docPr id="1" name="Shape 1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11891645" cy="15516225"/>
                        </a:xfrm>
                        <a:prstGeom prst="rect">
                          <a:avLst/>
                        </a:prstGeom>
                        <a:solidFill>
                          <a:srgbClr val="057BA6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" o:spid="_x0000_s1026" o:spt="1" style="position:absolute;left:0pt;margin-left:0pt;margin-top:0pt;height:1221.75pt;width:936.35pt;mso-position-horizontal-relative:page;mso-position-vertical-relative:page;z-index:-251657216;mso-width-relative:page;mso-height-relative:page;" fillcolor="#057BA6" filled="t" stroked="f" coordsize="21600,21600" o:gfxdata="UEsDBAoAAAAAAIdO4kAAAAAAAAAAAAAAAAAEAAAAZHJzL1BLAwQUAAAACACHTuJARE1nYNoAAAAH&#10;AQAADwAAAGRycy9kb3ducmV2LnhtbE2PwU7DMBBE70j8g7VIXBB16hZahWwqgcSBAweaAOLmxksS&#10;Ea+j2G1Kvx63l3JZaTSjmbfZam87saPBt44RppMEBHHlTMs1Qlk83y5B+KDZ6M4xIfySh1V+eZHp&#10;1LiR32i3DrWIJexTjdCE0KdS+qohq/3E9cTR+3aD1SHKoZZm0GMst51USXIvrW45LjS6p6eGqp/1&#10;1iKM76Mpwufs66U89DflY6H8x6tCvL6aJg8gAu3DOQxH/IgOeWTauC0bLzqE+Eg43aO3XKgFiA2C&#10;ms9ndyDzTP7nz/8AUEsDBBQAAAAIAIdO4kBuftOdtQEAAHgDAAAOAAAAZHJzL2Uyb0RvYy54bWyt&#10;U81y0zAQvjPDO2h0J44zJBRPnA6QKZcCmZY+gCLLsQZJq9GqdsLTs5KdFNpLD1w8Wmn30/cjr6+P&#10;1rBeBdTgal7O5pwpJ6HR7lDzh5837644wyhcIww4VfOTQn69eftmPfhKLaAD06jACMRhNfiadzH6&#10;qihQdsoKnIFXjg5bCFZEKsOhaIIYCN2aYjGfr4oBQuMDSIVIu9vxkE+I4TWA0LZaqi3IR6tcHFGD&#10;MiKSJOy0R77JbNtWyfijbVFFZmpOSmP+0iW03qdvsVmL6hCE77ScKIjXUHimyQrt6NIL1FZEwR6D&#10;fgFltQyA0MaZBFuMQrIjpKKcP/PmvhNeZS1kNfqL6fj/YOX3fheYbuglcOaEpcDzraxM1gweK+q4&#10;97uQxKG/BfkLmYM7ICfTBHyDnmby8k6h/p0LGi3+mU0FTijHNtiERuLZMSdxuiShjpFJ2izLq4/l&#10;6v2SM0mH5XJZrhaLZaJUiOoM4APGrwosS4uaBwo7ZyD6W4xj67klswejmxttTC7CYf/FBNaL9DCW&#10;Hz5/Wk3o+NSWNYy0k4A9NKddOGujQDKb6fGkxP+uswNPP8zmD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CgEAABbQ29udGVudF9UeXBlc10ueG1s&#10;UEsBAhQACgAAAAAAh07iQAAAAAAAAAAAAAAAAAYAAAAAAAAAAAAQAAAACgMAAF9yZWxzL1BLAQIU&#10;ABQAAAAIAIdO4kCKFGY80QAAAJQBAAALAAAAAAAAAAEAIAAAAC4DAABfcmVscy8ucmVsc1BLAQIU&#10;AAoAAAAAAIdO4kAAAAAAAAAAAAAAAAAEAAAAAAAAAAAAEAAAAAAAAABkcnMvUEsBAhQAFAAAAAgA&#10;h07iQERNZ2DaAAAABwEAAA8AAAAAAAAAAQAgAAAAIgAAAGRycy9kb3ducmV2LnhtbFBLAQIUABQA&#10;AAAIAIdO4kBuftOdtQEAAHgDAAAOAAAAAAAAAAEAIAAAACkBAABkcnMvZTJvRG9jLnhtbFBLBQYA&#10;AAAABgAGAFkBAABQBQAAAAA=&#10;">
                <v:fill on="t" focussize="0,0"/>
                <v:stroke on="f"/>
                <v:imagedata o:title=""/>
                <o:lock v:ext="edit" position="t" rotation="t" aspectratio="f"/>
              </v:rect>
            </w:pict>
          </mc:Fallback>
        </mc:AlternateContent>
      </w:r>
    </w:p>
    <w:p w14:paraId="017CBD1E">
      <w:pPr>
        <w:widowControl w:val="0"/>
        <w:jc w:val="right"/>
        <w:rPr>
          <w:sz w:val="2"/>
          <w:szCs w:val="2"/>
        </w:rPr>
      </w:pPr>
      <w:r>
        <w:drawing>
          <wp:inline distT="0" distB="0" distL="114300" distR="114300">
            <wp:extent cx="9105900" cy="7607300"/>
            <wp:effectExtent l="0" t="0" r="7620" b="12700"/>
            <wp:docPr id="2" name="Picut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utre 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105900" cy="760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6FAC1B">
      <w:pPr>
        <w:widowControl w:val="0"/>
        <w:spacing w:after="479" w:line="1" w:lineRule="exact"/>
      </w:pPr>
    </w:p>
    <w:p w14:paraId="476BCA19">
      <w:pPr>
        <w:widowControl w:val="0"/>
        <w:jc w:val="center"/>
        <w:rPr>
          <w:sz w:val="2"/>
          <w:szCs w:val="2"/>
        </w:rPr>
        <w:sectPr>
          <w:footnotePr>
            <w:numFmt w:val="decimal"/>
          </w:footnotePr>
          <w:pgSz w:w="18727" w:h="24435"/>
          <w:pgMar w:top="238" w:right="184" w:bottom="238" w:left="184" w:header="0" w:footer="3" w:gutter="0"/>
          <w:cols w:space="720" w:num="1"/>
          <w:rtlGutter w:val="0"/>
          <w:docGrid w:linePitch="360" w:charSpace="0"/>
        </w:sectPr>
      </w:pPr>
      <w:bookmarkStart w:id="30" w:name="_GoBack"/>
      <w:bookmarkEnd w:id="30"/>
    </w:p>
    <w:p w14:paraId="650CBAE6">
      <w:pPr>
        <w:pStyle w:val="5"/>
        <w:keepNext/>
        <w:keepLines/>
        <w:widowControl w:val="0"/>
        <w:shd w:val="clear" w:color="auto" w:fill="auto"/>
        <w:bidi w:val="0"/>
        <w:spacing w:before="0" w:after="780" w:line="240" w:lineRule="auto"/>
        <w:ind w:left="0" w:right="0" w:firstLine="0"/>
        <w:jc w:val="center"/>
      </w:pPr>
      <w:bookmarkStart w:id="0" w:name="bookmark1"/>
      <w:bookmarkStart w:id="1" w:name="bookmark0"/>
      <w:r>
        <w:rPr>
          <w:color w:val="000000"/>
          <w:spacing w:val="0"/>
          <w:w w:val="100"/>
          <w:position w:val="0"/>
          <w:shd w:val="clear" w:color="auto" w:fill="auto"/>
        </w:rPr>
        <w:t>运维管理办法</w:t>
      </w:r>
      <w:bookmarkEnd w:id="0"/>
      <w:bookmarkEnd w:id="1"/>
    </w:p>
    <w:p w14:paraId="4BA58EF5">
      <w:pPr>
        <w:pStyle w:val="5"/>
        <w:keepNext/>
        <w:keepLines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center"/>
      </w:pPr>
      <w:bookmarkStart w:id="2" w:name="bookmark2"/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</w:rPr>
        <w:t>目录</w:t>
      </w:r>
      <w:bookmarkEnd w:id="2"/>
      <w:bookmarkEnd w:id="3"/>
    </w:p>
    <w:p w14:paraId="00E1F7EC">
      <w:pPr>
        <w:pStyle w:val="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val="left" w:pos="978"/>
          <w:tab w:val="left" w:leader="dot" w:pos="12177"/>
        </w:tabs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总则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ab/>
      </w:r>
    </w:p>
    <w:p w14:paraId="7DE28DA2">
      <w:pPr>
        <w:pStyle w:val="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val="left" w:pos="978"/>
          <w:tab w:val="left" w:leader="dot" w:pos="12177"/>
        </w:tabs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系统运维管理办法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ab/>
      </w:r>
    </w:p>
    <w:p w14:paraId="1CC7011B">
      <w:pPr>
        <w:pStyle w:val="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val="left" w:pos="978"/>
          <w:tab w:val="left" w:leader="dot" w:pos="12177"/>
        </w:tabs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数据库运维管理办法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ab/>
      </w:r>
    </w:p>
    <w:p w14:paraId="5E44CBCC">
      <w:pPr>
        <w:pStyle w:val="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val="left" w:pos="978"/>
          <w:tab w:val="left" w:leader="dot" w:pos="12177"/>
        </w:tabs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备份运维管理办法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ab/>
      </w:r>
    </w:p>
    <w:p w14:paraId="0648E5C1">
      <w:pPr>
        <w:pStyle w:val="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val="left" w:pos="978"/>
          <w:tab w:val="left" w:leader="dot" w:pos="12177"/>
        </w:tabs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巡检管理办法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ab/>
      </w:r>
    </w:p>
    <w:p w14:paraId="45EE2AE6">
      <w:pPr>
        <w:pStyle w:val="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val="left" w:pos="978"/>
          <w:tab w:val="left" w:leader="dot" w:pos="12177"/>
        </w:tabs>
        <w:bidi w:val="0"/>
        <w:spacing w:before="0" w:after="7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请示报告制度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ab/>
      </w:r>
    </w:p>
    <w:p w14:paraId="7640B761">
      <w:pPr>
        <w:pStyle w:val="9"/>
        <w:keepNext/>
        <w:keepLines/>
        <w:widowControl w:val="0"/>
        <w:numPr>
          <w:ilvl w:val="0"/>
          <w:numId w:val="2"/>
        </w:numPr>
        <w:shd w:val="clear" w:color="auto" w:fill="auto"/>
        <w:bidi w:val="0"/>
        <w:spacing w:before="0" w:after="360" w:line="240" w:lineRule="auto"/>
        <w:ind w:left="0" w:right="0" w:firstLine="0"/>
        <w:jc w:val="left"/>
      </w:pPr>
      <w:bookmarkStart w:id="4" w:name="bookmark4"/>
      <w:bookmarkStart w:id="5" w:name="bookmark5"/>
      <w:r>
        <w:rPr>
          <w:spacing w:val="0"/>
          <w:w w:val="100"/>
          <w:position w:val="0"/>
          <w:shd w:val="clear" w:color="auto" w:fill="auto"/>
        </w:rPr>
        <w:t>总则</w:t>
      </w:r>
      <w:bookmarkEnd w:id="4"/>
      <w:bookmarkEnd w:id="5"/>
    </w:p>
    <w:p w14:paraId="5B02FE44">
      <w:pPr>
        <w:pStyle w:val="7"/>
        <w:keepNext w:val="0"/>
        <w:keepLines w:val="0"/>
        <w:widowControl w:val="0"/>
        <w:shd w:val="clear" w:color="auto" w:fill="auto"/>
        <w:bidi w:val="0"/>
        <w:spacing w:before="0" w:after="0" w:line="947" w:lineRule="exact"/>
        <w:ind w:left="1880" w:right="0" w:hanging="12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第</w:t>
      </w:r>
      <w:r>
        <w:rPr>
          <w:rFonts w:ascii="Cambria" w:hAnsi="Cambria" w:eastAsia="Cambria" w:cs="Cambria"/>
          <w:color w:val="000000"/>
          <w:spacing w:val="0"/>
          <w:w w:val="100"/>
          <w:position w:val="0"/>
          <w:sz w:val="36"/>
          <w:szCs w:val="36"/>
          <w:shd w:val="clear" w:color="auto" w:fill="auto"/>
        </w:rPr>
        <w:t>1</w:t>
      </w:r>
      <w:r>
        <w:rPr>
          <w:color w:val="000000"/>
          <w:spacing w:val="0"/>
          <w:w w:val="100"/>
          <w:position w:val="0"/>
          <w:shd w:val="clear" w:color="auto" w:fill="auto"/>
        </w:rPr>
        <w:t>条为了加强运行维护管理保障业务系统稳定可靠地运行，制定本运行维护基本营 理办法。</w:t>
      </w:r>
    </w:p>
    <w:p w14:paraId="1F7A6453">
      <w:pPr>
        <w:pStyle w:val="7"/>
        <w:keepNext w:val="0"/>
        <w:keepLines w:val="0"/>
        <w:widowControl w:val="0"/>
        <w:shd w:val="clear" w:color="auto" w:fill="auto"/>
        <w:bidi w:val="0"/>
        <w:spacing w:before="0" w:after="0" w:line="947" w:lineRule="exact"/>
        <w:ind w:left="1880" w:right="0" w:hanging="12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第</w:t>
      </w:r>
      <w:r>
        <w:rPr>
          <w:rFonts w:ascii="Cambria" w:hAnsi="Cambria" w:eastAsia="Cambria" w:cs="Cambria"/>
          <w:color w:val="000000"/>
          <w:spacing w:val="0"/>
          <w:w w:val="100"/>
          <w:position w:val="0"/>
          <w:sz w:val="36"/>
          <w:szCs w:val="36"/>
          <w:shd w:val="clear" w:color="auto" w:fill="auto"/>
        </w:rPr>
        <w:t>2</w:t>
      </w:r>
      <w:r>
        <w:rPr>
          <w:color w:val="000000"/>
          <w:spacing w:val="0"/>
          <w:w w:val="100"/>
          <w:position w:val="0"/>
          <w:shd w:val="clear" w:color="auto" w:fill="auto"/>
        </w:rPr>
        <w:t>条 实行预防性维护为主、故障性维护为辅的运行维护管理原则,预防性维护和故 障性维护都应遵循事先设计好的程序进行。</w:t>
      </w:r>
    </w:p>
    <w:p w14:paraId="4C97544B">
      <w:pPr>
        <w:pStyle w:val="7"/>
        <w:keepNext w:val="0"/>
        <w:keepLines w:val="0"/>
        <w:widowControl w:val="0"/>
        <w:shd w:val="clear" w:color="auto" w:fill="auto"/>
        <w:bidi w:val="0"/>
        <w:spacing w:before="0" w:after="1000" w:line="947" w:lineRule="exact"/>
        <w:ind w:left="1880" w:right="0" w:hanging="12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第</w:t>
      </w:r>
      <w:r>
        <w:rPr>
          <w:rFonts w:ascii="Cambria" w:hAnsi="Cambria" w:eastAsia="Cambria" w:cs="Cambria"/>
          <w:color w:val="000000"/>
          <w:spacing w:val="0"/>
          <w:w w:val="100"/>
          <w:position w:val="0"/>
          <w:sz w:val="36"/>
          <w:szCs w:val="36"/>
          <w:shd w:val="clear" w:color="auto" w:fill="auto"/>
        </w:rPr>
        <w:t>3</w:t>
      </w:r>
      <w:r>
        <w:rPr>
          <w:color w:val="000000"/>
          <w:spacing w:val="0"/>
          <w:w w:val="100"/>
          <w:position w:val="0"/>
          <w:shd w:val="clear" w:color="auto" w:fill="auto"/>
        </w:rPr>
        <w:t>条 完善运维管理体系</w:t>
      </w:r>
      <w:r>
        <w:rPr>
          <w:rFonts w:ascii="宋体" w:hAnsi="宋体" w:eastAsia="宋体" w:cs="宋体"/>
          <w:color w:val="000000"/>
          <w:spacing w:val="0"/>
          <w:w w:val="100"/>
          <w:position w:val="0"/>
          <w:sz w:val="38"/>
          <w:szCs w:val="38"/>
          <w:shd w:val="clear" w:color="auto" w:fill="auto"/>
        </w:rPr>
        <w:t>，</w:t>
      </w:r>
      <w:r>
        <w:rPr>
          <w:color w:val="000000"/>
          <w:spacing w:val="0"/>
          <w:w w:val="100"/>
          <w:position w:val="0"/>
          <w:shd w:val="clear" w:color="auto" w:fill="auto"/>
        </w:rPr>
        <w:t>建立健全运维规范</w:t>
      </w:r>
      <w:r>
        <w:rPr>
          <w:rFonts w:ascii="宋体" w:hAnsi="宋体" w:eastAsia="宋体" w:cs="宋体"/>
          <w:color w:val="000000"/>
          <w:spacing w:val="0"/>
          <w:w w:val="100"/>
          <w:position w:val="0"/>
          <w:sz w:val="38"/>
          <w:szCs w:val="38"/>
          <w:shd w:val="clear" w:color="auto" w:fill="auto"/>
        </w:rPr>
        <w:t>，</w:t>
      </w:r>
      <w:r>
        <w:rPr>
          <w:color w:val="000000"/>
          <w:spacing w:val="0"/>
          <w:w w:val="100"/>
          <w:position w:val="0"/>
          <w:shd w:val="clear" w:color="auto" w:fill="auto"/>
        </w:rPr>
        <w:t>提高运维管理效率</w:t>
      </w:r>
      <w:r>
        <w:rPr>
          <w:rFonts w:ascii="宋体" w:hAnsi="宋体" w:eastAsia="宋体" w:cs="宋体"/>
          <w:color w:val="000000"/>
          <w:spacing w:val="0"/>
          <w:w w:val="100"/>
          <w:position w:val="0"/>
          <w:sz w:val="38"/>
          <w:szCs w:val="38"/>
          <w:shd w:val="clear" w:color="auto" w:fill="auto"/>
        </w:rPr>
        <w:t>，</w:t>
      </w:r>
      <w:r>
        <w:rPr>
          <w:color w:val="000000"/>
          <w:spacing w:val="0"/>
          <w:w w:val="100"/>
          <w:position w:val="0"/>
          <w:shd w:val="clear" w:color="auto" w:fill="auto"/>
        </w:rPr>
        <w:t>并不断提高运维 质量。</w:t>
      </w:r>
    </w:p>
    <w:p w14:paraId="3A6D8000">
      <w:pPr>
        <w:pStyle w:val="9"/>
        <w:keepNext/>
        <w:keepLines/>
        <w:widowControl w:val="0"/>
        <w:numPr>
          <w:ilvl w:val="0"/>
          <w:numId w:val="2"/>
        </w:numPr>
        <w:shd w:val="clear" w:color="auto" w:fill="auto"/>
        <w:bidi w:val="0"/>
        <w:spacing w:before="0" w:after="440" w:line="240" w:lineRule="auto"/>
        <w:ind w:left="0" w:right="0" w:firstLine="0"/>
        <w:jc w:val="left"/>
      </w:pPr>
      <w:bookmarkStart w:id="6" w:name="bookmark6"/>
      <w:bookmarkStart w:id="7" w:name="bookmark7"/>
      <w:r>
        <w:rPr>
          <w:spacing w:val="0"/>
          <w:w w:val="100"/>
          <w:position w:val="0"/>
          <w:shd w:val="clear" w:color="auto" w:fill="auto"/>
        </w:rPr>
        <w:t>系统运维管理办法</w:t>
      </w:r>
      <w:bookmarkEnd w:id="6"/>
      <w:bookmarkEnd w:id="7"/>
    </w:p>
    <w:p w14:paraId="5F982BE6">
      <w:pPr>
        <w:pStyle w:val="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val="left" w:pos="1070"/>
        </w:tabs>
        <w:bidi w:val="0"/>
        <w:spacing w:before="0" w:after="540" w:line="930" w:lineRule="exact"/>
        <w:ind w:left="1180" w:right="0" w:hanging="5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指定专人作为系统管理员，对系统的运行、管理、维护和安全负责，并按照规定负责 系统和数据的备份与恢复。</w:t>
      </w:r>
    </w:p>
    <w:p w14:paraId="658C363E">
      <w:pPr>
        <w:pStyle w:val="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val="left" w:pos="1060"/>
        </w:tabs>
        <w:bidi w:val="0"/>
        <w:spacing w:before="0" w:after="0" w:line="528" w:lineRule="auto"/>
        <w:ind w:left="0" w:right="0" w:firstLine="6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定时对系统进行监控和健康性检查，分析系统运行和资源使用情况，进行必要的优</w:t>
      </w:r>
    </w:p>
    <w:p w14:paraId="442188E6">
      <w:pPr>
        <w:pStyle w:val="7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1180" w:right="0" w:firstLine="0"/>
        <w:jc w:val="left"/>
        <w:sectPr>
          <w:footnotePr>
            <w:numFmt w:val="decimal"/>
          </w:footnotePr>
          <w:pgSz w:w="18727" w:h="24435"/>
          <w:pgMar w:top="2319" w:right="2614" w:bottom="2319" w:left="2594" w:header="0" w:footer="3" w:gutter="0"/>
          <w:cols w:space="720" w:num="1"/>
          <w:rtlGutter w:val="0"/>
          <w:docGrid w:linePitch="360" w:charSpace="0"/>
        </w:sectPr>
      </w:pPr>
      <w:r>
        <w:rPr>
          <w:color w:val="000000"/>
          <w:spacing w:val="0"/>
          <w:w w:val="100"/>
          <w:position w:val="0"/>
          <w:shd w:val="clear" w:color="auto" w:fill="auto"/>
        </w:rPr>
        <w:t>化、调整和修正，及时消除隐患。</w:t>
      </w:r>
    </w:p>
    <w:p w14:paraId="14727FFA">
      <w:pPr>
        <w:pStyle w:val="7"/>
        <w:keepNext w:val="0"/>
        <w:keepLines w:val="0"/>
        <w:widowControl w:val="0"/>
        <w:numPr>
          <w:ilvl w:val="0"/>
          <w:numId w:val="3"/>
        </w:numPr>
        <w:shd w:val="clear" w:color="auto" w:fill="auto"/>
        <w:bidi w:val="0"/>
        <w:spacing w:before="0" w:line="240" w:lineRule="auto"/>
        <w:ind w:left="0" w:right="0" w:firstLine="6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及时处理系统运行过程中出现的异常问题和软硬件故障,并采取必要措施,最大限度</w:t>
      </w:r>
    </w:p>
    <w:p w14:paraId="5BE1BAB2">
      <w:pPr>
        <w:pStyle w:val="7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12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的保护好系统数据。</w:t>
      </w:r>
    </w:p>
    <w:p w14:paraId="2E39B7D2">
      <w:pPr>
        <w:pStyle w:val="7"/>
        <w:keepNext w:val="0"/>
        <w:keepLines w:val="0"/>
        <w:widowControl w:val="0"/>
        <w:numPr>
          <w:ilvl w:val="0"/>
          <w:numId w:val="3"/>
        </w:numPr>
        <w:shd w:val="clear" w:color="auto" w:fill="auto"/>
        <w:bidi w:val="0"/>
        <w:spacing w:before="0" w:after="560" w:line="240" w:lineRule="auto"/>
        <w:ind w:left="0" w:right="0" w:firstLine="6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具有系统权限人员调离工作岗位或离职，应立即修改其保管的用户密码,或删除该用</w:t>
      </w:r>
    </w:p>
    <w:p w14:paraId="5B557B46">
      <w:pPr>
        <w:pStyle w:val="7"/>
        <w:keepNext w:val="0"/>
        <w:keepLines w:val="0"/>
        <w:widowControl w:val="0"/>
        <w:shd w:val="clear" w:color="auto" w:fill="auto"/>
        <w:bidi w:val="0"/>
        <w:spacing w:before="0" w:after="960" w:line="240" w:lineRule="auto"/>
        <w:ind w:left="12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户。</w:t>
      </w:r>
    </w:p>
    <w:p w14:paraId="51122482">
      <w:pPr>
        <w:pStyle w:val="9"/>
        <w:keepNext/>
        <w:keepLines/>
        <w:widowControl w:val="0"/>
        <w:numPr>
          <w:ilvl w:val="0"/>
          <w:numId w:val="2"/>
        </w:numPr>
        <w:shd w:val="clear" w:color="auto" w:fill="auto"/>
        <w:bidi w:val="0"/>
        <w:spacing w:before="0" w:after="960" w:line="240" w:lineRule="auto"/>
        <w:ind w:left="0" w:right="0" w:firstLine="0"/>
        <w:jc w:val="left"/>
      </w:pPr>
      <w:bookmarkStart w:id="8" w:name="bookmark8"/>
      <w:bookmarkStart w:id="9" w:name="bookmark9"/>
      <w:r>
        <w:rPr>
          <w:spacing w:val="0"/>
          <w:w w:val="100"/>
          <w:position w:val="0"/>
          <w:shd w:val="clear" w:color="auto" w:fill="auto"/>
        </w:rPr>
        <w:t>数据库运维管理办法</w:t>
      </w:r>
      <w:bookmarkEnd w:id="8"/>
      <w:bookmarkEnd w:id="9"/>
    </w:p>
    <w:p w14:paraId="3E04374E">
      <w:pPr>
        <w:pStyle w:val="7"/>
        <w:keepNext w:val="0"/>
        <w:keepLines w:val="0"/>
        <w:widowControl w:val="0"/>
        <w:numPr>
          <w:ilvl w:val="0"/>
          <w:numId w:val="4"/>
        </w:numPr>
        <w:shd w:val="clear" w:color="auto" w:fill="auto"/>
        <w:tabs>
          <w:tab w:val="left" w:pos="1083"/>
        </w:tabs>
        <w:bidi w:val="0"/>
        <w:spacing w:before="0" w:line="240" w:lineRule="auto"/>
        <w:ind w:left="0" w:right="0" w:firstLine="6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对数据库的变更必须有记录,并且可以回滚。</w:t>
      </w:r>
    </w:p>
    <w:p w14:paraId="2A7320CA">
      <w:pPr>
        <w:pStyle w:val="7"/>
        <w:keepNext w:val="0"/>
        <w:keepLines w:val="0"/>
        <w:widowControl w:val="0"/>
        <w:numPr>
          <w:ilvl w:val="0"/>
          <w:numId w:val="4"/>
        </w:numPr>
        <w:shd w:val="clear" w:color="auto" w:fill="auto"/>
        <w:tabs>
          <w:tab w:val="left" w:pos="1083"/>
        </w:tabs>
        <w:bidi w:val="0"/>
        <w:spacing w:before="0" w:line="240" w:lineRule="auto"/>
        <w:ind w:left="0" w:right="0" w:firstLine="6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无用表和字段要及时清理</w:t>
      </w:r>
    </w:p>
    <w:p w14:paraId="6AD5B881">
      <w:pPr>
        <w:pStyle w:val="7"/>
        <w:keepNext w:val="0"/>
        <w:keepLines w:val="0"/>
        <w:widowControl w:val="0"/>
        <w:numPr>
          <w:ilvl w:val="0"/>
          <w:numId w:val="4"/>
        </w:numPr>
        <w:shd w:val="clear" w:color="auto" w:fill="auto"/>
        <w:tabs>
          <w:tab w:val="left" w:pos="1083"/>
        </w:tabs>
        <w:bidi w:val="0"/>
        <w:spacing w:before="0" w:line="240" w:lineRule="auto"/>
        <w:ind w:left="0" w:right="0" w:firstLine="6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数据库进行修改、删除数据时要提前备份</w:t>
      </w:r>
    </w:p>
    <w:p w14:paraId="1FE966E5">
      <w:pPr>
        <w:pStyle w:val="7"/>
        <w:keepNext w:val="0"/>
        <w:keepLines w:val="0"/>
        <w:widowControl w:val="0"/>
        <w:numPr>
          <w:ilvl w:val="0"/>
          <w:numId w:val="4"/>
        </w:numPr>
        <w:shd w:val="clear" w:color="auto" w:fill="auto"/>
        <w:tabs>
          <w:tab w:val="left" w:pos="1090"/>
        </w:tabs>
        <w:bidi w:val="0"/>
        <w:spacing w:before="0" w:after="560" w:line="240" w:lineRule="auto"/>
        <w:ind w:left="0" w:right="0" w:firstLine="6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设置对数据库的自动备份，以便在发生故障时,能尽快恢复数据，并定期检查备份计</w:t>
      </w:r>
    </w:p>
    <w:p w14:paraId="10C2B5CE">
      <w:pPr>
        <w:pStyle w:val="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2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划的执行情况。</w:t>
      </w:r>
    </w:p>
    <w:p w14:paraId="14CA215C">
      <w:pPr>
        <w:pStyle w:val="7"/>
        <w:keepNext w:val="0"/>
        <w:keepLines w:val="0"/>
        <w:widowControl w:val="0"/>
        <w:numPr>
          <w:ilvl w:val="0"/>
          <w:numId w:val="4"/>
        </w:numPr>
        <w:shd w:val="clear" w:color="auto" w:fill="auto"/>
        <w:bidi w:val="0"/>
        <w:spacing w:before="0" w:after="0" w:line="240" w:lineRule="auto"/>
        <w:ind w:left="0" w:right="0" w:firstLine="6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指定专人定期进行备份数据的恢复校验。</w:t>
      </w:r>
    </w:p>
    <w:p w14:paraId="1FE0ACB8">
      <w:pPr>
        <w:widowControl w:val="0"/>
        <w:spacing w:line="1" w:lineRule="exact"/>
      </w:pPr>
      <w:r>
        <mc:AlternateContent>
          <mc:Choice Requires="wps">
            <w:drawing>
              <wp:anchor distT="215900" distB="0" distL="0" distR="0" simplePos="0" relativeHeight="251660288" behindDoc="0" locked="0" layoutInCell="1" allowOverlap="1">
                <wp:simplePos x="0" y="0"/>
                <wp:positionH relativeFrom="page">
                  <wp:posOffset>2061845</wp:posOffset>
                </wp:positionH>
                <wp:positionV relativeFrom="paragraph">
                  <wp:posOffset>215900</wp:posOffset>
                </wp:positionV>
                <wp:extent cx="203200" cy="292100"/>
                <wp:effectExtent l="0" t="0" r="0" b="0"/>
                <wp:wrapTopAndBottom/>
                <wp:docPr id="4" name="Shap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200" cy="2921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F3E7952">
                            <w:pPr>
                              <w:pStyle w:val="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en-US" w:eastAsia="en-US" w:bidi="en-US"/>
                              </w:rPr>
                              <w:t>6.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4" o:spid="_x0000_s1026" o:spt="202" type="#_x0000_t202" style="position:absolute;left:0pt;margin-left:162.35pt;margin-top:17pt;height:23pt;width:16pt;mso-position-horizontal-relative:page;mso-wrap-distance-bottom:0pt;mso-wrap-distance-top:17pt;mso-wrap-style:none;z-index:251660288;mso-width-relative:page;mso-height-relative:page;" filled="f" stroked="f" coordsize="21600,21600" o:gfxdata="UEsDBAoAAAAAAIdO4kAAAAAAAAAAAAAAAAAEAAAAZHJzL1BLAwQUAAAACACHTuJAl04psdYAAAAJ&#10;AQAADwAAAGRycy9kb3ducmV2LnhtbE2PMU/DMBCFdyT+g3VIbNROW0oU4nRAMFKphYXNia9J2vgc&#10;2U4b/j3HBNvdvad33yu3sxvEBUPsPWnIFgoEUuNtT62Gz4+3hxxETIasGTyhhm+MsK1ub0pTWH+l&#10;PV4OqRUcQrEwGrqUxkLK2HToTFz4EYm1ow/OJF5DK20wVw53g1wqtZHO9MQfOjPiS4fN+TA5Dcf3&#10;3fn0Ou3VqVU5fmUB5zrbaX1/l6lnEAnn9GeGX3xGh4qZaj+RjWLQsFqun9jKw5o7sWH1uOFDrSFX&#10;CmRVyv8Nqh9QSwMEFAAAAAgAh07iQFpxeV+qAQAAbwMAAA4AAABkcnMvZTJvRG9jLnhtbK1TwW7b&#10;MAy9D+g/CLo3drxi2Iw4xYagRYFhG9DuAxRZigVIoiAqsfP3o2QnHbpLD7vINEk/vvcob+4nZ9lJ&#10;RTTgO75e1ZwpL6E3/tDx3y8Pt585wyR8Lyx41fGzQn6/vfmwGUOrGhjA9ioyAvHYjqHjQ0qhrSqU&#10;g3ICVxCUp6KG6ESi13io+ihGQne2aur6UzVC7EMEqRApu5uLfEGM7wEErY1UO5BHp3yaUaOyIpEk&#10;HExAvi1stVYy/dQaVWK246Q0lZOGULzPZ7XdiPYQRRiMXCiI91B4o8kJ42noFWonkmDHaP6BckZG&#10;QNBpJcFVs5DiCKlY12+8eR5EUEULWY3hajr+P1j54/QrMtN3/I4zLxwtvExld9maMWBLHc+BetL0&#10;DSa6MJc8UjIrnnR0+UlaGNXJ2PPVWDUlJinZ1B9p9ZxJKjVfmjXFhF69fhwipkcFjuWg45H2VuwU&#10;p++Y5tZLS57l4cFYm/OZ4cwkR2naTwvtPfRnYj3Sajvu6SZzZp88OZdvwSWIl2C/BDP412MCbcrc&#10;jDpDLcNoD4X5cmfyov9+L12v/8n2D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BkEAABbQ29udGVudF9UeXBlc10ueG1sUEsBAhQACgAAAAAAh07i&#10;QAAAAAAAAAAAAAAAAAYAAAAAAAAAAAAQAAAA+wIAAF9yZWxzL1BLAQIUABQAAAAIAIdO4kCKFGY8&#10;0QAAAJQBAAALAAAAAAAAAAEAIAAAAB8DAABfcmVscy8ucmVsc1BLAQIUAAoAAAAAAIdO4kAAAAAA&#10;AAAAAAAAAAAEAAAAAAAAAAAAEAAAAAAAAABkcnMvUEsBAhQAFAAAAAgAh07iQJdOKbHWAAAACQEA&#10;AA8AAAAAAAAAAQAgAAAAIgAAAGRycy9kb3ducmV2LnhtbFBLAQIUABQAAAAIAIdO4kBacXlfqgEA&#10;AG8DAAAOAAAAAAAAAAEAIAAAACUBAABkcnMvZTJvRG9jLnhtbFBLBQYAAAAABgAGAFkBAABBBQAA&#10;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F3E7952">
                      <w:pPr>
                        <w:pStyle w:val="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en-US" w:eastAsia="en-US" w:bidi="en-US"/>
                        </w:rPr>
                        <w:t>6.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distT="254000" distB="0" distL="0" distR="0" simplePos="0" relativeHeight="251660288" behindDoc="0" locked="0" layoutInCell="1" allowOverlap="1">
                <wp:simplePos x="0" y="0"/>
                <wp:positionH relativeFrom="page">
                  <wp:posOffset>2334895</wp:posOffset>
                </wp:positionH>
                <wp:positionV relativeFrom="paragraph">
                  <wp:posOffset>254000</wp:posOffset>
                </wp:positionV>
                <wp:extent cx="895350" cy="254000"/>
                <wp:effectExtent l="0" t="0" r="0" b="0"/>
                <wp:wrapTopAndBottom/>
                <wp:docPr id="6" name="Shap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2540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DF4FC3E">
                            <w:pPr>
                              <w:pStyle w:val="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做好数据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6" o:spid="_x0000_s1026" o:spt="202" type="#_x0000_t202" style="position:absolute;left:0pt;margin-left:183.85pt;margin-top:20pt;height:20pt;width:70.5pt;mso-position-horizontal-relative:page;mso-wrap-distance-bottom:0pt;mso-wrap-distance-top:20pt;mso-wrap-style:none;z-index:251660288;mso-width-relative:page;mso-height-relative:page;" filled="f" stroked="f" coordsize="21600,21600" o:gfxdata="UEsDBAoAAAAAAIdO4kAAAAAAAAAAAAAAAAAEAAAAZHJzL1BLAwQUAAAACACHTuJA/+SGZ9UAAAAJ&#10;AQAADwAAAGRycy9kb3ducmV2LnhtbE2PPU/DMBCGd6T+B+sqsVE7fLRRiNMBwUilFhY2J74maeNz&#10;ZDtt+PccE4z33qP3o9zObhAXDLH3pCFbKRBIjbc9tRo+P97uchAxGbJm8IQavjHCtlrclKaw/kp7&#10;vBxSK9iEYmE0dCmNhZSx6dCZuPIjEv+OPjiT+AyttMFc2dwN8l6ptXSmJ07ozIgvHTbnw+Q0HN93&#10;59PrtFenVuX4lQWc62yn9e0yU88gEs7pD4bf+lwdKu5U+4lsFIOGh/Vmw6iGR8WbGHhSOQu1hpwF&#10;WZXy/4LqB1BLAwQUAAAACACHTuJAcK8LiKwBAABvAwAADgAAAGRycy9lMm9Eb2MueG1srVPBbtsw&#10;DL0P2D8Iui92sybojDjFhqDDgGIb0O0DFFmKBUiiICqx8/elZCctuksPu8g0ST++9yhv7kdn2UlF&#10;NOBbfrOoOVNeQmf8oeV//zx8uuMMk/CdsOBVy88K+f3244fNEBq1hB5spyIjEI/NEFrepxSaqkLZ&#10;KydwAUF5KmqITiR6jYeqi2IgdGerZV2vqwFiFyJIhUjZ3VTkM2J8DyBobaTagTw65dOEGpUViSRh&#10;bwLybWGrtZLpl9aoErMtJ6WpnDSE4n0+q+1GNIcoQm/kTEG8h8IbTU4YT0OvUDuRBDtG8w+UMzIC&#10;gk4LCa6ahBRHSMVN/cabp14EVbSQ1RiupuP/g5U/T78jM13L15x54WjhZSpbZ2uGgA11PAXqSeM3&#10;GOnCXPJIyax41NHlJ2lhVCdjz1dj1ZiYpOTdl9XnFVUklZar27ouxlcvH4eI6bsCx3LQ8kh7K3aK&#10;0yMmIkKtl5Y8y8ODsTbnM8OJSY7SuB9n2nvozsR6oNW23NNN5sz+8ORcvgWXIF6C/RxM4F+PCbQp&#10;czPqBDUPoz0UOvOdyYt+/V66Xv6T7TN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AaBAAAW0NvbnRlbnRfVHlwZXNdLnhtbFBLAQIUAAoAAAAAAIdO&#10;4kAAAAAAAAAAAAAAAAAGAAAAAAAAAAAAEAAAAPwCAABfcmVscy9QSwECFAAUAAAACACHTuJAihRm&#10;PNEAAACUAQAACwAAAAAAAAABACAAAAAgAwAAX3JlbHMvLnJlbHNQSwECFAAKAAAAAACHTuJAAAAA&#10;AAAAAAAAAAAABAAAAAAAAAAAABAAAAAAAAAAZHJzL1BLAQIUABQAAAAIAIdO4kD/5IZn1QAAAAkB&#10;AAAPAAAAAAAAAAEAIAAAACIAAABkcnMvZG93bnJldi54bWxQSwECFAAUAAAACACHTuJAcK8LiKwB&#10;AABvAwAADgAAAAAAAAABACAAAAAkAQAAZHJzL2Uyb0RvYy54bWxQSwUGAAAAAAYABgBZAQAAQgUA&#10;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DF4FC3E">
                      <w:pPr>
                        <w:pStyle w:val="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做好数据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distT="228600" distB="12700" distL="0" distR="0" simplePos="0" relativeHeight="251660288" behindDoc="0" locked="0" layoutInCell="1" allowOverlap="1">
                <wp:simplePos x="0" y="0"/>
                <wp:positionH relativeFrom="page">
                  <wp:posOffset>3173095</wp:posOffset>
                </wp:positionH>
                <wp:positionV relativeFrom="paragraph">
                  <wp:posOffset>228600</wp:posOffset>
                </wp:positionV>
                <wp:extent cx="3263900" cy="266700"/>
                <wp:effectExtent l="0" t="0" r="0" b="0"/>
                <wp:wrapTopAndBottom/>
                <wp:docPr id="8" name="Shap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3900" cy="2667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FA4DBE4">
                            <w:pPr>
                              <w:pStyle w:val="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库操作审计,以便对操作有据可查。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8" o:spid="_x0000_s1026" o:spt="202" type="#_x0000_t202" style="position:absolute;left:0pt;margin-left:249.85pt;margin-top:18pt;height:21pt;width:257pt;mso-position-horizontal-relative:page;mso-wrap-distance-bottom:1pt;mso-wrap-distance-top:18pt;mso-wrap-style:none;z-index:251660288;mso-width-relative:page;mso-height-relative:page;" filled="f" stroked="f" coordsize="21600,21600" o:gfxdata="UEsDBAoAAAAAAIdO4kAAAAAAAAAAAAAAAAAEAAAAZHJzL1BLAwQUAAAACACHTuJATIdMH9cAAAAK&#10;AQAADwAAAGRycy9kb3ducmV2LnhtbE2PsW7CMBCG90p9B+sqdSu2SwUhzYWhasciAV26OfGRBGI7&#10;sh1I375mgvHuPv33/cV6Mj07kw+dswhyJoCRrZ3ubIPws/96yYCFqKxWvbOE8EcB1uXjQ6Fy7S52&#10;S+ddbFgKsSFXCG2MQ855qFsyKszcQDbdDs4bFdPoG669uqRw0/NXIRbcqM6mD60a6KOl+rQbDcLh&#10;e3M6fo5bcWxERr/S01TJDeLzkxTvwCJN8QbDVT+pQ5mcKjdaHViP8LZaLROKMF+kTldAyHnaVAjL&#10;TAAvC35fofwHUEsDBBQAAAAIAIdO4kB7frrEqwEAAHADAAAOAAAAZHJzL2Uyb0RvYy54bWytU8Fu&#10;2zAMvQ/YPwi6N3ZTIO2MOMWKoMOAYhvQ9gMUWYoFSKIgKrHz96NkJx3aSw+7yDRJP773KK/vR2fZ&#10;UUU04Ft+vag5U15CZ/y+5a8vj1d3nGESvhMWvGr5SSG/33z9sh5Co5bQg+1UZATisRlCy/uUQlNV&#10;KHvlBC4gKE9FDdGJRK9xX3VRDITubLWs61U1QOxCBKkQKbudinxGjJ8BBK2NVFuQB6d8mlCjsiKR&#10;JOxNQL4pbLVWMv3WGlVituWkNJWThlC8y2e1WYtmH0XojZwpiM9QeKfJCeNp6AVqK5Jgh2g+QDkj&#10;IyDotJDgqklIcYRUXNfvvHnuRVBFC1mN4WI6/j9Y+ev4JzLTtZzW7oWjhZep7C5bMwRsqOM5UE8a&#10;H2CkC3POIyWz4lFHl5+khVGdjD1djFVjYpKSN8vVzbeaSpJqy9XqlmKCr96+DhHTDwWO5aDlkRZX&#10;/BTHJ0xT67klD/PwaKzN+UxxopKjNO7GmfcOuhPRHmi3Lfd0lTmzPz1Zl6/BOYjnYDcHE/j3QwJt&#10;ytyMOkHNw2gRhfl8afKm/30vXW8/yuYv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GwQAAFtDb250ZW50X1R5cGVzXS54bWxQSwECFAAKAAAAAACH&#10;TuJAAAAAAAAAAAAAAAAABgAAAAAAAAAAABAAAAD9AgAAX3JlbHMvUEsBAhQAFAAAAAgAh07iQIoU&#10;ZjzRAAAAlAEAAAsAAAAAAAAAAQAgAAAAIQMAAF9yZWxzLy5yZWxzUEsBAhQACgAAAAAAh07iQAAA&#10;AAAAAAAAAAAAAAQAAAAAAAAAAAAQAAAAAAAAAGRycy9QSwECFAAUAAAACACHTuJATIdMH9cAAAAK&#10;AQAADwAAAAAAAAABACAAAAAiAAAAZHJzL2Rvd25yZXYueG1sUEsBAhQAFAAAAAgAh07iQHt+usSr&#10;AQAAcAMAAA4AAAAAAAAAAQAgAAAAJgEAAGRycy9lMm9Eb2MueG1sUEsFBgAAAAAGAAYAWQEAAEMF&#10;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FA4DBE4">
                      <w:pPr>
                        <w:pStyle w:val="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库操作审计,以便对操作有据可查。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245BCE07">
      <w:pPr>
        <w:pStyle w:val="9"/>
        <w:keepNext/>
        <w:keepLines/>
        <w:widowControl w:val="0"/>
        <w:numPr>
          <w:ilvl w:val="0"/>
          <w:numId w:val="2"/>
        </w:numPr>
        <w:shd w:val="clear" w:color="auto" w:fill="auto"/>
        <w:bidi w:val="0"/>
        <w:spacing w:before="0" w:after="840" w:line="240" w:lineRule="auto"/>
        <w:ind w:left="0" w:right="0" w:firstLine="0"/>
        <w:jc w:val="left"/>
      </w:pPr>
      <w:bookmarkStart w:id="10" w:name="bookmark11"/>
      <w:bookmarkStart w:id="11" w:name="bookmark10"/>
      <w:r>
        <w:rPr>
          <w:spacing w:val="0"/>
          <w:w w:val="100"/>
          <w:position w:val="0"/>
          <w:shd w:val="clear" w:color="auto" w:fill="auto"/>
        </w:rPr>
        <w:t>备份运维管理办法</w:t>
      </w:r>
      <w:bookmarkEnd w:id="10"/>
      <w:bookmarkEnd w:id="11"/>
    </w:p>
    <w:p w14:paraId="1620C60A">
      <w:pPr>
        <w:pStyle w:val="9"/>
        <w:keepNext/>
        <w:keepLines/>
        <w:widowControl w:val="0"/>
        <w:numPr>
          <w:ilvl w:val="1"/>
          <w:numId w:val="2"/>
        </w:numPr>
        <w:shd w:val="clear" w:color="auto" w:fill="auto"/>
        <w:bidi w:val="0"/>
        <w:spacing w:before="0" w:after="260" w:line="240" w:lineRule="auto"/>
        <w:ind w:left="0" w:right="0" w:firstLine="0"/>
        <w:jc w:val="left"/>
      </w:pPr>
      <w:bookmarkStart w:id="12" w:name="bookmark12"/>
      <w:bookmarkStart w:id="13" w:name="bookmark13"/>
      <w:r>
        <w:rPr>
          <w:spacing w:val="0"/>
          <w:w w:val="100"/>
          <w:position w:val="0"/>
          <w:shd w:val="clear" w:color="auto" w:fill="auto"/>
        </w:rPr>
        <w:t>目的</w:t>
      </w:r>
      <w:bookmarkEnd w:id="12"/>
      <w:bookmarkEnd w:id="13"/>
    </w:p>
    <w:p w14:paraId="68E06B89">
      <w:pPr>
        <w:pStyle w:val="7"/>
        <w:keepNext w:val="0"/>
        <w:keepLines w:val="0"/>
        <w:widowControl w:val="0"/>
        <w:shd w:val="clear" w:color="auto" w:fill="auto"/>
        <w:bidi w:val="0"/>
        <w:spacing w:before="0" w:after="840" w:line="960" w:lineRule="exact"/>
        <w:ind w:left="0" w:right="0" w:firstLine="6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建立有效的数据备份和恢复机制，确保各系统备份工作按照计划正常完成，保证各应用 系统的数据安全。</w:t>
      </w:r>
    </w:p>
    <w:p w14:paraId="0F2D0CCC">
      <w:pPr>
        <w:pStyle w:val="9"/>
        <w:keepNext/>
        <w:keepLines/>
        <w:widowControl w:val="0"/>
        <w:numPr>
          <w:ilvl w:val="1"/>
          <w:numId w:val="2"/>
        </w:numPr>
        <w:shd w:val="clear" w:color="auto" w:fill="auto"/>
        <w:bidi w:val="0"/>
        <w:spacing w:before="0" w:after="840" w:line="240" w:lineRule="auto"/>
        <w:ind w:left="0" w:right="0" w:firstLine="0"/>
        <w:jc w:val="left"/>
      </w:pPr>
      <w:bookmarkStart w:id="14" w:name="bookmark14"/>
      <w:bookmarkStart w:id="15" w:name="bookmark15"/>
      <w:r>
        <w:rPr>
          <w:spacing w:val="0"/>
          <w:w w:val="100"/>
          <w:position w:val="0"/>
          <w:shd w:val="clear" w:color="auto" w:fill="auto"/>
        </w:rPr>
        <w:t>备份制度</w:t>
      </w:r>
      <w:bookmarkEnd w:id="14"/>
      <w:bookmarkEnd w:id="15"/>
    </w:p>
    <w:p w14:paraId="7943802D">
      <w:pPr>
        <w:pStyle w:val="7"/>
        <w:keepNext w:val="0"/>
        <w:keepLines w:val="0"/>
        <w:widowControl w:val="0"/>
        <w:numPr>
          <w:ilvl w:val="0"/>
          <w:numId w:val="5"/>
        </w:numPr>
        <w:shd w:val="clear" w:color="auto" w:fill="auto"/>
        <w:bidi w:val="0"/>
        <w:spacing w:before="0" w:after="0" w:line="240" w:lineRule="auto"/>
        <w:ind w:left="0" w:right="0" w:firstLine="6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正式使用的应用系统、操作系统日志、数据库系统、网络配置等信息必须定期进行有 效备份且具有可复原性。</w:t>
      </w:r>
    </w:p>
    <w:p w14:paraId="7BC95A55">
      <w:pPr>
        <w:pStyle w:val="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val="left" w:pos="1073"/>
        </w:tabs>
        <w:bidi w:val="0"/>
        <w:spacing w:before="0" w:after="0" w:line="960" w:lineRule="exact"/>
        <w:ind w:left="0" w:right="0" w:firstLine="6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备份数据必须定期、完整、真实有效的转储到永久性介质上,并且明显标识。</w:t>
      </w:r>
    </w:p>
    <w:p w14:paraId="568ECFDC">
      <w:pPr>
        <w:pStyle w:val="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val="left" w:pos="1080"/>
        </w:tabs>
        <w:bidi w:val="0"/>
        <w:spacing w:before="0" w:after="0" w:line="960" w:lineRule="exact"/>
        <w:ind w:left="1160" w:right="0" w:hanging="5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定时检查备份文件中是否存在备份失败的记录，如果有失败记录,需要检查故障原 因,并进行排除。</w:t>
      </w:r>
    </w:p>
    <w:p w14:paraId="4A86B34F">
      <w:pPr>
        <w:pStyle w:val="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val="left" w:pos="1073"/>
        </w:tabs>
        <w:bidi w:val="0"/>
        <w:spacing w:before="0" w:after="960" w:line="960" w:lineRule="exact"/>
        <w:ind w:left="0" w:right="0" w:firstLine="6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备份计划设置要满足业务对数据安全性的要求</w:t>
      </w:r>
    </w:p>
    <w:p w14:paraId="0D78CDB5">
      <w:pPr>
        <w:pStyle w:val="9"/>
        <w:keepNext/>
        <w:keepLines/>
        <w:widowControl w:val="0"/>
        <w:numPr>
          <w:ilvl w:val="0"/>
          <w:numId w:val="5"/>
        </w:numPr>
        <w:shd w:val="clear" w:color="auto" w:fill="auto"/>
        <w:bidi w:val="0"/>
        <w:spacing w:before="0" w:after="860" w:line="240" w:lineRule="auto"/>
        <w:ind w:left="0" w:right="0" w:firstLine="0"/>
        <w:jc w:val="left"/>
      </w:pPr>
      <w:bookmarkStart w:id="16" w:name="bookmark16"/>
      <w:bookmarkStart w:id="17" w:name="bookmark17"/>
      <w:r>
        <w:rPr>
          <w:spacing w:val="0"/>
          <w:w w:val="100"/>
          <w:position w:val="0"/>
          <w:shd w:val="clear" w:color="auto" w:fill="auto"/>
        </w:rPr>
        <w:t>巡检管理办法</w:t>
      </w:r>
      <w:bookmarkEnd w:id="16"/>
      <w:bookmarkEnd w:id="17"/>
    </w:p>
    <w:p w14:paraId="175ACEC3">
      <w:pPr>
        <w:pStyle w:val="9"/>
        <w:keepNext/>
        <w:keepLines/>
        <w:widowControl w:val="0"/>
        <w:numPr>
          <w:ilvl w:val="1"/>
          <w:numId w:val="5"/>
        </w:numPr>
        <w:shd w:val="clear" w:color="auto" w:fill="auto"/>
        <w:bidi w:val="0"/>
        <w:spacing w:before="0" w:after="260" w:line="240" w:lineRule="auto"/>
        <w:ind w:left="0" w:right="0" w:firstLine="0"/>
        <w:jc w:val="left"/>
      </w:pPr>
      <w:bookmarkStart w:id="18" w:name="bookmark18"/>
      <w:bookmarkStart w:id="19" w:name="bookmark19"/>
      <w:r>
        <w:rPr>
          <w:spacing w:val="0"/>
          <w:w w:val="100"/>
          <w:position w:val="0"/>
          <w:shd w:val="clear" w:color="auto" w:fill="auto"/>
        </w:rPr>
        <w:t>目的</w:t>
      </w:r>
      <w:bookmarkEnd w:id="18"/>
      <w:bookmarkEnd w:id="19"/>
    </w:p>
    <w:p w14:paraId="74EDCD32">
      <w:pPr>
        <w:pStyle w:val="7"/>
        <w:keepNext w:val="0"/>
        <w:keepLines w:val="0"/>
        <w:widowControl w:val="0"/>
        <w:shd w:val="clear" w:color="auto" w:fill="auto"/>
        <w:bidi w:val="0"/>
        <w:spacing w:before="0" w:after="860" w:line="950" w:lineRule="exact"/>
        <w:ind w:left="0" w:right="0" w:firstLine="6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定期了解设备的运转情况，做好系统日常运行的基础数据记录，做到有问题早发现、早 解决,避免隐患，确保设备的完好率”保证系统运行质量。</w:t>
      </w:r>
    </w:p>
    <w:p w14:paraId="671E0215">
      <w:pPr>
        <w:pStyle w:val="9"/>
        <w:keepNext/>
        <w:keepLines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left"/>
      </w:pPr>
      <w:bookmarkStart w:id="20" w:name="bookmark20"/>
      <w:bookmarkStart w:id="21" w:name="bookmark21"/>
      <w:r>
        <w:rPr>
          <w:rFonts w:ascii="Times New Roman" w:hAnsi="Times New Roman" w:eastAsia="Times New Roman" w:cs="Times New Roman"/>
          <w:spacing w:val="0"/>
          <w:w w:val="100"/>
          <w:position w:val="0"/>
          <w:sz w:val="48"/>
          <w:szCs w:val="48"/>
          <w:shd w:val="clear" w:color="auto" w:fill="auto"/>
        </w:rPr>
        <w:t>52</w:t>
      </w:r>
      <w:r>
        <w:rPr>
          <w:spacing w:val="0"/>
          <w:w w:val="100"/>
          <w:position w:val="0"/>
          <w:shd w:val="clear" w:color="auto" w:fill="auto"/>
        </w:rPr>
        <w:t>巡检基本要求</w:t>
      </w:r>
      <w:bookmarkEnd w:id="20"/>
      <w:bookmarkEnd w:id="21"/>
    </w:p>
    <w:p w14:paraId="3730DA18">
      <w:pPr>
        <w:pStyle w:val="7"/>
        <w:keepNext w:val="0"/>
        <w:keepLines w:val="0"/>
        <w:widowControl w:val="0"/>
        <w:numPr>
          <w:ilvl w:val="0"/>
          <w:numId w:val="6"/>
        </w:numPr>
        <w:shd w:val="clear" w:color="auto" w:fill="auto"/>
        <w:tabs>
          <w:tab w:val="left" w:pos="1073"/>
        </w:tabs>
        <w:bidi w:val="0"/>
        <w:spacing w:before="0" w:after="0" w:line="930" w:lineRule="exact"/>
        <w:ind w:left="1160" w:right="0" w:hanging="5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对硬件设笛进行定期巡检，是确保系统稳定运行的重要措施，巡检工作包括例行巡 检、节假日和重要事件前的巡检</w:t>
      </w:r>
    </w:p>
    <w:p w14:paraId="2142B1F6">
      <w:pPr>
        <w:pStyle w:val="7"/>
        <w:keepNext w:val="0"/>
        <w:keepLines w:val="0"/>
        <w:widowControl w:val="0"/>
        <w:numPr>
          <w:ilvl w:val="0"/>
          <w:numId w:val="6"/>
        </w:numPr>
        <w:shd w:val="clear" w:color="auto" w:fill="auto"/>
        <w:tabs>
          <w:tab w:val="left" w:pos="1080"/>
        </w:tabs>
        <w:bidi w:val="0"/>
        <w:spacing w:before="0" w:after="0" w:line="955" w:lineRule="exact"/>
        <w:ind w:left="1160" w:right="0" w:hanging="5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维护人员应根据工作计划，对维护的设备定期进行预防性巡视检查，巡查过程中应认 真负责,及时发现问题,重点注意处在恶劣坏境下、存在潜在质量故障的设备,巡査 要认真做记录。</w:t>
      </w:r>
    </w:p>
    <w:p w14:paraId="3803CB74">
      <w:pPr>
        <w:pStyle w:val="7"/>
        <w:keepNext w:val="0"/>
        <w:keepLines w:val="0"/>
        <w:widowControl w:val="0"/>
        <w:numPr>
          <w:ilvl w:val="0"/>
          <w:numId w:val="6"/>
        </w:numPr>
        <w:shd w:val="clear" w:color="auto" w:fill="auto"/>
        <w:tabs>
          <w:tab w:val="left" w:pos="1073"/>
        </w:tabs>
        <w:bidi w:val="0"/>
        <w:spacing w:before="0" w:after="0" w:line="952" w:lineRule="exact"/>
        <w:ind w:left="0" w:right="0" w:firstLine="6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巡检过程中发现告警应立即进入处理流程，判定为故障的要立即进入故障处理流程</w:t>
      </w:r>
    </w:p>
    <w:p w14:paraId="4B371E98">
      <w:pPr>
        <w:pStyle w:val="7"/>
        <w:keepNext w:val="0"/>
        <w:keepLines w:val="0"/>
        <w:widowControl w:val="0"/>
        <w:numPr>
          <w:ilvl w:val="0"/>
          <w:numId w:val="6"/>
        </w:numPr>
        <w:shd w:val="clear" w:color="auto" w:fill="auto"/>
        <w:tabs>
          <w:tab w:val="left" w:pos="1073"/>
        </w:tabs>
        <w:bidi w:val="0"/>
        <w:spacing w:before="0" w:after="560" w:line="952" w:lineRule="exact"/>
        <w:ind w:left="0" w:right="0" w:firstLine="6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所有的巡检都应有详细的记录，包括时间、巡检情况和责任人,并应在巡检纪录卡上</w:t>
      </w:r>
    </w:p>
    <w:p w14:paraId="2B1FDE14">
      <w:pPr>
        <w:pStyle w:val="7"/>
        <w:keepNext w:val="0"/>
        <w:keepLines w:val="0"/>
        <w:widowControl w:val="0"/>
        <w:shd w:val="clear" w:color="auto" w:fill="auto"/>
        <w:bidi w:val="0"/>
        <w:spacing w:before="0" w:after="700" w:line="240" w:lineRule="auto"/>
        <w:ind w:left="1160" w:right="0" w:firstLine="0"/>
        <w:jc w:val="left"/>
        <w:sectPr>
          <w:footnotePr>
            <w:numFmt w:val="decimal"/>
          </w:footnotePr>
          <w:pgSz w:w="18727" w:h="24435"/>
          <w:pgMar w:top="2236" w:right="2610" w:bottom="2448" w:left="2577" w:header="0" w:footer="3" w:gutter="0"/>
          <w:cols w:space="720" w:num="1"/>
          <w:rtlGutter w:val="0"/>
          <w:docGrid w:linePitch="360" w:charSpace="0"/>
        </w:sectPr>
      </w:pPr>
      <w:r>
        <w:rPr>
          <w:color w:val="000000"/>
          <w:spacing w:val="0"/>
          <w:w w:val="100"/>
          <w:position w:val="0"/>
          <w:shd w:val="clear" w:color="auto" w:fill="auto"/>
        </w:rPr>
        <w:t>签字。</w:t>
      </w:r>
    </w:p>
    <w:p w14:paraId="42F4288C">
      <w:pPr>
        <w:pStyle w:val="9"/>
        <w:keepNext/>
        <w:keepLines/>
        <w:widowControl w:val="0"/>
        <w:numPr>
          <w:ilvl w:val="0"/>
          <w:numId w:val="5"/>
        </w:numPr>
        <w:shd w:val="clear" w:color="auto" w:fill="auto"/>
        <w:bidi w:val="0"/>
        <w:spacing w:before="0" w:after="880" w:line="240" w:lineRule="auto"/>
        <w:ind w:left="0" w:right="0" w:firstLine="0"/>
        <w:jc w:val="left"/>
      </w:pPr>
      <w:bookmarkStart w:id="22" w:name="bookmark23"/>
      <w:bookmarkStart w:id="23" w:name="bookmark22"/>
      <w:r>
        <w:rPr>
          <w:spacing w:val="0"/>
          <w:w w:val="100"/>
          <w:position w:val="0"/>
          <w:shd w:val="clear" w:color="auto" w:fill="auto"/>
        </w:rPr>
        <w:t>请示报告制度</w:t>
      </w:r>
      <w:bookmarkEnd w:id="22"/>
      <w:bookmarkEnd w:id="23"/>
    </w:p>
    <w:p w14:paraId="5BCD4204">
      <w:pPr>
        <w:pStyle w:val="9"/>
        <w:keepNext/>
        <w:keepLines/>
        <w:widowControl w:val="0"/>
        <w:numPr>
          <w:ilvl w:val="1"/>
          <w:numId w:val="5"/>
        </w:numPr>
        <w:shd w:val="clear" w:color="auto" w:fill="auto"/>
        <w:bidi w:val="0"/>
        <w:spacing w:before="0" w:after="280" w:line="240" w:lineRule="auto"/>
        <w:ind w:left="0" w:right="0" w:firstLine="0"/>
        <w:jc w:val="left"/>
      </w:pPr>
      <w:bookmarkStart w:id="24" w:name="bookmark25"/>
      <w:bookmarkStart w:id="25" w:name="bookmark24"/>
      <w:r>
        <w:rPr>
          <w:spacing w:val="0"/>
          <w:w w:val="100"/>
          <w:position w:val="0"/>
          <w:shd w:val="clear" w:color="auto" w:fill="auto"/>
        </w:rPr>
        <w:t>目的</w:t>
      </w:r>
      <w:bookmarkEnd w:id="24"/>
      <w:bookmarkEnd w:id="25"/>
    </w:p>
    <w:p w14:paraId="51146DD8">
      <w:pPr>
        <w:pStyle w:val="7"/>
        <w:keepNext w:val="0"/>
        <w:keepLines w:val="0"/>
        <w:widowControl w:val="0"/>
        <w:shd w:val="clear" w:color="auto" w:fill="auto"/>
        <w:bidi w:val="0"/>
        <w:spacing w:before="0" w:after="880" w:line="930" w:lineRule="exact"/>
        <w:ind w:left="0" w:right="0" w:firstLine="6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为加强相关信息处理和反馈营理，有效的控制系统和设备的运行状态,通过规范的请示 报告流程,提高运行维护的管理效率。</w:t>
      </w:r>
    </w:p>
    <w:p w14:paraId="3638F389">
      <w:pPr>
        <w:pStyle w:val="9"/>
        <w:keepNext/>
        <w:keepLines/>
        <w:widowControl w:val="0"/>
        <w:numPr>
          <w:ilvl w:val="1"/>
          <w:numId w:val="5"/>
        </w:numPr>
        <w:shd w:val="clear" w:color="auto" w:fill="auto"/>
        <w:bidi w:val="0"/>
        <w:spacing w:before="0" w:after="760" w:line="240" w:lineRule="auto"/>
        <w:ind w:left="0" w:right="0" w:firstLine="0"/>
        <w:jc w:val="left"/>
      </w:pPr>
      <w:bookmarkStart w:id="26" w:name="bookmark27"/>
      <w:bookmarkStart w:id="27" w:name="bookmark26"/>
      <w:r>
        <w:rPr>
          <w:spacing w:val="0"/>
          <w:w w:val="100"/>
          <w:position w:val="0"/>
          <w:shd w:val="clear" w:color="auto" w:fill="auto"/>
        </w:rPr>
        <w:t>请示汇报内容</w:t>
      </w:r>
      <w:bookmarkEnd w:id="26"/>
      <w:bookmarkEnd w:id="27"/>
    </w:p>
    <w:p w14:paraId="18932157">
      <w:pPr>
        <w:pStyle w:val="9"/>
        <w:keepNext/>
        <w:keepLines/>
        <w:widowControl w:val="0"/>
        <w:shd w:val="clear" w:color="auto" w:fill="auto"/>
        <w:tabs>
          <w:tab w:val="left" w:pos="2090"/>
        </w:tabs>
        <w:bidi w:val="0"/>
        <w:spacing w:before="0" w:after="880" w:line="240" w:lineRule="auto"/>
        <w:ind w:left="0" w:right="0" w:firstLine="180"/>
        <w:jc w:val="left"/>
        <w:rPr>
          <w:sz w:val="42"/>
          <w:szCs w:val="42"/>
        </w:rPr>
      </w:pPr>
      <w:bookmarkStart w:id="28" w:name="bookmark29"/>
      <w:bookmarkStart w:id="29" w:name="bookmark28"/>
      <w:r>
        <w:rPr>
          <w:rFonts w:ascii="Times New Roman" w:hAnsi="Times New Roman" w:eastAsia="Times New Roman" w:cs="Times New Roman"/>
          <w:spacing w:val="0"/>
          <w:w w:val="100"/>
          <w:position w:val="0"/>
          <w:sz w:val="48"/>
          <w:szCs w:val="48"/>
          <w:shd w:val="clear" w:color="auto" w:fill="auto"/>
          <w:lang w:val="en-US" w:eastAsia="en-US" w:bidi="en-US"/>
        </w:rPr>
        <w:t>6.2.1.</w:t>
      </w:r>
      <w:r>
        <w:rPr>
          <w:rFonts w:ascii="Times New Roman" w:hAnsi="Times New Roman" w:eastAsia="Times New Roman" w:cs="Times New Roman"/>
          <w:spacing w:val="0"/>
          <w:w w:val="100"/>
          <w:position w:val="0"/>
          <w:sz w:val="48"/>
          <w:szCs w:val="48"/>
          <w:shd w:val="clear" w:color="auto" w:fill="auto"/>
          <w:lang w:val="en-US" w:eastAsia="en-US" w:bidi="en-US"/>
        </w:rPr>
        <w:tab/>
      </w:r>
      <w:r>
        <w:rPr>
          <w:spacing w:val="0"/>
          <w:w w:val="100"/>
          <w:position w:val="0"/>
          <w:sz w:val="42"/>
          <w:szCs w:val="42"/>
          <w:shd w:val="clear" w:color="auto" w:fill="auto"/>
        </w:rPr>
        <w:t>例行性请示报告</w:t>
      </w:r>
      <w:bookmarkEnd w:id="28"/>
      <w:bookmarkEnd w:id="29"/>
    </w:p>
    <w:p w14:paraId="51AE18C7">
      <w:pPr>
        <w:pStyle w:val="7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val="left" w:pos="1076"/>
        </w:tabs>
        <w:bidi w:val="0"/>
        <w:spacing w:before="0" w:line="240" w:lineRule="auto"/>
        <w:ind w:left="0" w:right="0" w:firstLine="6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按照规程和制度规定的周报、月报、季报和年报。</w:t>
      </w:r>
    </w:p>
    <w:p w14:paraId="3606F819">
      <w:pPr>
        <w:pStyle w:val="7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val="left" w:pos="1080"/>
        </w:tabs>
        <w:bidi w:val="0"/>
        <w:spacing w:before="0" w:line="240" w:lineRule="auto"/>
        <w:ind w:left="0" w:right="0" w:firstLine="6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系统升级、交接和重大数据变更请示报告。</w:t>
      </w:r>
    </w:p>
    <w:p w14:paraId="726AAFEB">
      <w:pPr>
        <w:pStyle w:val="7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val="left" w:pos="1080"/>
        </w:tabs>
        <w:bidi w:val="0"/>
        <w:spacing w:before="0" w:after="880" w:line="240" w:lineRule="auto"/>
        <w:ind w:left="0" w:right="0" w:firstLine="6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各类专项请示报告和合理化建议。</w:t>
      </w:r>
    </w:p>
    <w:tbl>
      <w:tblPr>
        <w:tblStyle w:val="2"/>
        <w:tblW w:w="0" w:type="auto"/>
        <w:tblInd w:w="0" w:type="dxa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520"/>
        <w:gridCol w:w="8770"/>
      </w:tblGrid>
      <w:tr w14:paraId="7651E239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70" w:hRule="exact"/>
        </w:trPr>
        <w:tc>
          <w:tcPr>
            <w:shd w:val="clear" w:color="auto" w:fill="FFFFFF"/>
            <w:vAlign w:val="bottom"/>
          </w:tcPr>
          <w:p w14:paraId="16ABBB3B">
            <w:pPr>
              <w:pStyle w:val="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48"/>
                <w:szCs w:val="48"/>
              </w:rPr>
            </w:pPr>
            <w:r>
              <w:rPr>
                <w:rFonts w:ascii="Times New Roman" w:hAnsi="Times New Roman" w:eastAsia="Times New Roman" w:cs="Times New Roman"/>
                <w:color w:val="1163A1"/>
                <w:spacing w:val="0"/>
                <w:w w:val="100"/>
                <w:position w:val="0"/>
                <w:sz w:val="48"/>
                <w:szCs w:val="48"/>
                <w:shd w:val="clear" w:color="auto" w:fill="auto"/>
                <w:lang w:val="en-US" w:eastAsia="en-US" w:bidi="en-US"/>
              </w:rPr>
              <w:t>6.2.2.</w:t>
            </w:r>
          </w:p>
        </w:tc>
        <w:tc>
          <w:tcPr>
            <w:shd w:val="clear" w:color="auto" w:fill="FFFFFF"/>
            <w:vAlign w:val="top"/>
          </w:tcPr>
          <w:p w14:paraId="03BB7BB9">
            <w:pPr>
              <w:pStyle w:val="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42"/>
                <w:szCs w:val="42"/>
              </w:rPr>
            </w:pPr>
            <w:r>
              <w:rPr>
                <w:color w:val="1163A1"/>
                <w:spacing w:val="0"/>
                <w:w w:val="100"/>
                <w:position w:val="0"/>
                <w:sz w:val="42"/>
                <w:szCs w:val="42"/>
                <w:shd w:val="clear" w:color="auto" w:fill="auto"/>
              </w:rPr>
              <w:t>紧急性请示报告</w:t>
            </w:r>
          </w:p>
        </w:tc>
      </w:tr>
    </w:tbl>
    <w:p w14:paraId="62E2CE02">
      <w:pPr>
        <w:widowControl w:val="0"/>
        <w:spacing w:after="879" w:line="1" w:lineRule="exact"/>
      </w:pPr>
    </w:p>
    <w:p w14:paraId="2DD8E915">
      <w:pPr>
        <w:pStyle w:val="7"/>
        <w:keepNext w:val="0"/>
        <w:keepLines w:val="0"/>
        <w:widowControl w:val="0"/>
        <w:numPr>
          <w:ilvl w:val="0"/>
          <w:numId w:val="8"/>
        </w:numPr>
        <w:shd w:val="clear" w:color="auto" w:fill="auto"/>
        <w:tabs>
          <w:tab w:val="left" w:pos="1076"/>
        </w:tabs>
        <w:bidi w:val="0"/>
        <w:spacing w:before="0" w:line="240" w:lineRule="auto"/>
        <w:ind w:left="0" w:right="0" w:firstLine="6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各种事故、严重设备故障、严重电路故障、系统运行异常等情况。</w:t>
      </w:r>
    </w:p>
    <w:p w14:paraId="62BBDD6D">
      <w:pPr>
        <w:pStyle w:val="7"/>
        <w:keepNext w:val="0"/>
        <w:keepLines w:val="0"/>
        <w:widowControl w:val="0"/>
        <w:numPr>
          <w:ilvl w:val="0"/>
          <w:numId w:val="8"/>
        </w:numPr>
        <w:shd w:val="clear" w:color="auto" w:fill="auto"/>
        <w:tabs>
          <w:tab w:val="left" w:pos="1080"/>
        </w:tabs>
        <w:bidi w:val="0"/>
        <w:spacing w:before="0" w:line="240" w:lineRule="auto"/>
        <w:ind w:left="0" w:right="0" w:firstLine="6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各项工作中发现的严重泄密、安全性事故报告</w:t>
      </w:r>
    </w:p>
    <w:p w14:paraId="2650142A">
      <w:pPr>
        <w:pStyle w:val="7"/>
        <w:keepNext w:val="0"/>
        <w:keepLines w:val="0"/>
        <w:widowControl w:val="0"/>
        <w:numPr>
          <w:ilvl w:val="0"/>
          <w:numId w:val="8"/>
        </w:numPr>
        <w:shd w:val="clear" w:color="auto" w:fill="auto"/>
        <w:bidi w:val="0"/>
        <w:spacing w:before="0" w:after="820" w:line="240" w:lineRule="auto"/>
        <w:ind w:left="0" w:right="0" w:firstLine="6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业主要求的其他紧急性报告。</w:t>
      </w:r>
    </w:p>
    <w:sectPr>
      <w:footnotePr>
        <w:numFmt w:val="decimal"/>
      </w:footnotePr>
      <w:pgSz w:w="18727" w:h="24435"/>
      <w:pgMar w:top="2330" w:right="2614" w:bottom="2330" w:left="2594" w:header="0" w:footer="3" w:gutter="0"/>
      <w:cols w:space="72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</w:p>
  </w:endnote>
  <w:endnote w:type="continuationSeparator" w:id="1">
    <w:p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</w:p>
  </w:footnote>
  <w:footnote w:type="continuationSeparator" w:id="1">
    <w:p>
      <w:pPr>
        <w:spacing w:before="0" w:after="0" w:line="240" w:lineRule="aut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5E306ED"/>
    <w:multiLevelType w:val="multilevel"/>
    <w:tmpl w:val="B5E306ED"/>
    <w:lvl w:ilvl="0" w:tentative="0">
      <w:start w:val="1"/>
      <w:numFmt w:val="decimal"/>
      <w:lvlText w:val="%1."/>
      <w:lvlJc w:val="left"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1163A1"/>
        <w:spacing w:val="0"/>
        <w:w w:val="100"/>
        <w:position w:val="0"/>
        <w:sz w:val="48"/>
        <w:szCs w:val="48"/>
        <w:u w:val="none"/>
        <w:shd w:val="clear" w:color="auto" w:fill="auto"/>
        <w:lang w:val="en-US" w:eastAsia="en-US" w:bidi="en-US"/>
      </w:rPr>
    </w:lvl>
    <w:lvl w:ilvl="1" w:tentative="0">
      <w:start w:val="1"/>
      <w:numFmt w:val="decimal"/>
      <w:lvlText w:val="%1.%2."/>
      <w:lvlJc w:val="left"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1163A1"/>
        <w:spacing w:val="0"/>
        <w:w w:val="100"/>
        <w:position w:val="0"/>
        <w:sz w:val="48"/>
        <w:szCs w:val="48"/>
        <w:u w:val="none"/>
        <w:shd w:val="clear" w:color="auto" w:fill="auto"/>
        <w:lang w:val="en-US" w:eastAsia="en-US" w:bidi="en-US"/>
      </w:rPr>
    </w:lvl>
  </w:abstractNum>
  <w:abstractNum w:abstractNumId="1">
    <w:nsid w:val="BF205925"/>
    <w:multiLevelType w:val="singleLevel"/>
    <w:tmpl w:val="BF205925"/>
    <w:lvl w:ilvl="0" w:tentative="0">
      <w:start w:val="1"/>
      <w:numFmt w:val="decimal"/>
      <w:lvlText w:val="%1."/>
      <w:lvlJc w:val="left"/>
      <w:rPr>
        <w:rFonts w:ascii="Cambria" w:hAnsi="Cambria" w:eastAsia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6"/>
        <w:szCs w:val="36"/>
        <w:u w:val="none"/>
        <w:shd w:val="clear" w:color="auto" w:fill="auto"/>
        <w:lang w:val="en-US" w:eastAsia="en-US" w:bidi="en-US"/>
      </w:rPr>
    </w:lvl>
  </w:abstractNum>
  <w:abstractNum w:abstractNumId="2">
    <w:nsid w:val="CF092B84"/>
    <w:multiLevelType w:val="multilevel"/>
    <w:tmpl w:val="CF092B84"/>
    <w:lvl w:ilvl="0" w:tentative="0">
      <w:start w:val="1"/>
      <w:numFmt w:val="decimal"/>
      <w:lvlText w:val="%1."/>
      <w:lvlJc w:val="left"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1163A1"/>
        <w:spacing w:val="0"/>
        <w:w w:val="100"/>
        <w:position w:val="0"/>
        <w:sz w:val="48"/>
        <w:szCs w:val="48"/>
        <w:u w:val="none"/>
        <w:shd w:val="clear" w:color="auto" w:fill="auto"/>
        <w:lang w:val="en-US" w:eastAsia="en-US" w:bidi="en-US"/>
      </w:rPr>
    </w:lvl>
    <w:lvl w:ilvl="1" w:tentative="0">
      <w:start w:val="1"/>
      <w:numFmt w:val="decimal"/>
      <w:lvlText w:val="%1.%2."/>
      <w:lvlJc w:val="left"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1163A1"/>
        <w:spacing w:val="0"/>
        <w:w w:val="100"/>
        <w:position w:val="0"/>
        <w:sz w:val="48"/>
        <w:szCs w:val="48"/>
        <w:u w:val="none"/>
        <w:shd w:val="clear" w:color="auto" w:fill="auto"/>
        <w:lang w:val="en-US" w:eastAsia="en-US" w:bidi="en-US"/>
      </w:rPr>
    </w:lvl>
  </w:abstractNum>
  <w:abstractNum w:abstractNumId="3">
    <w:nsid w:val="0053208E"/>
    <w:multiLevelType w:val="singleLevel"/>
    <w:tmpl w:val="0053208E"/>
    <w:lvl w:ilvl="0" w:tentative="0">
      <w:start w:val="1"/>
      <w:numFmt w:val="decimal"/>
      <w:lvlText w:val="%1."/>
      <w:lvlJc w:val="left"/>
      <w:rPr>
        <w:rFonts w:ascii="Arial" w:hAnsi="Arial" w:eastAsia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shd w:val="clear" w:color="auto" w:fill="auto"/>
        <w:lang w:val="en-US" w:eastAsia="en-US" w:bidi="en-US"/>
      </w:rPr>
    </w:lvl>
  </w:abstractNum>
  <w:abstractNum w:abstractNumId="4">
    <w:nsid w:val="03D62ECE"/>
    <w:multiLevelType w:val="singleLevel"/>
    <w:tmpl w:val="03D62ECE"/>
    <w:lvl w:ilvl="0" w:tentative="0">
      <w:start w:val="1"/>
      <w:numFmt w:val="decimal"/>
      <w:lvlText w:val="%1."/>
      <w:lvlJc w:val="left"/>
      <w:rPr>
        <w:rFonts w:ascii="Cambria" w:hAnsi="Cambria" w:eastAsia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6"/>
        <w:szCs w:val="36"/>
        <w:u w:val="none"/>
        <w:shd w:val="clear" w:color="auto" w:fill="auto"/>
        <w:lang w:val="en-US" w:eastAsia="en-US" w:bidi="en-US"/>
      </w:rPr>
    </w:lvl>
  </w:abstractNum>
  <w:abstractNum w:abstractNumId="5">
    <w:nsid w:val="25B654F3"/>
    <w:multiLevelType w:val="singleLevel"/>
    <w:tmpl w:val="25B654F3"/>
    <w:lvl w:ilvl="0" w:tentative="0">
      <w:start w:val="1"/>
      <w:numFmt w:val="decimal"/>
      <w:lvlText w:val="%1."/>
      <w:lvlJc w:val="left"/>
      <w:rPr>
        <w:rFonts w:ascii="Cambria" w:hAnsi="Cambria" w:eastAsia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6"/>
        <w:szCs w:val="36"/>
        <w:u w:val="none"/>
        <w:shd w:val="clear" w:color="auto" w:fill="auto"/>
        <w:lang w:val="en-US" w:eastAsia="en-US" w:bidi="en-US"/>
      </w:rPr>
    </w:lvl>
  </w:abstractNum>
  <w:abstractNum w:abstractNumId="6">
    <w:nsid w:val="59ADCABA"/>
    <w:multiLevelType w:val="singleLevel"/>
    <w:tmpl w:val="59ADCABA"/>
    <w:lvl w:ilvl="0" w:tentative="0">
      <w:start w:val="1"/>
      <w:numFmt w:val="decimal"/>
      <w:lvlText w:val="%1."/>
      <w:lvlJc w:val="left"/>
      <w:rPr>
        <w:rFonts w:ascii="Cambria" w:hAnsi="Cambria" w:eastAsia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6"/>
        <w:szCs w:val="36"/>
        <w:u w:val="none"/>
        <w:shd w:val="clear" w:color="auto" w:fill="auto"/>
        <w:lang w:val="en-US" w:eastAsia="en-US" w:bidi="en-US"/>
      </w:rPr>
    </w:lvl>
  </w:abstractNum>
  <w:abstractNum w:abstractNumId="7">
    <w:nsid w:val="72183CF9"/>
    <w:multiLevelType w:val="singleLevel"/>
    <w:tmpl w:val="72183CF9"/>
    <w:lvl w:ilvl="0" w:tentative="0">
      <w:start w:val="1"/>
      <w:numFmt w:val="decimal"/>
      <w:lvlText w:val="%1."/>
      <w:lvlJc w:val="left"/>
      <w:rPr>
        <w:rFonts w:ascii="Cambria" w:hAnsi="Cambria" w:eastAsia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6"/>
        <w:szCs w:val="36"/>
        <w:u w:val="none"/>
        <w:shd w:val="clear" w:color="auto" w:fill="auto"/>
        <w:lang w:val="en-US" w:eastAsia="en-US" w:bidi="en-US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1"/>
  </w:num>
  <w:num w:numId="5">
    <w:abstractNumId w:val="0"/>
  </w:num>
  <w:num w:numId="6">
    <w:abstractNumId w:val="4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cumentProtection w:enforcement="0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  <w:compatSetting w:name="compatibilityMode" w:uri="http://schemas.microsoft.com/office/word" w:val="15"/>
  </w:compat>
  <w:rsids>
    <w:rsidRoot w:val="00000000"/>
    <w:rsid w:val="6E3A6808"/>
    <w:rsid w:val="6F717AB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ourier New" w:hAnsi="Courier New" w:eastAsia="Courier New" w:cs="Courier New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hAnsi="Courier New" w:eastAsia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en-US" w:eastAsia="en-US" w:bidi="en-US"/>
    </w:rPr>
  </w:style>
  <w:style w:type="character" w:default="1" w:styleId="3">
    <w:name w:val="Default Paragraph Font"/>
    <w:uiPriority w:val="0"/>
    <w:rPr>
      <w:rFonts w:ascii="Courier New" w:hAnsi="Courier New" w:eastAsia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en-US" w:eastAsia="en-US" w:bidi="en-US"/>
    </w:rPr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标题 #1_"/>
    <w:basedOn w:val="3"/>
    <w:link w:val="5"/>
    <w:uiPriority w:val="0"/>
    <w:rPr>
      <w:rFonts w:ascii="黑体" w:hAnsi="黑体" w:eastAsia="黑体" w:cs="黑体"/>
      <w:sz w:val="60"/>
      <w:szCs w:val="60"/>
      <w:u w:val="none"/>
      <w:lang w:val="zh-CN" w:eastAsia="zh-CN" w:bidi="zh-CN"/>
    </w:rPr>
  </w:style>
  <w:style w:type="paragraph" w:customStyle="1" w:styleId="5">
    <w:name w:val="标题 #1"/>
    <w:basedOn w:val="1"/>
    <w:link w:val="4"/>
    <w:uiPriority w:val="0"/>
    <w:pPr>
      <w:widowControl w:val="0"/>
      <w:shd w:val="clear" w:color="auto" w:fill="FFFFFF"/>
      <w:spacing w:after="660"/>
      <w:jc w:val="center"/>
      <w:outlineLvl w:val="0"/>
    </w:pPr>
    <w:rPr>
      <w:rFonts w:ascii="黑体" w:hAnsi="黑体" w:eastAsia="黑体" w:cs="黑体"/>
      <w:sz w:val="60"/>
      <w:szCs w:val="60"/>
      <w:u w:val="none"/>
      <w:lang w:val="zh-CN" w:eastAsia="zh-CN" w:bidi="zh-CN"/>
    </w:rPr>
  </w:style>
  <w:style w:type="character" w:customStyle="1" w:styleId="6">
    <w:name w:val="正文文本_"/>
    <w:basedOn w:val="3"/>
    <w:link w:val="7"/>
    <w:qFormat/>
    <w:uiPriority w:val="0"/>
    <w:rPr>
      <w:rFonts w:ascii="黑体" w:hAnsi="黑体" w:eastAsia="黑体" w:cs="黑体"/>
      <w:sz w:val="30"/>
      <w:szCs w:val="30"/>
      <w:u w:val="none"/>
      <w:lang w:val="zh-CN" w:eastAsia="zh-CN" w:bidi="zh-CN"/>
    </w:rPr>
  </w:style>
  <w:style w:type="paragraph" w:customStyle="1" w:styleId="7">
    <w:name w:val="正文文本1"/>
    <w:basedOn w:val="1"/>
    <w:link w:val="6"/>
    <w:uiPriority w:val="0"/>
    <w:pPr>
      <w:widowControl w:val="0"/>
      <w:shd w:val="clear" w:color="auto" w:fill="FFFFFF"/>
      <w:spacing w:after="500"/>
    </w:pPr>
    <w:rPr>
      <w:rFonts w:ascii="黑体" w:hAnsi="黑体" w:eastAsia="黑体" w:cs="黑体"/>
      <w:sz w:val="30"/>
      <w:szCs w:val="30"/>
      <w:u w:val="none"/>
      <w:lang w:val="zh-CN" w:eastAsia="zh-CN" w:bidi="zh-CN"/>
    </w:rPr>
  </w:style>
  <w:style w:type="character" w:customStyle="1" w:styleId="8">
    <w:name w:val="标题 #2_"/>
    <w:basedOn w:val="3"/>
    <w:link w:val="9"/>
    <w:qFormat/>
    <w:uiPriority w:val="0"/>
    <w:rPr>
      <w:rFonts w:ascii="黑体" w:hAnsi="黑体" w:eastAsia="黑体" w:cs="黑体"/>
      <w:color w:val="1163A1"/>
      <w:sz w:val="46"/>
      <w:szCs w:val="46"/>
      <w:u w:val="none"/>
      <w:lang w:val="zh-CN" w:eastAsia="zh-CN" w:bidi="zh-CN"/>
    </w:rPr>
  </w:style>
  <w:style w:type="paragraph" w:customStyle="1" w:styleId="9">
    <w:name w:val="标题 #2"/>
    <w:basedOn w:val="1"/>
    <w:link w:val="8"/>
    <w:uiPriority w:val="0"/>
    <w:pPr>
      <w:widowControl w:val="0"/>
      <w:shd w:val="clear" w:color="auto" w:fill="FFFFFF"/>
      <w:spacing w:after="800"/>
      <w:outlineLvl w:val="1"/>
    </w:pPr>
    <w:rPr>
      <w:rFonts w:ascii="黑体" w:hAnsi="黑体" w:eastAsia="黑体" w:cs="黑体"/>
      <w:color w:val="1163A1"/>
      <w:sz w:val="46"/>
      <w:szCs w:val="46"/>
      <w:u w:val="none"/>
      <w:lang w:val="zh-CN" w:eastAsia="zh-CN" w:bidi="zh-CN"/>
    </w:rPr>
  </w:style>
  <w:style w:type="character" w:customStyle="1" w:styleId="10">
    <w:name w:val="正文文本 (2)_"/>
    <w:basedOn w:val="3"/>
    <w:link w:val="11"/>
    <w:uiPriority w:val="0"/>
    <w:rPr>
      <w:rFonts w:ascii="Cambria" w:hAnsi="Cambria" w:eastAsia="Cambria" w:cs="Cambria"/>
      <w:sz w:val="36"/>
      <w:szCs w:val="36"/>
      <w:u w:val="none"/>
    </w:rPr>
  </w:style>
  <w:style w:type="paragraph" w:customStyle="1" w:styleId="11">
    <w:name w:val="正文文本 (2)"/>
    <w:basedOn w:val="1"/>
    <w:link w:val="10"/>
    <w:uiPriority w:val="0"/>
    <w:pPr>
      <w:widowControl w:val="0"/>
      <w:shd w:val="clear" w:color="auto" w:fill="FFFFFF"/>
    </w:pPr>
    <w:rPr>
      <w:rFonts w:ascii="Cambria" w:hAnsi="Cambria" w:eastAsia="Cambria" w:cs="Cambria"/>
      <w:sz w:val="36"/>
      <w:szCs w:val="36"/>
      <w:u w:val="none"/>
    </w:rPr>
  </w:style>
  <w:style w:type="character" w:customStyle="1" w:styleId="12">
    <w:name w:val="其他_"/>
    <w:basedOn w:val="3"/>
    <w:link w:val="13"/>
    <w:qFormat/>
    <w:uiPriority w:val="0"/>
    <w:rPr>
      <w:rFonts w:ascii="黑体" w:hAnsi="黑体" w:eastAsia="黑体" w:cs="黑体"/>
      <w:sz w:val="30"/>
      <w:szCs w:val="30"/>
      <w:u w:val="none"/>
      <w:lang w:val="zh-CN" w:eastAsia="zh-CN" w:bidi="zh-CN"/>
    </w:rPr>
  </w:style>
  <w:style w:type="paragraph" w:customStyle="1" w:styleId="13">
    <w:name w:val="其他"/>
    <w:basedOn w:val="1"/>
    <w:link w:val="12"/>
    <w:qFormat/>
    <w:uiPriority w:val="0"/>
    <w:pPr>
      <w:widowControl w:val="0"/>
      <w:shd w:val="clear" w:color="auto" w:fill="FFFFFF"/>
      <w:spacing w:after="500"/>
    </w:pPr>
    <w:rPr>
      <w:rFonts w:ascii="黑体" w:hAnsi="黑体" w:eastAsia="黑体" w:cs="黑体"/>
      <w:sz w:val="30"/>
      <w:szCs w:val="30"/>
      <w:u w:val="none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2.jpe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1194</Words>
  <Characters>1205</Characters>
  <TotalTime>0</TotalTime>
  <ScaleCrop>false</ScaleCrop>
  <LinksUpToDate>false</LinksUpToDate>
  <CharactersWithSpaces>1226</CharactersWithSpaces>
  <Application>WPS Office_12.1.0.19770_F1E327BC-269C-435d-A152-05C5408002CA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2025-01-05T10:40:00Z</dcterms:created>
  <dc:creator>Administrator</dc:creator>
  <cp:lastModifiedBy>申伶</cp:lastModifiedBy>
  <dcterms:modified xsi:type="dcterms:W3CDTF">2025-01-08T04:51:38Z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eyJoZGlkIjoiMjQwNTg1ZWFjZDNkOTc4ZmQ1MzA0Y2E0NjMwNDMyZmYiLCJ1c2VySWQiOiIyOTExMDIwMDIifQ==</vt:lpwstr>
  </property>
  <property fmtid="{D5CDD505-2E9C-101B-9397-08002B2CF9AE}" pid="3" name="KSOProductBuildVer">
    <vt:lpwstr>2052-12.1.0.19770</vt:lpwstr>
  </property>
  <property fmtid="{D5CDD505-2E9C-101B-9397-08002B2CF9AE}" pid="4" name="ICV">
    <vt:lpwstr>7B7A2E0160EE4E7C9F7E193CD0647DCB_12</vt:lpwstr>
  </property>
</Properties>
</file>