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F0AD0">
      <w:pPr>
        <w:adjustRightInd w:val="0"/>
        <w:jc w:val="center"/>
        <w:outlineLvl w:val="0"/>
        <w:rPr>
          <w:rFonts w:hint="eastAsia" w:ascii="仿宋_GB2312" w:hAnsi="宋体" w:eastAsia="仿宋_GB2312"/>
          <w:b/>
          <w:sz w:val="30"/>
          <w:szCs w:val="30"/>
          <w:lang w:eastAsia="zh-CN"/>
        </w:rPr>
      </w:pPr>
      <w:bookmarkStart w:id="0" w:name="_GoBack"/>
      <w:r>
        <w:rPr>
          <w:rFonts w:hint="eastAsia" w:ascii="仿宋_GB2312" w:hAnsi="宋体" w:eastAsia="仿宋_GB2312"/>
          <w:b/>
          <w:sz w:val="30"/>
          <w:szCs w:val="30"/>
          <w:lang w:eastAsia="zh-CN"/>
        </w:rPr>
        <w:drawing>
          <wp:inline distT="0" distB="0" distL="114300" distR="114300">
            <wp:extent cx="5400040" cy="2680970"/>
            <wp:effectExtent l="0" t="0" r="10160" b="127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5"/>
                    <a:stretch>
                      <a:fillRect/>
                    </a:stretch>
                  </pic:blipFill>
                  <pic:spPr>
                    <a:xfrm>
                      <a:off x="0" y="0"/>
                      <a:ext cx="5400040" cy="2680970"/>
                    </a:xfrm>
                    <a:prstGeom prst="rect">
                      <a:avLst/>
                    </a:prstGeom>
                  </pic:spPr>
                </pic:pic>
              </a:graphicData>
            </a:graphic>
          </wp:inline>
        </w:drawing>
      </w:r>
      <w:bookmarkEnd w:id="0"/>
    </w:p>
    <w:p w14:paraId="40DBCD66">
      <w:pPr>
        <w:adjustRightInd w:val="0"/>
        <w:jc w:val="center"/>
        <w:outlineLvl w:val="0"/>
        <w:rPr>
          <w:rFonts w:hint="eastAsia" w:ascii="仿宋_GB2312" w:hAnsi="宋体" w:eastAsia="仿宋_GB2312"/>
          <w:b/>
          <w:sz w:val="30"/>
          <w:szCs w:val="30"/>
        </w:rPr>
      </w:pPr>
    </w:p>
    <w:p w14:paraId="59307F78">
      <w:pPr>
        <w:adjustRightInd w:val="0"/>
        <w:jc w:val="center"/>
        <w:outlineLvl w:val="0"/>
        <w:rPr>
          <w:rFonts w:ascii="仿宋_GB2312" w:hAnsi="宋体" w:eastAsia="仿宋_GB2312"/>
          <w:b/>
          <w:sz w:val="30"/>
          <w:szCs w:val="30"/>
        </w:rPr>
      </w:pPr>
      <w:r>
        <w:rPr>
          <w:rFonts w:hint="eastAsia" w:ascii="仿宋_GB2312" w:hAnsi="宋体" w:eastAsia="仿宋_GB2312"/>
          <w:b/>
          <w:sz w:val="30"/>
          <w:szCs w:val="30"/>
        </w:rPr>
        <w:t>运维规范</w:t>
      </w:r>
    </w:p>
    <w:p w14:paraId="48825B14">
      <w:pPr>
        <w:numPr>
          <w:ilvl w:val="0"/>
          <w:numId w:val="1"/>
        </w:numPr>
        <w:adjustRightInd w:val="0"/>
        <w:jc w:val="center"/>
        <w:rPr>
          <w:rFonts w:ascii="仿宋_GB2312" w:hAnsi="宋体" w:eastAsia="仿宋_GB2312"/>
          <w:b/>
          <w:sz w:val="24"/>
          <w:szCs w:val="24"/>
        </w:rPr>
      </w:pPr>
      <w:r>
        <w:rPr>
          <w:rFonts w:hint="eastAsia" w:ascii="仿宋_GB2312" w:hAnsi="宋体" w:eastAsia="仿宋_GB2312"/>
          <w:b/>
          <w:sz w:val="24"/>
          <w:szCs w:val="24"/>
        </w:rPr>
        <w:t>总则</w:t>
      </w:r>
    </w:p>
    <w:p w14:paraId="14A5BDF6">
      <w:pPr>
        <w:numPr>
          <w:ilvl w:val="0"/>
          <w:numId w:val="2"/>
        </w:numPr>
        <w:adjustRightInd w:val="0"/>
        <w:rPr>
          <w:rFonts w:hint="eastAsia" w:ascii="仿宋_GB2312" w:hAnsi="宋体" w:eastAsia="仿宋_GB2312"/>
          <w:sz w:val="24"/>
          <w:szCs w:val="24"/>
        </w:rPr>
      </w:pPr>
      <w:r>
        <w:rPr>
          <w:rFonts w:hint="eastAsia" w:ascii="仿宋_GB2312" w:hAnsi="宋体" w:eastAsia="仿宋_GB2312"/>
          <w:sz w:val="24"/>
          <w:szCs w:val="24"/>
        </w:rPr>
        <w:t>为加强公司各个项目后期的系统运维管理，确保系统能够平稳、可靠地运</w:t>
      </w:r>
      <w:r>
        <w:rPr>
          <w:rFonts w:hint="eastAsia" w:ascii="仿宋" w:hAnsi="仿宋" w:eastAsia="仿宋"/>
          <w:sz w:val="24"/>
          <w:szCs w:val="24"/>
        </w:rPr>
        <w:t>行，更好地为客户提供管理服务，特制定本规定。</w:t>
      </w:r>
    </w:p>
    <w:p w14:paraId="40B0A0C6">
      <w:pPr>
        <w:numPr>
          <w:ilvl w:val="0"/>
          <w:numId w:val="2"/>
        </w:numPr>
        <w:adjustRightInd w:val="0"/>
        <w:rPr>
          <w:rFonts w:ascii="仿宋_GB2312" w:hAnsi="宋体" w:eastAsia="仿宋_GB2312"/>
          <w:sz w:val="24"/>
          <w:szCs w:val="24"/>
        </w:rPr>
      </w:pPr>
      <w:r>
        <w:rPr>
          <w:rFonts w:hint="eastAsia" w:ascii="仿宋_GB2312" w:hAnsi="宋体" w:eastAsia="仿宋_GB2312"/>
          <w:sz w:val="24"/>
          <w:szCs w:val="24"/>
        </w:rPr>
        <w:t>本规定适用所有进入运维环节的项目。</w:t>
      </w:r>
    </w:p>
    <w:p w14:paraId="205E12E1">
      <w:pPr>
        <w:numPr>
          <w:ilvl w:val="0"/>
          <w:numId w:val="2"/>
        </w:numPr>
        <w:adjustRightInd w:val="0"/>
        <w:rPr>
          <w:rFonts w:ascii="仿宋_GB2312" w:hAnsi="宋体" w:eastAsia="仿宋_GB2312"/>
          <w:sz w:val="24"/>
          <w:szCs w:val="24"/>
        </w:rPr>
      </w:pPr>
      <w:r>
        <w:rPr>
          <w:rFonts w:hint="eastAsia" w:ascii="仿宋_GB2312" w:hAnsi="宋体" w:eastAsia="仿宋_GB2312"/>
          <w:sz w:val="24"/>
          <w:szCs w:val="24"/>
        </w:rPr>
        <w:t>运维人员应根据授权，处理本规定中所涉及的业务事项。</w:t>
      </w:r>
    </w:p>
    <w:p w14:paraId="5B5B3D30">
      <w:pPr>
        <w:adjustRightInd w:val="0"/>
        <w:ind w:firstLine="576"/>
        <w:rPr>
          <w:rFonts w:ascii="仿宋_GB2312" w:hAnsi="宋体" w:eastAsia="仿宋_GB2312"/>
          <w:sz w:val="24"/>
          <w:szCs w:val="24"/>
        </w:rPr>
      </w:pPr>
    </w:p>
    <w:p w14:paraId="65D4CF23">
      <w:pPr>
        <w:numPr>
          <w:ilvl w:val="0"/>
          <w:numId w:val="1"/>
        </w:numPr>
        <w:adjustRightInd w:val="0"/>
        <w:jc w:val="center"/>
        <w:rPr>
          <w:rFonts w:ascii="仿宋_GB2312" w:hAnsi="宋体" w:eastAsia="仿宋_GB2312"/>
          <w:b/>
          <w:sz w:val="24"/>
          <w:szCs w:val="24"/>
        </w:rPr>
      </w:pPr>
      <w:r>
        <w:rPr>
          <w:rFonts w:hint="eastAsia" w:ascii="仿宋_GB2312" w:hAnsi="宋体" w:eastAsia="仿宋_GB2312"/>
          <w:b/>
          <w:sz w:val="24"/>
          <w:szCs w:val="24"/>
        </w:rPr>
        <w:t>主机、服务器及数据库系统的运维管理</w:t>
      </w:r>
    </w:p>
    <w:p w14:paraId="4A75B1D9">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根据应用需求，主机、服务器及数据库系统的配备和安装、以及系统资源的使用等由公司项目实施部统一规划。</w:t>
      </w:r>
    </w:p>
    <w:p w14:paraId="3F47280A">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应指定专人作为系统管理员（系统工程师）和数据库管理员，对系统的运行、管理、维护和安全负责，并按照有关规定负责系统和数据的备份与恢复。</w:t>
      </w:r>
    </w:p>
    <w:p w14:paraId="6A0820FF">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系统/数据库管理员应定时对系统进行监控和定期的健康性检查，分析系统运行和资源使用状况，并进行必要的优化、调整和修正，及时消除隐患。如系统设置发生变化，或重新安装系统，或安装了新软件，应在此后15个工作日内对系统进行密切跟踪。</w:t>
      </w:r>
    </w:p>
    <w:p w14:paraId="317F21B8">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及时解决处理系统运行过程中出现的异常问题和软硬件故障，并采取必要措施，最大限度地保护好系统资源和数据资源。</w:t>
      </w:r>
    </w:p>
    <w:p w14:paraId="2B66AECD">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对于重大软硬件系统故障，应立即通知部门领导，协调服务商，使系统尽快得以恢复运行；对于应用系统引发的系统异常或故障，应及时通知相关人员，并协同解决处理。</w:t>
      </w:r>
    </w:p>
    <w:p w14:paraId="04D61A62">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每季度应对系统主机/服务器/数据库进行一次停运维护，其操作必须严格按照操作规程进行。其他非正常性停运（故障引发的除外），应提出书面申请，并经部门领导批准后方可进行。同时做好相应的准备工作，最大限度地减少对业务操作带来的影响。</w:t>
      </w:r>
    </w:p>
    <w:p w14:paraId="6F903B1D">
      <w:pPr>
        <w:numPr>
          <w:ilvl w:val="0"/>
          <w:numId w:val="3"/>
        </w:numPr>
        <w:adjustRightInd w:val="0"/>
        <w:rPr>
          <w:rFonts w:ascii="仿宋_GB2312" w:hAnsi="宋体" w:eastAsia="仿宋_GB2312"/>
          <w:sz w:val="24"/>
          <w:szCs w:val="24"/>
        </w:rPr>
      </w:pPr>
      <w:r>
        <w:rPr>
          <w:rFonts w:hint="eastAsia" w:ascii="仿宋_GB2312" w:hAnsi="宋体" w:eastAsia="仿宋_GB2312"/>
          <w:sz w:val="24"/>
          <w:szCs w:val="24"/>
        </w:rPr>
        <w:t>具有系统操作或管理权限的人员调离工作岗位或离职，应立即从系统中删除该用户；如该人员掌握超级用户口令，应立即更换口令。</w:t>
      </w:r>
    </w:p>
    <w:p w14:paraId="2543834A">
      <w:pPr>
        <w:adjustRightInd w:val="0"/>
        <w:ind w:firstLine="552"/>
        <w:rPr>
          <w:rFonts w:ascii="仿宋_GB2312" w:hAnsi="宋体" w:eastAsia="仿宋_GB2312"/>
          <w:sz w:val="24"/>
          <w:szCs w:val="24"/>
        </w:rPr>
      </w:pPr>
    </w:p>
    <w:p w14:paraId="281AE2C0">
      <w:pPr>
        <w:numPr>
          <w:ilvl w:val="0"/>
          <w:numId w:val="1"/>
        </w:numPr>
        <w:adjustRightInd w:val="0"/>
        <w:jc w:val="center"/>
        <w:rPr>
          <w:rFonts w:ascii="仿宋_GB2312" w:hAnsi="宋体" w:eastAsia="仿宋_GB2312"/>
          <w:b/>
          <w:sz w:val="24"/>
          <w:szCs w:val="24"/>
        </w:rPr>
      </w:pPr>
      <w:r>
        <w:rPr>
          <w:rFonts w:hint="eastAsia" w:ascii="仿宋_GB2312" w:hAnsi="宋体" w:eastAsia="仿宋_GB2312"/>
          <w:b/>
          <w:sz w:val="24"/>
          <w:szCs w:val="24"/>
        </w:rPr>
        <w:t>软件系统的运维管理</w:t>
      </w:r>
    </w:p>
    <w:p w14:paraId="20813876">
      <w:pPr>
        <w:numPr>
          <w:ilvl w:val="0"/>
          <w:numId w:val="4"/>
        </w:numPr>
        <w:adjustRightInd w:val="0"/>
        <w:rPr>
          <w:rFonts w:ascii="仿宋_GB2312" w:hAnsi="宋体" w:eastAsia="仿宋_GB2312"/>
          <w:sz w:val="24"/>
          <w:szCs w:val="24"/>
        </w:rPr>
      </w:pPr>
      <w:r>
        <w:rPr>
          <w:rFonts w:hint="eastAsia" w:ascii="仿宋_GB2312" w:hAnsi="宋体" w:eastAsia="仿宋_GB2312"/>
          <w:sz w:val="24"/>
          <w:szCs w:val="24"/>
        </w:rPr>
        <w:t>避免在用户工作时间进行</w:t>
      </w:r>
      <w:r>
        <w:rPr>
          <w:rFonts w:ascii="仿宋_GB2312" w:hAnsi="宋体" w:eastAsia="仿宋_GB2312"/>
          <w:sz w:val="24"/>
          <w:szCs w:val="24"/>
        </w:rPr>
        <w:t>软件版本升级</w:t>
      </w:r>
      <w:r>
        <w:rPr>
          <w:rFonts w:hint="eastAsia" w:ascii="仿宋_GB2312" w:hAnsi="宋体" w:eastAsia="仿宋_GB2312"/>
          <w:sz w:val="24"/>
          <w:szCs w:val="24"/>
        </w:rPr>
        <w:t>工作，以免由于</w:t>
      </w:r>
      <w:r>
        <w:rPr>
          <w:rFonts w:ascii="仿宋_GB2312" w:hAnsi="宋体" w:eastAsia="仿宋_GB2312"/>
          <w:sz w:val="24"/>
          <w:szCs w:val="24"/>
        </w:rPr>
        <w:t>人为失误造成业务中断</w:t>
      </w:r>
      <w:r>
        <w:rPr>
          <w:rFonts w:hint="eastAsia" w:ascii="仿宋_GB2312" w:hAnsi="宋体" w:eastAsia="仿宋_GB2312"/>
          <w:sz w:val="24"/>
          <w:szCs w:val="24"/>
        </w:rPr>
        <w:t>。</w:t>
      </w:r>
    </w:p>
    <w:p w14:paraId="1B5D09BF">
      <w:pPr>
        <w:numPr>
          <w:ilvl w:val="0"/>
          <w:numId w:val="4"/>
        </w:numPr>
        <w:adjustRightInd w:val="0"/>
        <w:rPr>
          <w:rFonts w:ascii="仿宋_GB2312" w:hAnsi="宋体" w:eastAsia="仿宋_GB2312"/>
          <w:sz w:val="24"/>
          <w:szCs w:val="24"/>
        </w:rPr>
      </w:pPr>
      <w:r>
        <w:rPr>
          <w:rFonts w:hint="eastAsia" w:ascii="仿宋_GB2312" w:hAnsi="宋体" w:eastAsia="仿宋_GB2312"/>
          <w:sz w:val="24"/>
          <w:szCs w:val="24"/>
        </w:rPr>
        <w:t>软件系统的安装、升级等操作应保留完整的实施记录。</w:t>
      </w:r>
    </w:p>
    <w:p w14:paraId="0F3C936A">
      <w:pPr>
        <w:numPr>
          <w:ilvl w:val="0"/>
          <w:numId w:val="4"/>
        </w:numPr>
        <w:adjustRightInd w:val="0"/>
        <w:rPr>
          <w:rFonts w:ascii="仿宋_GB2312" w:hAnsi="宋体" w:eastAsia="仿宋_GB2312"/>
          <w:sz w:val="24"/>
          <w:szCs w:val="24"/>
          <w:highlight w:val="yellow"/>
        </w:rPr>
      </w:pPr>
      <w:r>
        <w:rPr>
          <w:rFonts w:hint="eastAsia" w:ascii="仿宋_GB2312" w:hAnsi="宋体" w:eastAsia="仿宋_GB2312"/>
          <w:sz w:val="24"/>
          <w:szCs w:val="24"/>
          <w:highlight w:val="yellow"/>
        </w:rPr>
        <w:t>对软件系统进行升级、更新补丁，应首先进行相关的测试，并在确认无误后实施。</w:t>
      </w:r>
    </w:p>
    <w:p w14:paraId="13F44792">
      <w:pPr>
        <w:numPr>
          <w:ilvl w:val="0"/>
          <w:numId w:val="4"/>
        </w:numPr>
        <w:adjustRightInd w:val="0"/>
        <w:rPr>
          <w:rFonts w:ascii="仿宋_GB2312" w:hAnsi="宋体" w:eastAsia="仿宋_GB2312"/>
          <w:sz w:val="24"/>
          <w:szCs w:val="24"/>
          <w:highlight w:val="yellow"/>
        </w:rPr>
      </w:pPr>
      <w:r>
        <w:rPr>
          <w:rFonts w:hint="eastAsia" w:ascii="仿宋_GB2312" w:hAnsi="宋体" w:eastAsia="仿宋_GB2312"/>
          <w:sz w:val="24"/>
          <w:szCs w:val="24"/>
          <w:highlight w:val="yellow"/>
        </w:rPr>
        <w:t>对软件系统进行升级、更新补丁，或进行系统的重新安装等操作，应在实施前对原有系统及数据进行备份。</w:t>
      </w:r>
    </w:p>
    <w:p w14:paraId="50F6BDCE">
      <w:pPr>
        <w:numPr>
          <w:ilvl w:val="0"/>
          <w:numId w:val="4"/>
        </w:numPr>
        <w:adjustRightInd w:val="0"/>
        <w:rPr>
          <w:rFonts w:ascii="仿宋_GB2312" w:hAnsi="宋体" w:eastAsia="仿宋_GB2312"/>
          <w:color w:val="FF0000"/>
          <w:sz w:val="24"/>
          <w:szCs w:val="24"/>
        </w:rPr>
      </w:pPr>
      <w:r>
        <w:rPr>
          <w:rFonts w:hint="eastAsia" w:ascii="仿宋_GB2312" w:hAnsi="宋体" w:eastAsia="仿宋_GB2312"/>
          <w:color w:val="FF0000"/>
          <w:sz w:val="24"/>
          <w:szCs w:val="24"/>
        </w:rPr>
        <w:t>变更系统配置，修改配置文件、参数文件时，应对原始配置数据（或文件）进行保留。</w:t>
      </w:r>
    </w:p>
    <w:p w14:paraId="4289273C">
      <w:pPr>
        <w:numPr>
          <w:ilvl w:val="0"/>
          <w:numId w:val="4"/>
        </w:numPr>
        <w:adjustRightInd w:val="0"/>
        <w:rPr>
          <w:rFonts w:ascii="宋体" w:hAnsi="宋体" w:cs="宋体"/>
          <w:kern w:val="0"/>
          <w:sz w:val="24"/>
          <w:szCs w:val="24"/>
        </w:rPr>
      </w:pPr>
      <w:r>
        <w:rPr>
          <w:rFonts w:ascii="仿宋_GB2312" w:hAnsi="宋体" w:eastAsia="仿宋_GB2312"/>
          <w:sz w:val="24"/>
          <w:szCs w:val="24"/>
        </w:rPr>
        <w:t>软件进行版本升级时，对于不影响业务的升级工作，须以书面形式详细将计划、方案、措施等报上级主管部门备案；对于影响业务的升级工作，必须提前两周向上级通信主管部门以书面形式提出申请详细报告计划、方案、措施等，经批准后方可实施。</w:t>
      </w:r>
    </w:p>
    <w:p w14:paraId="0A148B93">
      <w:pPr>
        <w:numPr>
          <w:ilvl w:val="0"/>
          <w:numId w:val="4"/>
        </w:numPr>
        <w:adjustRightInd w:val="0"/>
        <w:rPr>
          <w:rFonts w:ascii="宋体" w:hAnsi="宋体" w:cs="宋体"/>
          <w:kern w:val="0"/>
          <w:sz w:val="24"/>
          <w:szCs w:val="24"/>
        </w:rPr>
      </w:pPr>
      <w:r>
        <w:rPr>
          <w:rFonts w:ascii="仿宋_GB2312" w:hAnsi="宋体" w:eastAsia="仿宋_GB2312"/>
          <w:sz w:val="24"/>
          <w:szCs w:val="24"/>
          <w:highlight w:val="yellow"/>
        </w:rPr>
        <w:t>维护人员应定期跟踪所使用系统的软件升级情况和升级后的新功能，必要时提出升级建议。</w:t>
      </w:r>
      <w:r>
        <w:rPr>
          <w:rFonts w:ascii="仿宋_GB2312" w:hAnsi="宋体" w:eastAsia="仿宋_GB2312"/>
          <w:sz w:val="24"/>
          <w:szCs w:val="24"/>
        </w:rPr>
        <w:t> </w:t>
      </w:r>
      <w:r>
        <w:rPr>
          <w:rFonts w:ascii="仿宋_GB2312" w:hAnsi="宋体" w:eastAsia="仿宋_GB2312"/>
          <w:sz w:val="24"/>
          <w:szCs w:val="24"/>
        </w:rPr>
        <w:br w:type="textWrapping"/>
      </w:r>
    </w:p>
    <w:p w14:paraId="29005C4F">
      <w:pPr>
        <w:numPr>
          <w:ilvl w:val="0"/>
          <w:numId w:val="1"/>
        </w:numPr>
        <w:adjustRightInd w:val="0"/>
        <w:jc w:val="center"/>
        <w:rPr>
          <w:rFonts w:ascii="仿宋_GB2312" w:hAnsi="宋体" w:eastAsia="仿宋_GB2312"/>
          <w:b/>
          <w:sz w:val="24"/>
          <w:szCs w:val="24"/>
        </w:rPr>
      </w:pPr>
      <w:r>
        <w:rPr>
          <w:rFonts w:hint="eastAsia" w:ascii="仿宋_GB2312" w:hAnsi="宋体" w:eastAsia="仿宋_GB2312"/>
          <w:b/>
          <w:sz w:val="24"/>
          <w:szCs w:val="24"/>
        </w:rPr>
        <w:t>数据库的运维管理</w:t>
      </w:r>
    </w:p>
    <w:p w14:paraId="42488E3E">
      <w:pPr>
        <w:numPr>
          <w:ilvl w:val="0"/>
          <w:numId w:val="5"/>
        </w:numPr>
        <w:adjustRightInd w:val="0"/>
        <w:rPr>
          <w:rFonts w:ascii="仿宋_GB2312" w:hAnsi="宋体" w:eastAsia="仿宋_GB2312"/>
          <w:sz w:val="24"/>
          <w:szCs w:val="24"/>
        </w:rPr>
      </w:pPr>
      <w:r>
        <w:rPr>
          <w:rFonts w:hint="eastAsia" w:ascii="仿宋_GB2312" w:hAnsi="宋体" w:eastAsia="仿宋_GB2312"/>
          <w:sz w:val="24"/>
          <w:szCs w:val="24"/>
        </w:rPr>
        <w:t>对于数据库的变更必须有记录，可以回滚。</w:t>
      </w:r>
    </w:p>
    <w:p w14:paraId="2E8151B4">
      <w:pPr>
        <w:numPr>
          <w:ilvl w:val="0"/>
          <w:numId w:val="5"/>
        </w:numPr>
        <w:adjustRightInd w:val="0"/>
        <w:rPr>
          <w:rFonts w:ascii="仿宋_GB2312" w:hAnsi="宋体" w:eastAsia="仿宋_GB2312"/>
          <w:sz w:val="24"/>
          <w:szCs w:val="24"/>
        </w:rPr>
      </w:pPr>
      <w:r>
        <w:rPr>
          <w:rFonts w:hint="eastAsia" w:ascii="仿宋_GB2312" w:hAnsi="宋体" w:eastAsia="仿宋_GB2312"/>
          <w:sz w:val="24"/>
          <w:szCs w:val="24"/>
        </w:rPr>
        <w:t>无用表和字段要及时清理。</w:t>
      </w:r>
    </w:p>
    <w:p w14:paraId="77D76EB0">
      <w:pPr>
        <w:numPr>
          <w:ilvl w:val="0"/>
          <w:numId w:val="5"/>
        </w:numPr>
        <w:adjustRightInd w:val="0"/>
        <w:rPr>
          <w:rFonts w:ascii="仿宋_GB2312" w:hAnsi="宋体" w:eastAsia="仿宋_GB2312"/>
          <w:sz w:val="24"/>
          <w:szCs w:val="24"/>
        </w:rPr>
      </w:pPr>
      <w:r>
        <w:rPr>
          <w:rFonts w:hint="eastAsia" w:ascii="仿宋_GB2312" w:hAnsi="宋体" w:eastAsia="仿宋_GB2312"/>
          <w:sz w:val="24"/>
          <w:szCs w:val="24"/>
        </w:rPr>
        <w:t>从数据库删除数据一定要先备份再删除。</w:t>
      </w:r>
    </w:p>
    <w:p w14:paraId="4B942EE7">
      <w:pPr>
        <w:numPr>
          <w:ilvl w:val="0"/>
          <w:numId w:val="5"/>
        </w:numPr>
        <w:adjustRightInd w:val="0"/>
        <w:rPr>
          <w:rFonts w:ascii="仿宋_GB2312" w:hAnsi="宋体" w:eastAsia="仿宋_GB2312"/>
          <w:sz w:val="24"/>
          <w:szCs w:val="24"/>
        </w:rPr>
      </w:pPr>
      <w:r>
        <w:rPr>
          <w:rFonts w:hint="eastAsia" w:ascii="仿宋_GB2312" w:hAnsi="宋体" w:eastAsia="仿宋_GB2312"/>
          <w:sz w:val="24"/>
          <w:szCs w:val="24"/>
        </w:rPr>
        <w:t>定期对数据库数据进行自动备份，</w:t>
      </w:r>
      <w:r>
        <w:rPr>
          <w:rFonts w:ascii="仿宋_GB2312" w:hAnsi="宋体" w:eastAsia="仿宋_GB2312"/>
          <w:sz w:val="24"/>
          <w:szCs w:val="24"/>
        </w:rPr>
        <w:t>以便在故障发生后尽快恢复最新的数据。</w:t>
      </w:r>
      <w:r>
        <w:rPr>
          <w:rFonts w:hint="eastAsia" w:ascii="仿宋_GB2312" w:hAnsi="宋体" w:eastAsia="仿宋_GB2312"/>
          <w:sz w:val="24"/>
          <w:szCs w:val="24"/>
        </w:rPr>
        <w:t>定期检查备份的执行情况，确保备份操作正确执行。</w:t>
      </w:r>
    </w:p>
    <w:p w14:paraId="6E8F7684">
      <w:pPr>
        <w:numPr>
          <w:ilvl w:val="0"/>
          <w:numId w:val="5"/>
        </w:numPr>
        <w:adjustRightInd w:val="0"/>
        <w:rPr>
          <w:rFonts w:hint="eastAsia" w:ascii="仿宋_GB2312" w:hAnsi="宋体" w:eastAsia="仿宋_GB2312"/>
          <w:sz w:val="24"/>
          <w:szCs w:val="24"/>
        </w:rPr>
      </w:pPr>
      <w:r>
        <w:rPr>
          <w:rFonts w:hint="eastAsia" w:ascii="仿宋_GB2312" w:hAnsi="宋体" w:eastAsia="仿宋_GB2312"/>
          <w:sz w:val="24"/>
          <w:szCs w:val="24"/>
        </w:rPr>
        <w:t>指定专人定期进行备份数据的恢复性试验。</w:t>
      </w:r>
    </w:p>
    <w:p w14:paraId="4708B861">
      <w:pPr>
        <w:numPr>
          <w:ilvl w:val="0"/>
          <w:numId w:val="5"/>
        </w:numPr>
        <w:adjustRightInd w:val="0"/>
        <w:rPr>
          <w:rFonts w:hint="eastAsia" w:ascii="仿宋_GB2312" w:hAnsi="宋体" w:eastAsia="仿宋_GB2312"/>
          <w:sz w:val="24"/>
          <w:szCs w:val="24"/>
        </w:rPr>
      </w:pPr>
    </w:p>
    <w:p w14:paraId="7D022480">
      <w:pPr>
        <w:adjustRightInd w:val="0"/>
        <w:ind w:left="315" w:hanging="315" w:hangingChars="150"/>
        <w:rPr>
          <w:rFonts w:hint="eastAsia"/>
          <w:color w:val="FF0000"/>
        </w:rPr>
      </w:pPr>
      <w:r>
        <w:rPr>
          <w:rFonts w:hint="eastAsia"/>
          <w:color w:val="FF0000"/>
        </w:rPr>
        <w:t>1、严格操作原则：在系统上进行可能影响系统运行的参数设置、更改和维护等操作时，须有2人以上在场进行监护和确认，并作好详细的操作记录；</w:t>
      </w:r>
    </w:p>
    <w:p w14:paraId="5FE21796">
      <w:pPr>
        <w:adjustRightInd w:val="0"/>
        <w:ind w:left="315" w:hanging="315" w:hangingChars="150"/>
        <w:rPr>
          <w:rFonts w:hint="eastAsia"/>
          <w:color w:val="FF0000"/>
        </w:rPr>
      </w:pPr>
      <w:r>
        <w:rPr>
          <w:rFonts w:hint="eastAsia"/>
          <w:color w:val="FF0000"/>
        </w:rPr>
        <w:t>2、提前沟通确认原则：软件进行版本升级时，对于不影响业务的升级工作，必须提前与客户方进行沟通，避免操作中人为失误造成业务中断；对于影响业务的升级工作，须提前与客户方进行确认，达成一致后方可实施。</w:t>
      </w:r>
    </w:p>
    <w:p w14:paraId="589D67EC">
      <w:pPr>
        <w:adjustRightInd w:val="0"/>
        <w:ind w:left="315" w:hanging="315" w:hangingChars="150"/>
        <w:rPr>
          <w:rFonts w:hint="eastAsia" w:ascii="仿宋_GB2312" w:hAnsi="宋体" w:eastAsia="仿宋_GB2312"/>
          <w:b/>
          <w:sz w:val="24"/>
          <w:szCs w:val="24"/>
        </w:rPr>
      </w:pPr>
      <w:r>
        <w:rPr>
          <w:rFonts w:hint="eastAsia"/>
          <w:color w:val="FF0000"/>
        </w:rPr>
        <w:t>3、遵守保密原则：对被运维系统单位的网络、主机、系统软件、应用软件等的密码、核心参数、业务数据等负有保密责任，不得随意复制和传播。</w:t>
      </w:r>
    </w:p>
    <w:p w14:paraId="5EE4F792">
      <w:pPr>
        <w:numPr>
          <w:ilvl w:val="0"/>
          <w:numId w:val="1"/>
        </w:numPr>
        <w:adjustRightInd w:val="0"/>
        <w:jc w:val="center"/>
        <w:rPr>
          <w:rFonts w:ascii="仿宋_GB2312" w:hAnsi="宋体" w:eastAsia="仿宋_GB2312"/>
          <w:b/>
          <w:sz w:val="24"/>
          <w:szCs w:val="24"/>
        </w:rPr>
      </w:pPr>
      <w:r>
        <w:rPr>
          <w:rFonts w:hint="eastAsia" w:ascii="仿宋_GB2312" w:hAnsi="宋体" w:eastAsia="仿宋_GB2312"/>
          <w:b/>
          <w:sz w:val="24"/>
          <w:szCs w:val="24"/>
        </w:rPr>
        <w:t>相关流程</w:t>
      </w:r>
    </w:p>
    <w:p w14:paraId="4FAF5678">
      <w:pPr>
        <w:adjustRightInd w:val="0"/>
        <w:rPr>
          <w:rFonts w:ascii="仿宋_GB2312" w:hAnsi="宋体" w:eastAsia="仿宋_GB2312"/>
          <w:sz w:val="24"/>
          <w:szCs w:val="24"/>
        </w:rPr>
      </w:pPr>
      <w:r>
        <w:rPr>
          <w:rFonts w:ascii="仿宋_GB2312" w:hAnsi="宋体" w:eastAsia="仿宋_GB2312"/>
          <w:sz w:val="24"/>
          <w:szCs w:val="24"/>
        </w:rPr>
        <w:drawing>
          <wp:inline distT="0" distB="0" distL="0" distR="0">
            <wp:extent cx="5401945" cy="3181350"/>
            <wp:effectExtent l="19050" t="0" r="825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6"/>
                    <a:srcRect/>
                    <a:stretch>
                      <a:fillRect/>
                    </a:stretch>
                  </pic:blipFill>
                  <pic:spPr>
                    <a:xfrm>
                      <a:off x="0" y="0"/>
                      <a:ext cx="5401945" cy="3181350"/>
                    </a:xfrm>
                    <a:prstGeom prst="rect">
                      <a:avLst/>
                    </a:prstGeom>
                    <a:noFill/>
                    <a:ln w="9525">
                      <a:noFill/>
                      <a:miter lim="800000"/>
                      <a:headEnd/>
                      <a:tailEnd/>
                    </a:ln>
                  </pic:spPr>
                </pic:pic>
              </a:graphicData>
            </a:graphic>
          </wp:inline>
        </w:drawing>
      </w:r>
    </w:p>
    <w:p w14:paraId="5C6F9F29">
      <w:pPr>
        <w:adjustRightInd w:val="0"/>
        <w:rPr>
          <w:rFonts w:ascii="仿宋_GB2312" w:hAnsi="宋体" w:eastAsia="仿宋_GB2312" w:cs="Fang Song"/>
          <w:kern w:val="0"/>
          <w:sz w:val="24"/>
        </w:rPr>
      </w:pPr>
      <w:r>
        <w:rPr>
          <w:rFonts w:ascii="仿宋_GB2312" w:hAnsi="宋体" w:eastAsia="仿宋_GB2312"/>
          <w:sz w:val="24"/>
          <w:szCs w:val="24"/>
        </w:rPr>
        <w:drawing>
          <wp:inline distT="0" distB="0" distL="0" distR="0">
            <wp:extent cx="5394325" cy="291211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7"/>
                    <a:srcRect/>
                    <a:stretch>
                      <a:fillRect/>
                    </a:stretch>
                  </pic:blipFill>
                  <pic:spPr>
                    <a:xfrm>
                      <a:off x="0" y="0"/>
                      <a:ext cx="5394325" cy="2912110"/>
                    </a:xfrm>
                    <a:prstGeom prst="rect">
                      <a:avLst/>
                    </a:prstGeom>
                    <a:noFill/>
                    <a:ln w="9525">
                      <a:noFill/>
                      <a:miter lim="800000"/>
                      <a:headEnd/>
                      <a:tailEnd/>
                    </a:ln>
                  </pic:spPr>
                </pic:pic>
              </a:graphicData>
            </a:graphic>
          </wp:inline>
        </w:drawing>
      </w:r>
    </w:p>
    <w:sectPr>
      <w:footerReference r:id="rId3" w:type="even"/>
      <w:pgSz w:w="11906" w:h="16838"/>
      <w:pgMar w:top="1701" w:right="1701" w:bottom="1701" w:left="1701" w:header="851" w:footer="992" w:gutter="0"/>
      <w:pgNumType w:start="13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Fang Song">
    <w:altName w:val="黑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3FA3F">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14:paraId="35079C60">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8E589C"/>
    <w:multiLevelType w:val="multilevel"/>
    <w:tmpl w:val="138E589C"/>
    <w:lvl w:ilvl="0" w:tentative="0">
      <w:start w:val="1"/>
      <w:numFmt w:val="japaneseCounting"/>
      <w:lvlText w:val="第%1章"/>
      <w:lvlJc w:val="left"/>
      <w:pPr>
        <w:tabs>
          <w:tab w:val="left" w:pos="1505"/>
        </w:tabs>
        <w:ind w:left="1505" w:hanging="1080"/>
      </w:pPr>
      <w:rPr>
        <w:rFonts w:hint="default"/>
      </w:r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1">
    <w:nsid w:val="190046D1"/>
    <w:multiLevelType w:val="multilevel"/>
    <w:tmpl w:val="190046D1"/>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BF1030F"/>
    <w:multiLevelType w:val="multilevel"/>
    <w:tmpl w:val="2BF1030F"/>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F24127"/>
    <w:multiLevelType w:val="multilevel"/>
    <w:tmpl w:val="2EF24127"/>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FBE5F6D"/>
    <w:multiLevelType w:val="multilevel"/>
    <w:tmpl w:val="7FBE5F6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2"/>
  </w:compat>
  <w:rsids>
    <w:rsidRoot w:val="0004223C"/>
    <w:rsid w:val="00034804"/>
    <w:rsid w:val="0004223C"/>
    <w:rsid w:val="00055664"/>
    <w:rsid w:val="000860C9"/>
    <w:rsid w:val="000A22DD"/>
    <w:rsid w:val="000B28AD"/>
    <w:rsid w:val="000F371D"/>
    <w:rsid w:val="001475F5"/>
    <w:rsid w:val="00151308"/>
    <w:rsid w:val="00162D35"/>
    <w:rsid w:val="0019278D"/>
    <w:rsid w:val="001B7A93"/>
    <w:rsid w:val="001C20E0"/>
    <w:rsid w:val="00256969"/>
    <w:rsid w:val="0026590D"/>
    <w:rsid w:val="002A60F5"/>
    <w:rsid w:val="002D1C1A"/>
    <w:rsid w:val="00383A2F"/>
    <w:rsid w:val="003971CD"/>
    <w:rsid w:val="003E6B8B"/>
    <w:rsid w:val="00403394"/>
    <w:rsid w:val="004B64CD"/>
    <w:rsid w:val="004C75FA"/>
    <w:rsid w:val="00500236"/>
    <w:rsid w:val="0053257D"/>
    <w:rsid w:val="005D6EED"/>
    <w:rsid w:val="006A5149"/>
    <w:rsid w:val="00726879"/>
    <w:rsid w:val="00783838"/>
    <w:rsid w:val="007902E9"/>
    <w:rsid w:val="007A6299"/>
    <w:rsid w:val="007B1F22"/>
    <w:rsid w:val="00843DE9"/>
    <w:rsid w:val="008C51FB"/>
    <w:rsid w:val="008D1D49"/>
    <w:rsid w:val="008D2E4D"/>
    <w:rsid w:val="009470FA"/>
    <w:rsid w:val="00971872"/>
    <w:rsid w:val="00A429FD"/>
    <w:rsid w:val="00A608FD"/>
    <w:rsid w:val="00A67326"/>
    <w:rsid w:val="00AA43AC"/>
    <w:rsid w:val="00AD1988"/>
    <w:rsid w:val="00B757BE"/>
    <w:rsid w:val="00BB0A1C"/>
    <w:rsid w:val="00BD66A2"/>
    <w:rsid w:val="00C01754"/>
    <w:rsid w:val="00C16E78"/>
    <w:rsid w:val="00C422DF"/>
    <w:rsid w:val="00C504A1"/>
    <w:rsid w:val="00C7040F"/>
    <w:rsid w:val="00C76F52"/>
    <w:rsid w:val="00E61294"/>
    <w:rsid w:val="00EA306B"/>
    <w:rsid w:val="00F56D76"/>
    <w:rsid w:val="00F71E0D"/>
    <w:rsid w:val="00FE2B66"/>
    <w:rsid w:val="173004ED"/>
    <w:rsid w:val="3DBA0457"/>
    <w:rsid w:val="487747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rPr>
  </w:style>
  <w:style w:type="paragraph" w:styleId="6">
    <w:name w:val="Body Text Indent 3"/>
    <w:basedOn w:val="1"/>
    <w:qFormat/>
    <w:uiPriority w:val="0"/>
    <w:pPr>
      <w:adjustRightInd w:val="0"/>
      <w:snapToGrid w:val="0"/>
      <w:spacing w:line="360" w:lineRule="auto"/>
      <w:ind w:firstLine="573"/>
      <w:textAlignment w:val="baseline"/>
    </w:pPr>
    <w:rPr>
      <w:rFonts w:ascii="仿宋_GB2312" w:hAnsi="宋体" w:eastAsia="仿宋_GB2312"/>
      <w:kern w:val="0"/>
      <w:sz w:val="28"/>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htic</Company>
  <Pages>3</Pages>
  <Words>1346</Words>
  <Characters>1347</Characters>
  <Lines>9</Lines>
  <Paragraphs>2</Paragraphs>
  <TotalTime>105</TotalTime>
  <ScaleCrop>false</ScaleCrop>
  <LinksUpToDate>false</LinksUpToDate>
  <CharactersWithSpaces>1348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2014-05-08T11:56:00Z</dcterms:created>
  <dc:creator>szg</dc:creator>
  <cp:lastModifiedBy>申伶</cp:lastModifiedBy>
  <cp:lastPrinted>2006-05-25T06:39:00Z</cp:lastPrinted>
  <dcterms:modified xsi:type="dcterms:W3CDTF">2025-01-06T05:12:04Z</dcterms:modified>
  <dc:title>计 算 机 系 统 运 行 管 理 制 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40FE1DAA6F774A799FD2DE8D854239EA_12</vt:lpwstr>
  </property>
</Properties>
</file>