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B9195E">
      <w:pPr>
        <w:spacing w:line="360" w:lineRule="auto"/>
        <w:jc w:val="center"/>
        <w:rPr>
          <w:rFonts w:hint="eastAsia" w:eastAsia="宋体"/>
          <w:szCs w:val="24"/>
          <w:lang w:eastAsia="zh-CN"/>
        </w:rPr>
      </w:pPr>
      <w:bookmarkStart w:id="0" w:name="_Toc260834760"/>
      <w:bookmarkStart w:id="1" w:name="OLE_LINK1"/>
      <w:bookmarkStart w:id="2" w:name="OLE_LINK2"/>
    </w:p>
    <w:p w14:paraId="660F2355">
      <w:pPr>
        <w:spacing w:line="360" w:lineRule="auto"/>
        <w:jc w:val="center"/>
        <w:rPr>
          <w:szCs w:val="24"/>
        </w:rPr>
      </w:pPr>
    </w:p>
    <w:bookmarkEnd w:id="0"/>
    <w:p w14:paraId="4197A65E">
      <w:pPr>
        <w:spacing w:line="360" w:lineRule="auto"/>
        <w:jc w:val="center"/>
        <w:rPr>
          <w:rFonts w:hint="eastAsia"/>
          <w:szCs w:val="24"/>
        </w:rPr>
      </w:pPr>
    </w:p>
    <w:p w14:paraId="5FF70ACF">
      <w:pPr>
        <w:spacing w:line="360" w:lineRule="auto"/>
        <w:jc w:val="center"/>
        <w:rPr>
          <w:rFonts w:hint="eastAsia"/>
          <w:b/>
          <w:sz w:val="84"/>
          <w:szCs w:val="84"/>
        </w:rPr>
      </w:pPr>
      <w:r>
        <w:rPr>
          <w:b/>
          <w:sz w:val="84"/>
          <w:szCs w:val="84"/>
        </w:rPr>
        <w:t>信息化系统</w:t>
      </w:r>
    </w:p>
    <w:p w14:paraId="2D76C63D">
      <w:pPr>
        <w:spacing w:line="360" w:lineRule="auto"/>
        <w:jc w:val="center"/>
        <w:rPr>
          <w:b/>
          <w:sz w:val="84"/>
          <w:szCs w:val="84"/>
        </w:rPr>
      </w:pPr>
      <w:r>
        <w:rPr>
          <w:rFonts w:hint="eastAsia"/>
          <w:b/>
          <w:sz w:val="84"/>
          <w:szCs w:val="84"/>
        </w:rPr>
        <w:t>安全</w:t>
      </w:r>
      <w:r>
        <w:rPr>
          <w:b/>
          <w:sz w:val="84"/>
          <w:szCs w:val="84"/>
        </w:rPr>
        <w:t>运维服务方案</w:t>
      </w:r>
      <w:bookmarkEnd w:id="1"/>
      <w:bookmarkEnd w:id="2"/>
    </w:p>
    <w:p w14:paraId="409FDED0">
      <w:pPr>
        <w:spacing w:line="360" w:lineRule="auto"/>
        <w:jc w:val="center"/>
        <w:rPr>
          <w:szCs w:val="24"/>
        </w:rPr>
      </w:pPr>
    </w:p>
    <w:p w14:paraId="5033A46F">
      <w:pPr>
        <w:spacing w:line="360" w:lineRule="auto"/>
        <w:jc w:val="center"/>
        <w:rPr>
          <w:rFonts w:hint="eastAsia" w:eastAsia="宋体"/>
          <w:szCs w:val="24"/>
          <w:lang w:eastAsia="zh-CN"/>
        </w:rPr>
      </w:pPr>
      <w:bookmarkStart w:id="87" w:name="_GoBack"/>
      <w:r>
        <w:rPr>
          <w:rFonts w:hint="eastAsia" w:eastAsia="宋体"/>
          <w:szCs w:val="24"/>
          <w:lang w:eastAsia="zh-CN"/>
        </w:rPr>
        <w:drawing>
          <wp:inline distT="0" distB="0" distL="114300" distR="114300">
            <wp:extent cx="5276215" cy="2620010"/>
            <wp:effectExtent l="0" t="0" r="12065" b="127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5"/>
                    <a:stretch>
                      <a:fillRect/>
                    </a:stretch>
                  </pic:blipFill>
                  <pic:spPr>
                    <a:xfrm>
                      <a:off x="0" y="0"/>
                      <a:ext cx="5276215" cy="2620010"/>
                    </a:xfrm>
                    <a:prstGeom prst="rect">
                      <a:avLst/>
                    </a:prstGeom>
                  </pic:spPr>
                </pic:pic>
              </a:graphicData>
            </a:graphic>
          </wp:inline>
        </w:drawing>
      </w:r>
      <w:bookmarkEnd w:id="87"/>
    </w:p>
    <w:p w14:paraId="20BB4656">
      <w:pPr>
        <w:pStyle w:val="62"/>
        <w:jc w:val="center"/>
        <w:rPr>
          <w:rFonts w:ascii="宋体" w:hAnsi="宋体"/>
          <w:color w:val="auto"/>
          <w:sz w:val="24"/>
          <w:szCs w:val="24"/>
          <w:lang w:val="zh-CN"/>
        </w:rPr>
      </w:pPr>
      <w:r>
        <w:rPr>
          <w:rFonts w:ascii="宋体" w:hAnsi="宋体"/>
          <w:color w:val="auto"/>
          <w:sz w:val="24"/>
          <w:szCs w:val="24"/>
          <w:lang w:val="zh-CN"/>
        </w:rPr>
        <w:t>目录</w:t>
      </w:r>
    </w:p>
    <w:p w14:paraId="4B86155A">
      <w:pPr>
        <w:spacing w:line="360" w:lineRule="auto"/>
        <w:rPr>
          <w:lang w:val="zh-CN"/>
        </w:rPr>
      </w:pPr>
    </w:p>
    <w:p w14:paraId="60B0307B">
      <w:pPr>
        <w:pStyle w:val="18"/>
        <w:tabs>
          <w:tab w:val="right" w:leader="dot" w:pos="8302"/>
        </w:tabs>
        <w:ind w:left="480"/>
        <w:rPr>
          <w:rFonts w:asciiTheme="minorHAnsi" w:hAnsiTheme="minorHAnsi" w:eastAsiaTheme="minorEastAsia" w:cstheme="minorBidi"/>
        </w:rPr>
      </w:pPr>
      <w:r>
        <w:rPr>
          <w:rFonts w:hint="eastAsia" w:ascii="宋体" w:hAnsi="宋体"/>
        </w:rPr>
        <w:fldChar w:fldCharType="begin"/>
      </w:r>
      <w:r>
        <w:rPr>
          <w:rFonts w:hint="eastAsia" w:ascii="宋体" w:hAnsi="宋体"/>
        </w:rPr>
        <w:instrText xml:space="preserve"> TOC \o "1-3" \h \z \u </w:instrText>
      </w:r>
      <w:r>
        <w:rPr>
          <w:rFonts w:hint="eastAsia" w:ascii="宋体" w:hAnsi="宋体"/>
        </w:rPr>
        <w:fldChar w:fldCharType="separate"/>
      </w:r>
      <w:r>
        <w:fldChar w:fldCharType="begin"/>
      </w:r>
      <w:r>
        <w:instrText xml:space="preserve"> HYPERLINK \l "_Toc491637471" </w:instrText>
      </w:r>
      <w:r>
        <w:fldChar w:fldCharType="separate"/>
      </w:r>
      <w:r>
        <w:rPr>
          <w:rStyle w:val="25"/>
          <w:rFonts w:ascii="宋体" w:hAnsi="宋体"/>
        </w:rPr>
        <w:t>1概述</w:t>
      </w:r>
      <w:r>
        <w:tab/>
      </w:r>
      <w:r>
        <w:fldChar w:fldCharType="begin"/>
      </w:r>
      <w:r>
        <w:instrText xml:space="preserve"> PAGEREF _Toc491637471 \h </w:instrText>
      </w:r>
      <w:r>
        <w:fldChar w:fldCharType="separate"/>
      </w:r>
      <w:r>
        <w:t>2</w:t>
      </w:r>
      <w:r>
        <w:fldChar w:fldCharType="end"/>
      </w:r>
      <w:r>
        <w:fldChar w:fldCharType="end"/>
      </w:r>
    </w:p>
    <w:p w14:paraId="6240B85F">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"_Toc491637472" </w:instrText>
      </w:r>
      <w:r>
        <w:fldChar w:fldCharType="separate"/>
      </w:r>
      <w:r>
        <w:rPr>
          <w:rStyle w:val="25"/>
          <w:rFonts w:ascii="宋体" w:hAnsi="宋体"/>
          <w:lang w:bidi="en-US"/>
        </w:rPr>
        <w:t>1.1服务范围和服务内容</w:t>
      </w:r>
      <w:r>
        <w:tab/>
      </w:r>
      <w:r>
        <w:fldChar w:fldCharType="begin"/>
      </w:r>
      <w:r>
        <w:instrText xml:space="preserve"> PAGEREF _Toc491637472 \h </w:instrText>
      </w:r>
      <w:r>
        <w:fldChar w:fldCharType="separate"/>
      </w:r>
      <w:r>
        <w:t>2</w:t>
      </w:r>
      <w:r>
        <w:fldChar w:fldCharType="end"/>
      </w:r>
      <w:r>
        <w:fldChar w:fldCharType="end"/>
      </w:r>
    </w:p>
    <w:p w14:paraId="67EDFE9C">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"_Toc491637473" </w:instrText>
      </w:r>
      <w:r>
        <w:fldChar w:fldCharType="separate"/>
      </w:r>
      <w:r>
        <w:rPr>
          <w:rStyle w:val="25"/>
          <w:rFonts w:ascii="宋体" w:hAnsi="宋体"/>
          <w:lang w:bidi="en-US"/>
        </w:rPr>
        <w:t>1.2服务目标</w:t>
      </w:r>
      <w:r>
        <w:tab/>
      </w:r>
      <w:r>
        <w:fldChar w:fldCharType="begin"/>
      </w:r>
      <w:r>
        <w:instrText xml:space="preserve"> PAGEREF _Toc491637473 \h </w:instrText>
      </w:r>
      <w:r>
        <w:fldChar w:fldCharType="separate"/>
      </w:r>
      <w:r>
        <w:t>2</w:t>
      </w:r>
      <w:r>
        <w:fldChar w:fldCharType="end"/>
      </w:r>
      <w:r>
        <w:fldChar w:fldCharType="end"/>
      </w:r>
    </w:p>
    <w:p w14:paraId="304D884E">
      <w:pPr>
        <w:pStyle w:val="18"/>
        <w:tabs>
          <w:tab w:val="right" w:leader="dot" w:pos="8302"/>
        </w:tabs>
        <w:ind w:left="480"/>
        <w:rPr>
          <w:rFonts w:asciiTheme="minorHAnsi" w:hAnsiTheme="minorHAnsi" w:eastAsiaTheme="minorEastAsia" w:cstheme="minorBidi"/>
        </w:rPr>
      </w:pPr>
      <w:r>
        <w:fldChar w:fldCharType="begin"/>
      </w:r>
      <w:r>
        <w:instrText xml:space="preserve"> HYPERLINK \l "_Toc491637474" </w:instrText>
      </w:r>
      <w:r>
        <w:fldChar w:fldCharType="separate"/>
      </w:r>
      <w:r>
        <w:rPr>
          <w:rStyle w:val="25"/>
          <w:rFonts w:ascii="宋体" w:hAnsi="宋体"/>
        </w:rPr>
        <w:t>2系统现状</w:t>
      </w:r>
      <w:r>
        <w:tab/>
      </w:r>
      <w:r>
        <w:fldChar w:fldCharType="begin"/>
      </w:r>
      <w:r>
        <w:instrText xml:space="preserve"> PAGEREF _Toc491637474 \h </w:instrText>
      </w:r>
      <w:r>
        <w:fldChar w:fldCharType="separate"/>
      </w:r>
      <w:r>
        <w:t>2</w:t>
      </w:r>
      <w:r>
        <w:fldChar w:fldCharType="end"/>
      </w:r>
      <w:r>
        <w:fldChar w:fldCharType="end"/>
      </w:r>
    </w:p>
    <w:p w14:paraId="2972E5D0">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"_Toc491637475" </w:instrText>
      </w:r>
      <w:r>
        <w:fldChar w:fldCharType="separate"/>
      </w:r>
      <w:r>
        <w:rPr>
          <w:rStyle w:val="25"/>
          <w:rFonts w:ascii="宋体" w:hAnsi="宋体"/>
          <w:lang w:bidi="en-US"/>
        </w:rPr>
        <w:t>2.1网络系统</w:t>
      </w:r>
      <w:r>
        <w:tab/>
      </w:r>
      <w:r>
        <w:fldChar w:fldCharType="begin"/>
      </w:r>
      <w:r>
        <w:instrText xml:space="preserve"> PAGEREF _Toc491637475 \h </w:instrText>
      </w:r>
      <w:r>
        <w:fldChar w:fldCharType="separate"/>
      </w:r>
      <w:r>
        <w:t>2</w:t>
      </w:r>
      <w:r>
        <w:fldChar w:fldCharType="end"/>
      </w:r>
      <w:r>
        <w:fldChar w:fldCharType="end"/>
      </w:r>
    </w:p>
    <w:p w14:paraId="37E72F5C">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"_Toc491637476" </w:instrText>
      </w:r>
      <w:r>
        <w:fldChar w:fldCharType="separate"/>
      </w:r>
      <w:r>
        <w:rPr>
          <w:rStyle w:val="25"/>
          <w:rFonts w:ascii="宋体" w:hAnsi="宋体"/>
          <w:lang w:bidi="en-US"/>
        </w:rPr>
        <w:t>2.2设备清单</w:t>
      </w:r>
      <w:r>
        <w:tab/>
      </w:r>
      <w:r>
        <w:fldChar w:fldCharType="begin"/>
      </w:r>
      <w:r>
        <w:instrText xml:space="preserve"> PAGEREF _Toc491637476 \h </w:instrText>
      </w:r>
      <w:r>
        <w:fldChar w:fldCharType="separate"/>
      </w:r>
      <w:r>
        <w:t>3</w:t>
      </w:r>
      <w:r>
        <w:fldChar w:fldCharType="end"/>
      </w:r>
      <w:r>
        <w:fldChar w:fldCharType="end"/>
      </w:r>
    </w:p>
    <w:p w14:paraId="3B10AB3F">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"_Toc491637477" </w:instrText>
      </w:r>
      <w:r>
        <w:fldChar w:fldCharType="separate"/>
      </w:r>
      <w:r>
        <w:rPr>
          <w:rStyle w:val="25"/>
          <w:rFonts w:ascii="宋体" w:hAnsi="宋体"/>
          <w:lang w:bidi="en-US"/>
        </w:rPr>
        <w:t>2.3应用系统</w:t>
      </w:r>
      <w:r>
        <w:tab/>
      </w:r>
      <w:r>
        <w:fldChar w:fldCharType="begin"/>
      </w:r>
      <w:r>
        <w:instrText xml:space="preserve"> PAGEREF _Toc491637477 \h </w:instrText>
      </w:r>
      <w:r>
        <w:fldChar w:fldCharType="separate"/>
      </w:r>
      <w:r>
        <w:t>5</w:t>
      </w:r>
      <w:r>
        <w:fldChar w:fldCharType="end"/>
      </w:r>
      <w:r>
        <w:fldChar w:fldCharType="end"/>
      </w:r>
    </w:p>
    <w:p w14:paraId="09866D07">
      <w:pPr>
        <w:pStyle w:val="18"/>
        <w:tabs>
          <w:tab w:val="right" w:leader="dot" w:pos="8302"/>
        </w:tabs>
        <w:ind w:left="480"/>
        <w:rPr>
          <w:rFonts w:asciiTheme="minorHAnsi" w:hAnsiTheme="minorHAnsi" w:eastAsiaTheme="minorEastAsia" w:cstheme="minorBidi"/>
        </w:rPr>
      </w:pPr>
      <w:r>
        <w:fldChar w:fldCharType="begin"/>
      </w:r>
      <w:r>
        <w:instrText xml:space="preserve"> HYPERLINK \l "_Toc491637478" </w:instrText>
      </w:r>
      <w:r>
        <w:fldChar w:fldCharType="separate"/>
      </w:r>
      <w:r>
        <w:rPr>
          <w:rStyle w:val="25"/>
          <w:rFonts w:ascii="宋体" w:hAnsi="宋体"/>
        </w:rPr>
        <w:t>3服务方案</w:t>
      </w:r>
      <w:r>
        <w:tab/>
      </w:r>
      <w:r>
        <w:fldChar w:fldCharType="begin"/>
      </w:r>
      <w:r>
        <w:instrText xml:space="preserve"> PAGEREF _Toc491637478 \h </w:instrText>
      </w:r>
      <w:r>
        <w:fldChar w:fldCharType="separate"/>
      </w:r>
      <w:r>
        <w:t>6</w:t>
      </w:r>
      <w:r>
        <w:fldChar w:fldCharType="end"/>
      </w:r>
      <w:r>
        <w:fldChar w:fldCharType="end"/>
      </w:r>
    </w:p>
    <w:p w14:paraId="0511508E">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"_Toc491637479" </w:instrText>
      </w:r>
      <w:r>
        <w:fldChar w:fldCharType="separate"/>
      </w:r>
      <w:r>
        <w:rPr>
          <w:rStyle w:val="25"/>
          <w:rFonts w:ascii="宋体" w:hAnsi="宋体"/>
          <w:lang w:bidi="en-US"/>
        </w:rPr>
        <w:t>3.1系统日常维护</w:t>
      </w:r>
      <w:r>
        <w:tab/>
      </w:r>
      <w:r>
        <w:fldChar w:fldCharType="begin"/>
      </w:r>
      <w:r>
        <w:instrText xml:space="preserve"> PAGEREF _Toc491637479 \h </w:instrText>
      </w:r>
      <w:r>
        <w:fldChar w:fldCharType="separate"/>
      </w:r>
      <w:r>
        <w:t>6</w:t>
      </w:r>
      <w:r>
        <w:fldChar w:fldCharType="end"/>
      </w:r>
      <w:r>
        <w:fldChar w:fldCharType="end"/>
      </w:r>
    </w:p>
    <w:p w14:paraId="044C151B">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"_Toc491637480" </w:instrText>
      </w:r>
      <w:r>
        <w:fldChar w:fldCharType="separate"/>
      </w:r>
      <w:r>
        <w:rPr>
          <w:rStyle w:val="25"/>
          <w:rFonts w:ascii="宋体" w:hAnsi="宋体"/>
          <w:lang w:bidi="en-US"/>
        </w:rPr>
        <w:t>3.2信息系统安全服务</w:t>
      </w:r>
      <w:r>
        <w:tab/>
      </w:r>
      <w:r>
        <w:fldChar w:fldCharType="begin"/>
      </w:r>
      <w:r>
        <w:instrText xml:space="preserve"> PAGEREF _Toc491637480 \h </w:instrText>
      </w:r>
      <w:r>
        <w:fldChar w:fldCharType="separate"/>
      </w:r>
      <w:r>
        <w:t>11</w:t>
      </w:r>
      <w:r>
        <w:fldChar w:fldCharType="end"/>
      </w:r>
      <w:r>
        <w:fldChar w:fldCharType="end"/>
      </w:r>
    </w:p>
    <w:p w14:paraId="75D26527">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"_Toc491637481" </w:instrText>
      </w:r>
      <w:r>
        <w:fldChar w:fldCharType="separate"/>
      </w:r>
      <w:r>
        <w:rPr>
          <w:rStyle w:val="25"/>
          <w:rFonts w:ascii="宋体" w:hAnsi="宋体"/>
          <w:lang w:bidi="en-US"/>
        </w:rPr>
        <w:t>3.3系统设备维修及保养服务</w:t>
      </w:r>
      <w:r>
        <w:tab/>
      </w:r>
      <w:r>
        <w:fldChar w:fldCharType="begin"/>
      </w:r>
      <w:r>
        <w:instrText xml:space="preserve"> PAGEREF _Toc491637481 \h </w:instrText>
      </w:r>
      <w:r>
        <w:fldChar w:fldCharType="separate"/>
      </w:r>
      <w:r>
        <w:t>13</w:t>
      </w:r>
      <w:r>
        <w:fldChar w:fldCharType="end"/>
      </w:r>
      <w:r>
        <w:fldChar w:fldCharType="end"/>
      </w:r>
    </w:p>
    <w:p w14:paraId="237F79CA">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"_Toc491637482" </w:instrText>
      </w:r>
      <w:r>
        <w:fldChar w:fldCharType="separate"/>
      </w:r>
      <w:r>
        <w:rPr>
          <w:rStyle w:val="25"/>
          <w:rFonts w:ascii="宋体" w:hAnsi="宋体"/>
          <w:lang w:bidi="en-US"/>
        </w:rPr>
        <w:t>3.4软件系统升级及维保服务</w:t>
      </w:r>
      <w:r>
        <w:tab/>
      </w:r>
      <w:r>
        <w:fldChar w:fldCharType="begin"/>
      </w:r>
      <w:r>
        <w:instrText xml:space="preserve"> PAGEREF _Toc491637482 \h </w:instrText>
      </w:r>
      <w:r>
        <w:fldChar w:fldCharType="separate"/>
      </w:r>
      <w:r>
        <w:t>14</w:t>
      </w:r>
      <w:r>
        <w:fldChar w:fldCharType="end"/>
      </w:r>
      <w:r>
        <w:fldChar w:fldCharType="end"/>
      </w:r>
    </w:p>
    <w:p w14:paraId="6C6FEE28">
      <w:pPr>
        <w:pStyle w:val="18"/>
        <w:tabs>
          <w:tab w:val="right" w:leader="dot" w:pos="8302"/>
        </w:tabs>
        <w:ind w:left="480"/>
        <w:rPr>
          <w:rFonts w:asciiTheme="minorHAnsi" w:hAnsiTheme="minorHAnsi" w:eastAsiaTheme="minorEastAsia" w:cstheme="minorBidi"/>
        </w:rPr>
      </w:pPr>
      <w:r>
        <w:fldChar w:fldCharType="begin"/>
      </w:r>
      <w:r>
        <w:instrText xml:space="preserve"> HYPERLINK \l "_Toc491637483" </w:instrText>
      </w:r>
      <w:r>
        <w:fldChar w:fldCharType="separate"/>
      </w:r>
      <w:r>
        <w:rPr>
          <w:rStyle w:val="25"/>
          <w:rFonts w:ascii="宋体" w:hAnsi="宋体"/>
        </w:rPr>
        <w:t>4服务要求</w:t>
      </w:r>
      <w:r>
        <w:tab/>
      </w:r>
      <w:r>
        <w:fldChar w:fldCharType="begin"/>
      </w:r>
      <w:r>
        <w:instrText xml:space="preserve"> PAGEREF _Toc491637483 \h </w:instrText>
      </w:r>
      <w:r>
        <w:fldChar w:fldCharType="separate"/>
      </w:r>
      <w:r>
        <w:t>14</w:t>
      </w:r>
      <w:r>
        <w:fldChar w:fldCharType="end"/>
      </w:r>
      <w:r>
        <w:fldChar w:fldCharType="end"/>
      </w:r>
    </w:p>
    <w:p w14:paraId="1D106214">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"_Toc491637484" </w:instrText>
      </w:r>
      <w:r>
        <w:fldChar w:fldCharType="separate"/>
      </w:r>
      <w:r>
        <w:rPr>
          <w:rStyle w:val="25"/>
          <w:rFonts w:ascii="宋体" w:hAnsi="宋体"/>
          <w:lang w:bidi="en-US"/>
        </w:rPr>
        <w:t>4.1基本要求</w:t>
      </w:r>
      <w:r>
        <w:tab/>
      </w:r>
      <w:r>
        <w:fldChar w:fldCharType="begin"/>
      </w:r>
      <w:r>
        <w:instrText xml:space="preserve"> PAGEREF _Toc491637484 \h </w:instrText>
      </w:r>
      <w:r>
        <w:fldChar w:fldCharType="separate"/>
      </w:r>
      <w:r>
        <w:t>15</w:t>
      </w:r>
      <w:r>
        <w:fldChar w:fldCharType="end"/>
      </w:r>
      <w:r>
        <w:fldChar w:fldCharType="end"/>
      </w:r>
    </w:p>
    <w:p w14:paraId="188F6253">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"_Toc491637485" </w:instrText>
      </w:r>
      <w:r>
        <w:fldChar w:fldCharType="separate"/>
      </w:r>
      <w:r>
        <w:rPr>
          <w:rStyle w:val="25"/>
          <w:rFonts w:ascii="宋体" w:hAnsi="宋体"/>
          <w:lang w:bidi="en-US"/>
        </w:rPr>
        <w:t>4.2服务队伍要求</w:t>
      </w:r>
      <w:r>
        <w:tab/>
      </w:r>
      <w:r>
        <w:fldChar w:fldCharType="begin"/>
      </w:r>
      <w:r>
        <w:instrText xml:space="preserve"> PAGEREF _Toc491637485 \h </w:instrText>
      </w:r>
      <w:r>
        <w:fldChar w:fldCharType="separate"/>
      </w:r>
      <w:r>
        <w:t>16</w:t>
      </w:r>
      <w:r>
        <w:fldChar w:fldCharType="end"/>
      </w:r>
      <w:r>
        <w:fldChar w:fldCharType="end"/>
      </w:r>
    </w:p>
    <w:p w14:paraId="4FBBC173">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"_Toc491637486" </w:instrText>
      </w:r>
      <w:r>
        <w:fldChar w:fldCharType="separate"/>
      </w:r>
      <w:r>
        <w:rPr>
          <w:rStyle w:val="25"/>
          <w:rFonts w:ascii="宋体" w:hAnsi="宋体"/>
          <w:lang w:bidi="en-US"/>
        </w:rPr>
        <w:t>4.3服务流程要求</w:t>
      </w:r>
      <w:r>
        <w:tab/>
      </w:r>
      <w:r>
        <w:fldChar w:fldCharType="begin"/>
      </w:r>
      <w:r>
        <w:instrText xml:space="preserve"> PAGEREF _Toc491637486 \h </w:instrText>
      </w:r>
      <w:r>
        <w:fldChar w:fldCharType="separate"/>
      </w:r>
      <w:r>
        <w:t>16</w:t>
      </w:r>
      <w:r>
        <w:fldChar w:fldCharType="end"/>
      </w:r>
      <w:r>
        <w:fldChar w:fldCharType="end"/>
      </w:r>
    </w:p>
    <w:p w14:paraId="70F93490">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"_Toc491637487" </w:instrText>
      </w:r>
      <w:r>
        <w:fldChar w:fldCharType="separate"/>
      </w:r>
      <w:r>
        <w:rPr>
          <w:rStyle w:val="25"/>
          <w:rFonts w:ascii="宋体" w:hAnsi="宋体"/>
          <w:lang w:bidi="en-US"/>
        </w:rPr>
        <w:t>4.4服务响应要求</w:t>
      </w:r>
      <w:r>
        <w:tab/>
      </w:r>
      <w:r>
        <w:fldChar w:fldCharType="begin"/>
      </w:r>
      <w:r>
        <w:instrText xml:space="preserve"> PAGEREF _Toc491637487 \h </w:instrText>
      </w:r>
      <w:r>
        <w:fldChar w:fldCharType="separate"/>
      </w:r>
      <w:r>
        <w:t>17</w:t>
      </w:r>
      <w:r>
        <w:fldChar w:fldCharType="end"/>
      </w:r>
      <w:r>
        <w:fldChar w:fldCharType="end"/>
      </w:r>
    </w:p>
    <w:p w14:paraId="236265B6">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"_Toc491637488" </w:instrText>
      </w:r>
      <w:r>
        <w:fldChar w:fldCharType="separate"/>
      </w:r>
      <w:r>
        <w:rPr>
          <w:rStyle w:val="25"/>
          <w:rFonts w:ascii="宋体" w:hAnsi="宋体"/>
          <w:lang w:bidi="en-US"/>
        </w:rPr>
        <w:t>4.5服务报告要求</w:t>
      </w:r>
      <w:r>
        <w:tab/>
      </w:r>
      <w:r>
        <w:fldChar w:fldCharType="begin"/>
      </w:r>
      <w:r>
        <w:instrText xml:space="preserve"> PAGEREF _Toc491637488 \h </w:instrText>
      </w:r>
      <w:r>
        <w:fldChar w:fldCharType="separate"/>
      </w:r>
      <w:r>
        <w:t>18</w:t>
      </w:r>
      <w:r>
        <w:fldChar w:fldCharType="end"/>
      </w:r>
      <w:r>
        <w:fldChar w:fldCharType="end"/>
      </w:r>
    </w:p>
    <w:p w14:paraId="10E4B217">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"_Toc491637489" </w:instrText>
      </w:r>
      <w:r>
        <w:fldChar w:fldCharType="separate"/>
      </w:r>
      <w:r>
        <w:rPr>
          <w:rStyle w:val="25"/>
          <w:rFonts w:ascii="宋体" w:hAnsi="宋体"/>
          <w:lang w:bidi="en-US"/>
        </w:rPr>
        <w:t>4.6运维保障资源库建设要求</w:t>
      </w:r>
      <w:r>
        <w:tab/>
      </w:r>
      <w:r>
        <w:fldChar w:fldCharType="begin"/>
      </w:r>
      <w:r>
        <w:instrText xml:space="preserve"> PAGEREF _Toc491637489 \h </w:instrText>
      </w:r>
      <w:r>
        <w:fldChar w:fldCharType="separate"/>
      </w:r>
      <w:r>
        <w:t>18</w:t>
      </w:r>
      <w:r>
        <w:fldChar w:fldCharType="end"/>
      </w:r>
      <w:r>
        <w:fldChar w:fldCharType="end"/>
      </w:r>
    </w:p>
    <w:p w14:paraId="3090CDF6">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"_Toc491637490" </w:instrText>
      </w:r>
      <w:r>
        <w:fldChar w:fldCharType="separate"/>
      </w:r>
      <w:r>
        <w:rPr>
          <w:rStyle w:val="25"/>
          <w:rFonts w:ascii="宋体" w:hAnsi="宋体"/>
          <w:lang w:bidi="en-US"/>
        </w:rPr>
        <w:t>4.7项目管理要求</w:t>
      </w:r>
      <w:r>
        <w:tab/>
      </w:r>
      <w:r>
        <w:fldChar w:fldCharType="begin"/>
      </w:r>
      <w:r>
        <w:instrText xml:space="preserve"> PAGEREF _Toc491637490 \h </w:instrText>
      </w:r>
      <w:r>
        <w:fldChar w:fldCharType="separate"/>
      </w:r>
      <w:r>
        <w:t>19</w:t>
      </w:r>
      <w:r>
        <w:fldChar w:fldCharType="end"/>
      </w:r>
      <w:r>
        <w:fldChar w:fldCharType="end"/>
      </w:r>
    </w:p>
    <w:p w14:paraId="3E3A1349">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"_Toc491637491" </w:instrText>
      </w:r>
      <w:r>
        <w:fldChar w:fldCharType="separate"/>
      </w:r>
      <w:r>
        <w:rPr>
          <w:rStyle w:val="25"/>
          <w:rFonts w:ascii="宋体" w:hAnsi="宋体"/>
          <w:lang w:bidi="en-US"/>
        </w:rPr>
        <w:t>4.8质量管理要求</w:t>
      </w:r>
      <w:r>
        <w:tab/>
      </w:r>
      <w:r>
        <w:fldChar w:fldCharType="begin"/>
      </w:r>
      <w:r>
        <w:instrText xml:space="preserve"> PAGEREF _Toc491637491 \h </w:instrText>
      </w:r>
      <w:r>
        <w:fldChar w:fldCharType="separate"/>
      </w:r>
      <w:r>
        <w:t>19</w:t>
      </w:r>
      <w:r>
        <w:fldChar w:fldCharType="end"/>
      </w:r>
      <w:r>
        <w:fldChar w:fldCharType="end"/>
      </w:r>
    </w:p>
    <w:p w14:paraId="5502A4D8">
      <w:pPr>
        <w:pStyle w:val="14"/>
        <w:tabs>
          <w:tab w:val="right" w:leader="dot" w:pos="8302"/>
        </w:tabs>
        <w:ind w:left="960"/>
        <w:rPr>
          <w:rFonts w:asciiTheme="minorHAnsi" w:hAnsiTheme="minorHAnsi" w:eastAsiaTheme="minorEastAsia" w:cstheme="minorBidi"/>
        </w:rPr>
      </w:pPr>
      <w:r>
        <w:fldChar w:fldCharType="begin"/>
      </w:r>
      <w:r>
        <w:instrText xml:space="preserve"> HYPERLINK \l "_Toc491637492" </w:instrText>
      </w:r>
      <w:r>
        <w:fldChar w:fldCharType="separate"/>
      </w:r>
      <w:r>
        <w:rPr>
          <w:rStyle w:val="25"/>
          <w:rFonts w:ascii="宋体" w:hAnsi="宋体"/>
          <w:lang w:bidi="en-US"/>
        </w:rPr>
        <w:t>4.9技术交流及培训</w:t>
      </w:r>
      <w:r>
        <w:tab/>
      </w:r>
      <w:r>
        <w:fldChar w:fldCharType="begin"/>
      </w:r>
      <w:r>
        <w:instrText xml:space="preserve"> PAGEREF _Toc491637492 \h </w:instrText>
      </w:r>
      <w:r>
        <w:fldChar w:fldCharType="separate"/>
      </w:r>
      <w:r>
        <w:t>19</w:t>
      </w:r>
      <w:r>
        <w:fldChar w:fldCharType="end"/>
      </w:r>
      <w:r>
        <w:fldChar w:fldCharType="end"/>
      </w:r>
    </w:p>
    <w:p w14:paraId="617ADDB0">
      <w:pPr>
        <w:pStyle w:val="18"/>
        <w:tabs>
          <w:tab w:val="right" w:leader="dot" w:pos="8302"/>
        </w:tabs>
        <w:ind w:left="480"/>
        <w:rPr>
          <w:rFonts w:asciiTheme="minorHAnsi" w:hAnsiTheme="minorHAnsi" w:eastAsiaTheme="minorEastAsia" w:cstheme="minorBidi"/>
        </w:rPr>
      </w:pPr>
      <w:r>
        <w:fldChar w:fldCharType="begin"/>
      </w:r>
      <w:r>
        <w:instrText xml:space="preserve"> HYPERLINK \l "_Toc491637493" </w:instrText>
      </w:r>
      <w:r>
        <w:fldChar w:fldCharType="separate"/>
      </w:r>
      <w:r>
        <w:rPr>
          <w:rStyle w:val="25"/>
          <w:rFonts w:ascii="宋体" w:hAnsi="宋体"/>
        </w:rPr>
        <w:t>5经费预算</w:t>
      </w:r>
      <w:r>
        <w:tab/>
      </w:r>
      <w:r>
        <w:fldChar w:fldCharType="begin"/>
      </w:r>
      <w:r>
        <w:instrText xml:space="preserve"> PAGEREF _Toc491637493 \h </w:instrText>
      </w:r>
      <w:r>
        <w:fldChar w:fldCharType="separate"/>
      </w:r>
      <w:r>
        <w:t>19</w:t>
      </w:r>
      <w:r>
        <w:fldChar w:fldCharType="end"/>
      </w:r>
      <w:r>
        <w:fldChar w:fldCharType="end"/>
      </w:r>
    </w:p>
    <w:p w14:paraId="072E1E42">
      <w:pPr>
        <w:snapToGrid w:val="0"/>
        <w:spacing w:line="360" w:lineRule="auto"/>
        <w:rPr>
          <w:szCs w:val="24"/>
        </w:rPr>
        <w:sectPr>
          <w:footerReference r:id="rId3" w:type="default"/>
          <w:pgSz w:w="11906" w:h="16838"/>
          <w:pgMar w:top="1440" w:right="1797" w:bottom="1440" w:left="1797" w:header="851" w:footer="992" w:gutter="0"/>
          <w:pgNumType w:start="1"/>
          <w:cols w:space="425" w:num="1"/>
          <w:docGrid w:type="lines" w:linePitch="312" w:charSpace="0"/>
        </w:sectPr>
      </w:pPr>
      <w:r>
        <w:rPr>
          <w:rFonts w:hint="eastAsia"/>
        </w:rPr>
        <w:fldChar w:fldCharType="end"/>
      </w:r>
    </w:p>
    <w:p w14:paraId="492AF0C4">
      <w:pPr>
        <w:spacing w:line="360" w:lineRule="auto"/>
      </w:pPr>
    </w:p>
    <w:p w14:paraId="0F635D22">
      <w:pPr>
        <w:pStyle w:val="3"/>
        <w:snapToGrid w:val="0"/>
        <w:spacing w:before="0" w:after="0" w:line="360" w:lineRule="auto"/>
        <w:rPr>
          <w:rFonts w:hint="eastAsia" w:ascii="宋体" w:hAnsi="宋体" w:eastAsia="宋体"/>
          <w:sz w:val="24"/>
          <w:szCs w:val="24"/>
        </w:rPr>
      </w:pPr>
      <w:bookmarkStart w:id="3" w:name="_Toc491637471"/>
      <w:bookmarkStart w:id="4" w:name="_Toc260834761"/>
      <w:bookmarkStart w:id="5" w:name="_Toc231812875"/>
      <w:bookmarkStart w:id="6" w:name="_Toc222755151"/>
      <w:bookmarkStart w:id="7" w:name="_Toc222755448"/>
      <w:r>
        <w:rPr>
          <w:rFonts w:ascii="宋体" w:hAnsi="宋体" w:eastAsia="宋体"/>
          <w:sz w:val="24"/>
          <w:szCs w:val="24"/>
        </w:rPr>
        <w:t>1</w:t>
      </w:r>
      <w:r>
        <w:rPr>
          <w:rFonts w:hint="eastAsia" w:ascii="宋体" w:hAnsi="宋体" w:eastAsia="宋体"/>
          <w:sz w:val="24"/>
          <w:szCs w:val="24"/>
        </w:rPr>
        <w:t>概述</w:t>
      </w:r>
      <w:bookmarkEnd w:id="3"/>
    </w:p>
    <w:p w14:paraId="71F8913A">
      <w:pPr>
        <w:pStyle w:val="4"/>
        <w:snapToGrid w:val="0"/>
        <w:spacing w:before="0" w:line="360" w:lineRule="auto"/>
        <w:rPr>
          <w:rFonts w:ascii="宋体" w:hAnsi="宋体"/>
          <w:sz w:val="24"/>
          <w:szCs w:val="24"/>
          <w:lang w:eastAsia="zh-CN"/>
        </w:rPr>
      </w:pPr>
      <w:bookmarkStart w:id="8" w:name="_Toc491637472"/>
      <w:r>
        <w:rPr>
          <w:rFonts w:ascii="宋体" w:hAnsi="宋体"/>
          <w:sz w:val="24"/>
          <w:szCs w:val="24"/>
          <w:lang w:eastAsia="zh-CN"/>
        </w:rPr>
        <w:t>1.</w:t>
      </w:r>
      <w:r>
        <w:rPr>
          <w:rFonts w:hint="eastAsia" w:ascii="宋体" w:hAnsi="宋体"/>
          <w:sz w:val="24"/>
          <w:szCs w:val="24"/>
          <w:lang w:eastAsia="zh-CN"/>
        </w:rPr>
        <w:t>1</w:t>
      </w:r>
      <w:r>
        <w:rPr>
          <w:rFonts w:ascii="宋体" w:hAnsi="宋体"/>
          <w:sz w:val="24"/>
          <w:szCs w:val="24"/>
          <w:lang w:eastAsia="zh-CN"/>
        </w:rPr>
        <w:t>服务范围</w:t>
      </w:r>
      <w:bookmarkEnd w:id="4"/>
      <w:r>
        <w:rPr>
          <w:rFonts w:ascii="宋体" w:hAnsi="宋体"/>
          <w:sz w:val="24"/>
          <w:szCs w:val="24"/>
          <w:lang w:eastAsia="zh-CN"/>
        </w:rPr>
        <w:t>和服务内容</w:t>
      </w:r>
      <w:bookmarkEnd w:id="8"/>
    </w:p>
    <w:p w14:paraId="67E860E5">
      <w:pPr>
        <w:snapToGrid w:val="0"/>
        <w:spacing w:line="360" w:lineRule="auto"/>
        <w:ind w:firstLine="480" w:firstLineChars="200"/>
      </w:pPr>
      <w:r>
        <w:rPr>
          <w:szCs w:val="24"/>
        </w:rPr>
        <w:t>本次服务范围为</w:t>
      </w:r>
      <w:r>
        <w:rPr>
          <w:rFonts w:hint="eastAsia"/>
          <w:szCs w:val="24"/>
        </w:rPr>
        <w:t>XX局</w:t>
      </w:r>
      <w:r>
        <w:rPr>
          <w:szCs w:val="24"/>
        </w:rPr>
        <w:t>信息化</w:t>
      </w:r>
      <w:r>
        <w:rPr>
          <w:rFonts w:hint="eastAsia"/>
          <w:szCs w:val="24"/>
        </w:rPr>
        <w:t>系统</w:t>
      </w:r>
      <w:r>
        <w:rPr>
          <w:szCs w:val="24"/>
        </w:rPr>
        <w:t>硬件及</w:t>
      </w:r>
      <w:r>
        <w:rPr>
          <w:rFonts w:hint="eastAsia"/>
          <w:szCs w:val="24"/>
        </w:rPr>
        <w:t>应用系统，</w:t>
      </w:r>
      <w:r>
        <w:rPr>
          <w:szCs w:val="24"/>
        </w:rPr>
        <w:t>各类软硬件均位于XX局第一办公区内</w:t>
      </w:r>
      <w:r>
        <w:rPr>
          <w:rFonts w:hint="eastAsia"/>
          <w:szCs w:val="24"/>
        </w:rPr>
        <w:t>，</w:t>
      </w:r>
      <w:r>
        <w:rPr>
          <w:szCs w:val="24"/>
        </w:rPr>
        <w:t>主要</w:t>
      </w:r>
      <w:r>
        <w:rPr>
          <w:rFonts w:hint="eastAsia"/>
          <w:szCs w:val="24"/>
        </w:rPr>
        <w:t>包括计算机</w:t>
      </w:r>
      <w:r>
        <w:rPr>
          <w:szCs w:val="24"/>
        </w:rPr>
        <w:t>终端、打印机、服务器、存储设备、网络（安全）设备</w:t>
      </w:r>
      <w:r>
        <w:rPr>
          <w:rFonts w:hint="eastAsia"/>
          <w:szCs w:val="24"/>
        </w:rPr>
        <w:t>以</w:t>
      </w:r>
      <w:r>
        <w:rPr>
          <w:szCs w:val="24"/>
        </w:rPr>
        <w:t>及应用系统。</w:t>
      </w:r>
      <w:r>
        <w:rPr>
          <w:rFonts w:hint="eastAsia"/>
          <w:szCs w:val="24"/>
        </w:rPr>
        <w:t>服务</w:t>
      </w:r>
      <w:r>
        <w:rPr>
          <w:szCs w:val="24"/>
        </w:rPr>
        <w:t>内容包括</w:t>
      </w:r>
      <w:r>
        <w:rPr>
          <w:rFonts w:hint="eastAsia"/>
          <w:szCs w:val="24"/>
        </w:rPr>
        <w:t>日常运维服务（驻场服务）</w:t>
      </w:r>
      <w:r>
        <w:rPr>
          <w:szCs w:val="24"/>
        </w:rPr>
        <w:t>、</w:t>
      </w:r>
      <w:r>
        <w:rPr>
          <w:rFonts w:hint="eastAsia"/>
          <w:szCs w:val="24"/>
        </w:rPr>
        <w:t>专业安全服务、主要硬件设备维保服务、主要应用软件系统维保服务、信息化建设咨询服务等</w:t>
      </w:r>
      <w:r>
        <w:rPr>
          <w:szCs w:val="24"/>
        </w:rPr>
        <w:t>。</w:t>
      </w:r>
    </w:p>
    <w:p w14:paraId="58DA10B9">
      <w:pPr>
        <w:pStyle w:val="4"/>
        <w:snapToGrid w:val="0"/>
        <w:spacing w:before="0" w:line="360" w:lineRule="auto"/>
        <w:rPr>
          <w:rFonts w:ascii="宋体" w:hAnsi="宋体"/>
          <w:sz w:val="24"/>
          <w:szCs w:val="24"/>
        </w:rPr>
      </w:pPr>
      <w:bookmarkStart w:id="9" w:name="_Toc260834763"/>
      <w:bookmarkStart w:id="10" w:name="_Toc491637473"/>
      <w:r>
        <w:rPr>
          <w:rFonts w:ascii="宋体" w:hAnsi="宋体"/>
          <w:sz w:val="24"/>
          <w:szCs w:val="24"/>
        </w:rPr>
        <w:t>1.</w:t>
      </w:r>
      <w:r>
        <w:rPr>
          <w:rFonts w:hint="eastAsia" w:ascii="宋体" w:hAnsi="宋体"/>
          <w:sz w:val="24"/>
          <w:szCs w:val="24"/>
        </w:rPr>
        <w:t>2</w:t>
      </w:r>
      <w:r>
        <w:rPr>
          <w:rFonts w:ascii="宋体" w:hAnsi="宋体"/>
          <w:sz w:val="24"/>
          <w:szCs w:val="24"/>
        </w:rPr>
        <w:t>服务</w:t>
      </w:r>
      <w:bookmarkEnd w:id="9"/>
      <w:r>
        <w:rPr>
          <w:rFonts w:ascii="宋体" w:hAnsi="宋体"/>
          <w:sz w:val="24"/>
          <w:szCs w:val="24"/>
        </w:rPr>
        <w:t>目标</w:t>
      </w:r>
      <w:bookmarkEnd w:id="10"/>
    </w:p>
    <w:p w14:paraId="40C079C0">
      <w:pPr>
        <w:numPr>
          <w:ilvl w:val="0"/>
          <w:numId w:val="3"/>
        </w:numPr>
        <w:snapToGrid w:val="0"/>
        <w:spacing w:line="360" w:lineRule="auto"/>
        <w:jc w:val="left"/>
        <w:rPr>
          <w:szCs w:val="24"/>
        </w:rPr>
      </w:pPr>
      <w:r>
        <w:rPr>
          <w:szCs w:val="24"/>
        </w:rPr>
        <w:t>保障软硬件的稳定性和可靠性；</w:t>
      </w:r>
    </w:p>
    <w:p w14:paraId="330B8DD9">
      <w:pPr>
        <w:numPr>
          <w:ilvl w:val="0"/>
          <w:numId w:val="3"/>
        </w:numPr>
        <w:snapToGrid w:val="0"/>
        <w:spacing w:line="360" w:lineRule="auto"/>
        <w:jc w:val="left"/>
        <w:rPr>
          <w:szCs w:val="24"/>
        </w:rPr>
      </w:pPr>
      <w:r>
        <w:rPr>
          <w:szCs w:val="24"/>
        </w:rPr>
        <w:t>保障软硬件的安全性和可恢复性；</w:t>
      </w:r>
    </w:p>
    <w:p w14:paraId="5D4D822A">
      <w:pPr>
        <w:numPr>
          <w:ilvl w:val="0"/>
          <w:numId w:val="3"/>
        </w:numPr>
        <w:snapToGrid w:val="0"/>
        <w:spacing w:line="360" w:lineRule="auto"/>
        <w:jc w:val="left"/>
        <w:rPr>
          <w:szCs w:val="24"/>
        </w:rPr>
      </w:pPr>
      <w:r>
        <w:rPr>
          <w:szCs w:val="24"/>
        </w:rPr>
        <w:t>故障的及时响应与修复；</w:t>
      </w:r>
    </w:p>
    <w:p w14:paraId="01877847">
      <w:pPr>
        <w:numPr>
          <w:ilvl w:val="0"/>
          <w:numId w:val="3"/>
        </w:numPr>
        <w:snapToGrid w:val="0"/>
        <w:spacing w:line="360" w:lineRule="auto"/>
        <w:jc w:val="left"/>
        <w:rPr>
          <w:szCs w:val="24"/>
        </w:rPr>
      </w:pPr>
      <w:r>
        <w:rPr>
          <w:rFonts w:hint="eastAsia"/>
          <w:szCs w:val="24"/>
        </w:rPr>
        <w:t>硬件设备</w:t>
      </w:r>
      <w:r>
        <w:rPr>
          <w:szCs w:val="24"/>
        </w:rPr>
        <w:t>的维修服务；</w:t>
      </w:r>
    </w:p>
    <w:p w14:paraId="451DE84D">
      <w:pPr>
        <w:numPr>
          <w:ilvl w:val="0"/>
          <w:numId w:val="3"/>
        </w:numPr>
        <w:snapToGrid w:val="0"/>
        <w:spacing w:line="360" w:lineRule="auto"/>
        <w:jc w:val="left"/>
        <w:rPr>
          <w:szCs w:val="24"/>
        </w:rPr>
      </w:pPr>
      <w:r>
        <w:rPr>
          <w:szCs w:val="24"/>
        </w:rPr>
        <w:t>人员的技术培训服务；</w:t>
      </w:r>
    </w:p>
    <w:p w14:paraId="2765A7C5">
      <w:pPr>
        <w:numPr>
          <w:ilvl w:val="0"/>
          <w:numId w:val="3"/>
        </w:numPr>
        <w:snapToGrid w:val="0"/>
        <w:spacing w:line="360" w:lineRule="auto"/>
        <w:jc w:val="left"/>
        <w:rPr>
          <w:szCs w:val="24"/>
        </w:rPr>
      </w:pPr>
      <w:r>
        <w:rPr>
          <w:rFonts w:hint="eastAsia"/>
          <w:szCs w:val="24"/>
        </w:rPr>
        <w:t>信息化建设规划、方案制定等</w:t>
      </w:r>
      <w:r>
        <w:rPr>
          <w:szCs w:val="24"/>
        </w:rPr>
        <w:t>咨询服务。</w:t>
      </w:r>
    </w:p>
    <w:p w14:paraId="01E1EEB0">
      <w:pPr>
        <w:pStyle w:val="3"/>
        <w:snapToGrid w:val="0"/>
        <w:spacing w:before="0" w:after="0" w:line="360" w:lineRule="auto"/>
        <w:rPr>
          <w:rFonts w:ascii="宋体" w:hAnsi="宋体" w:eastAsia="宋体"/>
          <w:sz w:val="24"/>
          <w:szCs w:val="24"/>
        </w:rPr>
      </w:pPr>
      <w:bookmarkStart w:id="11" w:name="_Toc491637474"/>
      <w:r>
        <w:rPr>
          <w:rFonts w:ascii="宋体" w:hAnsi="宋体" w:eastAsia="宋体"/>
          <w:sz w:val="24"/>
          <w:szCs w:val="24"/>
        </w:rPr>
        <w:t>2</w:t>
      </w:r>
      <w:r>
        <w:rPr>
          <w:rFonts w:hint="eastAsia" w:ascii="宋体" w:hAnsi="宋体" w:eastAsia="宋体"/>
          <w:sz w:val="24"/>
          <w:szCs w:val="24"/>
        </w:rPr>
        <w:t>系统现状</w:t>
      </w:r>
      <w:bookmarkEnd w:id="11"/>
    </w:p>
    <w:p w14:paraId="538E794E">
      <w:pPr>
        <w:pStyle w:val="4"/>
        <w:snapToGrid w:val="0"/>
        <w:spacing w:before="0" w:line="360" w:lineRule="auto"/>
        <w:rPr>
          <w:rFonts w:hint="eastAsia" w:ascii="宋体" w:hAnsi="宋体"/>
          <w:sz w:val="24"/>
          <w:szCs w:val="24"/>
          <w:lang w:eastAsia="zh-CN"/>
        </w:rPr>
      </w:pPr>
      <w:bookmarkStart w:id="12" w:name="_Toc491637475"/>
      <w:r>
        <w:rPr>
          <w:rFonts w:ascii="宋体" w:hAnsi="宋体"/>
          <w:sz w:val="24"/>
          <w:szCs w:val="24"/>
          <w:lang w:eastAsia="zh-CN"/>
        </w:rPr>
        <w:t>2.1网络</w:t>
      </w:r>
      <w:r>
        <w:rPr>
          <w:rFonts w:hint="eastAsia" w:ascii="宋体" w:hAnsi="宋体"/>
          <w:sz w:val="24"/>
          <w:szCs w:val="24"/>
          <w:lang w:eastAsia="zh-CN"/>
        </w:rPr>
        <w:t>系统</w:t>
      </w:r>
      <w:bookmarkEnd w:id="12"/>
    </w:p>
    <w:p w14:paraId="1BD074FD">
      <w:pPr>
        <w:snapToGrid w:val="0"/>
        <w:spacing w:line="360" w:lineRule="auto"/>
        <w:ind w:firstLine="460" w:firstLineChars="192"/>
        <w:rPr>
          <w:rFonts w:hint="eastAsia"/>
          <w:szCs w:val="24"/>
        </w:rPr>
      </w:pPr>
      <w:r>
        <w:rPr>
          <w:szCs w:val="24"/>
        </w:rPr>
        <w:t>XX局</w:t>
      </w:r>
      <w:r>
        <w:rPr>
          <w:rFonts w:hint="eastAsia"/>
          <w:szCs w:val="24"/>
        </w:rPr>
        <w:t>计算机</w:t>
      </w:r>
      <w:r>
        <w:rPr>
          <w:szCs w:val="24"/>
        </w:rPr>
        <w:t>网络</w:t>
      </w:r>
      <w:r>
        <w:rPr>
          <w:rFonts w:hint="eastAsia"/>
          <w:szCs w:val="24"/>
        </w:rPr>
        <w:t>包括市</w:t>
      </w:r>
      <w:r>
        <w:rPr>
          <w:szCs w:val="24"/>
        </w:rPr>
        <w:t>电子政务外网（简称外网）</w:t>
      </w:r>
      <w:r>
        <w:rPr>
          <w:rFonts w:hint="eastAsia"/>
          <w:szCs w:val="24"/>
        </w:rPr>
        <w:t>、</w:t>
      </w:r>
      <w:r>
        <w:rPr>
          <w:szCs w:val="24"/>
        </w:rPr>
        <w:t>市</w:t>
      </w:r>
      <w:r>
        <w:rPr>
          <w:rFonts w:hint="eastAsia"/>
          <w:szCs w:val="24"/>
        </w:rPr>
        <w:t>电子政务内网（简</w:t>
      </w:r>
      <w:r>
        <w:rPr>
          <w:szCs w:val="24"/>
        </w:rPr>
        <w:t>称内网）</w:t>
      </w:r>
      <w:r>
        <w:rPr>
          <w:rFonts w:hint="eastAsia"/>
          <w:szCs w:val="24"/>
        </w:rPr>
        <w:t>以及全国政府系统电子政务专网（简称专网）三</w:t>
      </w:r>
      <w:r>
        <w:rPr>
          <w:szCs w:val="24"/>
        </w:rPr>
        <w:t>部分。</w:t>
      </w:r>
      <w:r>
        <w:rPr>
          <w:rFonts w:hint="eastAsia"/>
          <w:szCs w:val="24"/>
        </w:rPr>
        <w:t>内网、外网、专网所有硬件设备集中于XX局机房各个独立区域，互相物理隔离。</w:t>
      </w:r>
    </w:p>
    <w:p w14:paraId="2724DB9D">
      <w:pPr>
        <w:snapToGrid w:val="0"/>
        <w:spacing w:line="360" w:lineRule="auto"/>
        <w:ind w:firstLine="460" w:firstLineChars="192"/>
        <w:rPr>
          <w:rFonts w:hint="eastAsia"/>
          <w:szCs w:val="24"/>
        </w:rPr>
      </w:pPr>
      <w:r>
        <w:rPr>
          <w:szCs w:val="24"/>
        </w:rPr>
        <w:t>外网</w:t>
      </w:r>
      <w:r>
        <w:rPr>
          <w:rFonts w:hint="eastAsia"/>
          <w:szCs w:val="24"/>
        </w:rPr>
        <w:t>与</w:t>
      </w:r>
      <w:r>
        <w:rPr>
          <w:szCs w:val="24"/>
        </w:rPr>
        <w:t>互联网</w:t>
      </w:r>
      <w:r>
        <w:rPr>
          <w:rFonts w:hint="eastAsia"/>
          <w:szCs w:val="24"/>
        </w:rPr>
        <w:t>逻辑隔离，主要为市人大建议提案网上办理、XX局政务公开等应用系统提供网络平台，</w:t>
      </w:r>
      <w:r>
        <w:rPr>
          <w:szCs w:val="24"/>
        </w:rPr>
        <w:t>为</w:t>
      </w:r>
      <w:r>
        <w:rPr>
          <w:rFonts w:hint="eastAsia"/>
          <w:szCs w:val="24"/>
        </w:rPr>
        <w:t>市领导及</w:t>
      </w:r>
      <w:r>
        <w:rPr>
          <w:szCs w:val="24"/>
        </w:rPr>
        <w:t>XX局各处室</w:t>
      </w:r>
      <w:r>
        <w:rPr>
          <w:rFonts w:hint="eastAsia"/>
          <w:szCs w:val="24"/>
        </w:rPr>
        <w:t>提供</w:t>
      </w:r>
      <w:r>
        <w:rPr>
          <w:szCs w:val="24"/>
        </w:rPr>
        <w:t>互联网</w:t>
      </w:r>
      <w:r>
        <w:rPr>
          <w:rFonts w:hint="eastAsia"/>
          <w:szCs w:val="24"/>
        </w:rPr>
        <w:t>服务</w:t>
      </w:r>
      <w:r>
        <w:rPr>
          <w:szCs w:val="24"/>
        </w:rPr>
        <w:t>。</w:t>
      </w:r>
      <w:r>
        <w:rPr>
          <w:rFonts w:hint="eastAsia"/>
          <w:szCs w:val="24"/>
        </w:rPr>
        <w:t>外网安全加固措施：WSUS服务器、瑞星杀毒软件服务器为各联网终端提供系统补丁分发和瑞星杀毒软件管理服务，建立IPS、</w:t>
      </w:r>
      <w:r>
        <w:rPr>
          <w:szCs w:val="24"/>
        </w:rPr>
        <w:t>防火墙</w:t>
      </w:r>
      <w:r>
        <w:rPr>
          <w:rFonts w:hint="eastAsia"/>
          <w:szCs w:val="24"/>
        </w:rPr>
        <w:t>等基本网络安全措施。</w:t>
      </w:r>
    </w:p>
    <w:p w14:paraId="4C09D75F">
      <w:pPr>
        <w:snapToGrid w:val="0"/>
        <w:spacing w:line="360" w:lineRule="auto"/>
        <w:ind w:firstLine="460" w:firstLineChars="192"/>
        <w:rPr>
          <w:rFonts w:hint="eastAsia"/>
          <w:szCs w:val="24"/>
        </w:rPr>
      </w:pPr>
      <w:r>
        <w:rPr>
          <w:szCs w:val="24"/>
        </w:rPr>
        <w:t>内网</w:t>
      </w:r>
      <w:r>
        <w:rPr>
          <w:rFonts w:hint="eastAsia"/>
          <w:szCs w:val="24"/>
        </w:rPr>
        <w:t>与外网</w:t>
      </w:r>
      <w:r>
        <w:rPr>
          <w:szCs w:val="24"/>
        </w:rPr>
        <w:t>和互联网物理隔离</w:t>
      </w:r>
      <w:r>
        <w:rPr>
          <w:rFonts w:hint="eastAsia"/>
          <w:szCs w:val="24"/>
        </w:rPr>
        <w:t>，为XX局日常公文流转、公文处理等信息化系统提供基础网络平台。内网安全加固措施：WSUS服务器、瑞星杀毒软件服务器为各联网终端提供系统补丁分发和瑞星杀毒软件管理服务；配备</w:t>
      </w:r>
      <w:r>
        <w:rPr>
          <w:szCs w:val="24"/>
        </w:rPr>
        <w:t>防火墙实现内网中</w:t>
      </w:r>
      <w:r>
        <w:rPr>
          <w:rFonts w:hint="eastAsia"/>
          <w:szCs w:val="24"/>
        </w:rPr>
        <w:t>服务器</w:t>
      </w:r>
      <w:r>
        <w:rPr>
          <w:szCs w:val="24"/>
        </w:rPr>
        <w:t>区域间的逻辑隔离及安全区域间的访问控制，重点划分服务器区，实现相应的访问控制策略</w:t>
      </w:r>
      <w:r>
        <w:rPr>
          <w:rFonts w:hint="eastAsia"/>
          <w:szCs w:val="24"/>
        </w:rPr>
        <w:t>。</w:t>
      </w:r>
    </w:p>
    <w:p w14:paraId="30984056">
      <w:pPr>
        <w:snapToGrid w:val="0"/>
        <w:spacing w:line="360" w:lineRule="auto"/>
        <w:ind w:firstLine="460" w:firstLineChars="192"/>
        <w:rPr>
          <w:rFonts w:hint="eastAsia" w:cs="宋体"/>
          <w:color w:val="232323"/>
          <w:kern w:val="0"/>
          <w:szCs w:val="24"/>
        </w:rPr>
      </w:pPr>
      <w:r>
        <w:rPr>
          <w:rFonts w:hint="eastAsia"/>
          <w:szCs w:val="24"/>
        </w:rPr>
        <w:t>专网由XX局电子政务办公室统一规划建设，专网和</w:t>
      </w:r>
      <w:r>
        <w:rPr>
          <w:rFonts w:hint="eastAsia" w:cs="宋体"/>
          <w:color w:val="232323"/>
          <w:kern w:val="0"/>
          <w:szCs w:val="24"/>
        </w:rPr>
        <w:t>互联网、内网及其他非涉密网络严格物理隔离，目前主要提供政务信息上报服务和邮件服务。</w:t>
      </w:r>
    </w:p>
    <w:p w14:paraId="5BE90180">
      <w:pPr>
        <w:snapToGrid w:val="0"/>
        <w:spacing w:line="360" w:lineRule="auto"/>
        <w:ind w:firstLine="460" w:firstLineChars="192"/>
        <w:rPr>
          <w:szCs w:val="24"/>
        </w:rPr>
      </w:pPr>
    </w:p>
    <w:p w14:paraId="14EB78AC">
      <w:pPr>
        <w:snapToGrid w:val="0"/>
        <w:spacing w:line="360" w:lineRule="auto"/>
        <w:jc w:val="center"/>
        <w:rPr>
          <w:rFonts w:hint="eastAsia"/>
          <w:szCs w:val="24"/>
        </w:rPr>
      </w:pPr>
      <w:r>
        <w:rPr>
          <w:rFonts w:hint="eastAsia"/>
          <w:szCs w:val="24"/>
        </w:rPr>
        <w:t>（内网结构图）</w:t>
      </w:r>
    </w:p>
    <w:p w14:paraId="28812AEA">
      <w:pPr>
        <w:snapToGrid w:val="0"/>
        <w:spacing w:line="360" w:lineRule="auto"/>
        <w:jc w:val="center"/>
        <w:rPr>
          <w:rFonts w:hint="eastAsia"/>
        </w:rPr>
      </w:pPr>
    </w:p>
    <w:p w14:paraId="7E5810F8">
      <w:pPr>
        <w:snapToGrid w:val="0"/>
        <w:spacing w:line="360" w:lineRule="auto"/>
        <w:jc w:val="center"/>
        <w:rPr>
          <w:rFonts w:hint="eastAsia"/>
        </w:rPr>
      </w:pPr>
      <w:r>
        <w:rPr>
          <w:rFonts w:hint="eastAsia"/>
        </w:rPr>
        <w:t>（外网结构图）</w:t>
      </w:r>
    </w:p>
    <w:p w14:paraId="1390029E">
      <w:pPr>
        <w:snapToGrid w:val="0"/>
        <w:spacing w:line="360" w:lineRule="auto"/>
        <w:jc w:val="center"/>
        <w:rPr>
          <w:rFonts w:hint="eastAsia"/>
        </w:rPr>
      </w:pPr>
    </w:p>
    <w:p w14:paraId="16C11914">
      <w:pPr>
        <w:snapToGrid w:val="0"/>
        <w:spacing w:line="360" w:lineRule="auto"/>
        <w:jc w:val="center"/>
        <w:rPr>
          <w:rFonts w:hint="eastAsia"/>
        </w:rPr>
      </w:pPr>
      <w:r>
        <w:t xml:space="preserve"> </w:t>
      </w:r>
    </w:p>
    <w:p w14:paraId="08EBD828">
      <w:pPr>
        <w:snapToGrid w:val="0"/>
        <w:spacing w:line="360" w:lineRule="auto"/>
        <w:jc w:val="center"/>
        <w:rPr>
          <w:rFonts w:hint="eastAsia"/>
          <w:szCs w:val="24"/>
        </w:rPr>
      </w:pPr>
      <w:r>
        <w:rPr>
          <w:rFonts w:hint="eastAsia"/>
        </w:rPr>
        <w:t>（专网结构图）</w:t>
      </w:r>
    </w:p>
    <w:p w14:paraId="5AD0195F">
      <w:pPr>
        <w:pStyle w:val="4"/>
        <w:snapToGrid w:val="0"/>
        <w:spacing w:before="0" w:line="360" w:lineRule="auto"/>
        <w:rPr>
          <w:rFonts w:ascii="宋体" w:hAnsi="宋体"/>
          <w:sz w:val="24"/>
          <w:szCs w:val="24"/>
          <w:lang w:eastAsia="zh-CN"/>
        </w:rPr>
      </w:pPr>
      <w:bookmarkStart w:id="13" w:name="_Toc491637476"/>
      <w:r>
        <w:rPr>
          <w:rFonts w:ascii="宋体" w:hAnsi="宋体"/>
          <w:sz w:val="24"/>
          <w:szCs w:val="24"/>
          <w:lang w:eastAsia="zh-CN"/>
        </w:rPr>
        <w:t>2.2设备清单</w:t>
      </w:r>
      <w:bookmarkEnd w:id="13"/>
    </w:p>
    <w:p w14:paraId="7C6A3D1B">
      <w:pPr>
        <w:snapToGrid w:val="0"/>
        <w:spacing w:line="360" w:lineRule="auto"/>
        <w:ind w:firstLine="460" w:firstLineChars="192"/>
        <w:rPr>
          <w:szCs w:val="24"/>
        </w:rPr>
      </w:pPr>
      <w:r>
        <w:rPr>
          <w:szCs w:val="24"/>
        </w:rPr>
        <w:t>XX局各个计算机网络及应用系统硬件设备集中于XX局专用机房。清单如下：</w:t>
      </w:r>
    </w:p>
    <w:tbl>
      <w:tblPr>
        <w:tblStyle w:val="20"/>
        <w:tblW w:w="7860" w:type="dxa"/>
        <w:jc w:val="center"/>
        <w:tblLayout w:type="autofit"/>
        <w:tblCellMar>
          <w:top w:w="0" w:type="dxa"/>
          <w:left w:w="108" w:type="dxa"/>
          <w:bottom w:w="0" w:type="dxa"/>
          <w:right w:w="108" w:type="dxa"/>
        </w:tblCellMar>
      </w:tblPr>
      <w:tblGrid>
        <w:gridCol w:w="1391"/>
        <w:gridCol w:w="3684"/>
        <w:gridCol w:w="585"/>
        <w:gridCol w:w="2200"/>
      </w:tblGrid>
      <w:tr w14:paraId="188810B4">
        <w:tblPrEx>
          <w:tblCellMar>
            <w:top w:w="0" w:type="dxa"/>
            <w:left w:w="108" w:type="dxa"/>
            <w:bottom w:w="0" w:type="dxa"/>
            <w:right w:w="108" w:type="dxa"/>
          </w:tblCellMar>
        </w:tblPrEx>
        <w:trPr>
          <w:trHeight w:val="465" w:hRule="atLeast"/>
          <w:jc w:val="center"/>
        </w:trPr>
        <w:tc>
          <w:tcPr>
            <w:tcW w:w="7860" w:type="dxa"/>
            <w:gridSpan w:val="4"/>
            <w:tcBorders>
              <w:top w:val="nil"/>
              <w:left w:val="nil"/>
              <w:bottom w:val="single" w:color="auto" w:sz="4" w:space="0"/>
              <w:right w:val="nil"/>
            </w:tcBorders>
            <w:shd w:val="clear" w:color="auto" w:fill="auto"/>
            <w:noWrap/>
            <w:vAlign w:val="center"/>
          </w:tcPr>
          <w:p w14:paraId="12B72EB8">
            <w:pPr>
              <w:widowControl/>
              <w:snapToGrid w:val="0"/>
              <w:spacing w:line="360" w:lineRule="auto"/>
              <w:jc w:val="center"/>
              <w:rPr>
                <w:rFonts w:hint="eastAsia"/>
                <w:color w:val="000000"/>
                <w:kern w:val="0"/>
                <w:szCs w:val="24"/>
              </w:rPr>
            </w:pPr>
            <w:r>
              <w:rPr>
                <w:rFonts w:hint="eastAsia"/>
                <w:color w:val="000000"/>
                <w:kern w:val="0"/>
                <w:szCs w:val="24"/>
              </w:rPr>
              <w:t>硬件设备汇总表</w:t>
            </w:r>
          </w:p>
        </w:tc>
      </w:tr>
      <w:tr w14:paraId="2EEFDB79">
        <w:tblPrEx>
          <w:tblCellMar>
            <w:top w:w="0" w:type="dxa"/>
            <w:left w:w="108" w:type="dxa"/>
            <w:bottom w:w="0" w:type="dxa"/>
            <w:right w:w="108" w:type="dxa"/>
          </w:tblCellMar>
        </w:tblPrEx>
        <w:trPr>
          <w:trHeight w:val="39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36F58449">
            <w:pPr>
              <w:widowControl/>
              <w:snapToGrid w:val="0"/>
              <w:spacing w:line="360" w:lineRule="auto"/>
              <w:jc w:val="center"/>
              <w:rPr>
                <w:color w:val="000000"/>
                <w:kern w:val="0"/>
                <w:szCs w:val="24"/>
              </w:rPr>
            </w:pPr>
            <w:r>
              <w:rPr>
                <w:color w:val="000000"/>
                <w:kern w:val="0"/>
                <w:szCs w:val="24"/>
              </w:rPr>
              <w:t>设备类型</w:t>
            </w:r>
          </w:p>
        </w:tc>
        <w:tc>
          <w:tcPr>
            <w:tcW w:w="3684" w:type="dxa"/>
            <w:tcBorders>
              <w:top w:val="nil"/>
              <w:left w:val="nil"/>
              <w:bottom w:val="single" w:color="auto" w:sz="4" w:space="0"/>
              <w:right w:val="single" w:color="auto" w:sz="4" w:space="0"/>
            </w:tcBorders>
            <w:shd w:val="clear" w:color="000000" w:fill="FFFFFF"/>
            <w:noWrap/>
            <w:vAlign w:val="center"/>
          </w:tcPr>
          <w:p w14:paraId="03E0B585">
            <w:pPr>
              <w:widowControl/>
              <w:snapToGrid w:val="0"/>
              <w:spacing w:line="360" w:lineRule="auto"/>
              <w:jc w:val="center"/>
              <w:rPr>
                <w:color w:val="000000"/>
                <w:kern w:val="0"/>
                <w:szCs w:val="24"/>
              </w:rPr>
            </w:pPr>
            <w:r>
              <w:rPr>
                <w:color w:val="000000"/>
                <w:kern w:val="0"/>
                <w:szCs w:val="24"/>
              </w:rPr>
              <w:t>设备型号</w:t>
            </w:r>
          </w:p>
        </w:tc>
        <w:tc>
          <w:tcPr>
            <w:tcW w:w="585" w:type="dxa"/>
            <w:tcBorders>
              <w:top w:val="nil"/>
              <w:left w:val="nil"/>
              <w:bottom w:val="single" w:color="auto" w:sz="4" w:space="0"/>
              <w:right w:val="single" w:color="auto" w:sz="4" w:space="0"/>
            </w:tcBorders>
            <w:shd w:val="clear" w:color="000000" w:fill="FFFFFF"/>
            <w:noWrap/>
            <w:vAlign w:val="center"/>
          </w:tcPr>
          <w:p w14:paraId="5EA0705A">
            <w:pPr>
              <w:widowControl/>
              <w:snapToGrid w:val="0"/>
              <w:spacing w:line="360" w:lineRule="auto"/>
              <w:jc w:val="center"/>
              <w:rPr>
                <w:color w:val="000000"/>
                <w:kern w:val="0"/>
                <w:szCs w:val="24"/>
              </w:rPr>
            </w:pPr>
            <w:r>
              <w:rPr>
                <w:color w:val="000000"/>
                <w:kern w:val="0"/>
                <w:szCs w:val="24"/>
              </w:rPr>
              <w:t>数量</w:t>
            </w:r>
          </w:p>
        </w:tc>
        <w:tc>
          <w:tcPr>
            <w:tcW w:w="2200" w:type="dxa"/>
            <w:tcBorders>
              <w:top w:val="nil"/>
              <w:left w:val="nil"/>
              <w:bottom w:val="single" w:color="auto" w:sz="4" w:space="0"/>
              <w:right w:val="single" w:color="auto" w:sz="4" w:space="0"/>
            </w:tcBorders>
            <w:shd w:val="clear" w:color="000000" w:fill="FFFFFF"/>
            <w:noWrap/>
            <w:vAlign w:val="center"/>
          </w:tcPr>
          <w:p w14:paraId="4C032002">
            <w:pPr>
              <w:widowControl/>
              <w:snapToGrid w:val="0"/>
              <w:spacing w:line="360" w:lineRule="auto"/>
              <w:jc w:val="center"/>
              <w:rPr>
                <w:color w:val="000000"/>
                <w:kern w:val="0"/>
                <w:szCs w:val="24"/>
              </w:rPr>
            </w:pPr>
            <w:r>
              <w:rPr>
                <w:color w:val="000000"/>
                <w:kern w:val="0"/>
                <w:szCs w:val="24"/>
              </w:rPr>
              <w:t>备注</w:t>
            </w:r>
          </w:p>
        </w:tc>
      </w:tr>
      <w:tr w14:paraId="162A3025">
        <w:tblPrEx>
          <w:tblCellMar>
            <w:top w:w="0" w:type="dxa"/>
            <w:left w:w="108" w:type="dxa"/>
            <w:bottom w:w="0" w:type="dxa"/>
            <w:right w:w="108" w:type="dxa"/>
          </w:tblCellMar>
        </w:tblPrEx>
        <w:trPr>
          <w:trHeight w:val="270" w:hRule="atLeast"/>
          <w:jc w:val="center"/>
        </w:trPr>
        <w:tc>
          <w:tcPr>
            <w:tcW w:w="1391" w:type="dxa"/>
            <w:vMerge w:val="restart"/>
            <w:tcBorders>
              <w:top w:val="nil"/>
              <w:left w:val="single" w:color="auto" w:sz="4" w:space="0"/>
              <w:bottom w:val="single" w:color="auto" w:sz="4" w:space="0"/>
              <w:right w:val="single" w:color="auto" w:sz="4" w:space="0"/>
            </w:tcBorders>
            <w:shd w:val="clear" w:color="000000" w:fill="FFFFFF"/>
            <w:noWrap/>
            <w:vAlign w:val="center"/>
          </w:tcPr>
          <w:p w14:paraId="42C37644">
            <w:pPr>
              <w:widowControl/>
              <w:snapToGrid w:val="0"/>
              <w:spacing w:line="360" w:lineRule="auto"/>
              <w:jc w:val="center"/>
              <w:rPr>
                <w:color w:val="000000"/>
                <w:kern w:val="0"/>
                <w:szCs w:val="24"/>
              </w:rPr>
            </w:pPr>
            <w:r>
              <w:rPr>
                <w:color w:val="000000"/>
                <w:kern w:val="0"/>
                <w:szCs w:val="24"/>
              </w:rPr>
              <w:t>服务器</w:t>
            </w:r>
          </w:p>
        </w:tc>
        <w:tc>
          <w:tcPr>
            <w:tcW w:w="3684" w:type="dxa"/>
            <w:tcBorders>
              <w:top w:val="nil"/>
              <w:left w:val="nil"/>
              <w:bottom w:val="single" w:color="auto" w:sz="4" w:space="0"/>
              <w:right w:val="single" w:color="auto" w:sz="4" w:space="0"/>
            </w:tcBorders>
            <w:shd w:val="clear" w:color="000000" w:fill="FFFFFF"/>
            <w:noWrap/>
            <w:vAlign w:val="center"/>
          </w:tcPr>
          <w:p w14:paraId="5F9CE937">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21ABCD02">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56E47A07">
            <w:pPr>
              <w:widowControl/>
              <w:snapToGrid w:val="0"/>
              <w:spacing w:line="360" w:lineRule="auto"/>
              <w:jc w:val="center"/>
              <w:rPr>
                <w:color w:val="000000"/>
                <w:kern w:val="0"/>
                <w:szCs w:val="24"/>
              </w:rPr>
            </w:pPr>
            <w:r>
              <w:rPr>
                <w:color w:val="000000"/>
                <w:kern w:val="0"/>
                <w:szCs w:val="24"/>
              </w:rPr>
              <w:t>　</w:t>
            </w:r>
          </w:p>
        </w:tc>
      </w:tr>
      <w:tr w14:paraId="6ACBD560">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6B85A77F">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0177ABDA">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67086F48">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49A219FD">
            <w:pPr>
              <w:widowControl/>
              <w:snapToGrid w:val="0"/>
              <w:spacing w:line="360" w:lineRule="auto"/>
              <w:jc w:val="center"/>
              <w:rPr>
                <w:color w:val="000000"/>
                <w:kern w:val="0"/>
                <w:szCs w:val="24"/>
              </w:rPr>
            </w:pPr>
            <w:r>
              <w:rPr>
                <w:color w:val="000000"/>
                <w:kern w:val="0"/>
                <w:szCs w:val="24"/>
              </w:rPr>
              <w:t>　</w:t>
            </w:r>
          </w:p>
        </w:tc>
      </w:tr>
      <w:tr w14:paraId="4B132C2B">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28C5B53E">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43C6DE9E">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3F573E19">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10F611BD">
            <w:pPr>
              <w:widowControl/>
              <w:snapToGrid w:val="0"/>
              <w:spacing w:line="360" w:lineRule="auto"/>
              <w:jc w:val="center"/>
              <w:rPr>
                <w:color w:val="000000"/>
                <w:kern w:val="0"/>
                <w:szCs w:val="24"/>
              </w:rPr>
            </w:pPr>
            <w:r>
              <w:rPr>
                <w:color w:val="000000"/>
                <w:kern w:val="0"/>
                <w:szCs w:val="24"/>
              </w:rPr>
              <w:t>　</w:t>
            </w:r>
          </w:p>
        </w:tc>
      </w:tr>
      <w:tr w14:paraId="4F53B21B">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3992436A">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3B311286">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64A0706D">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7A05E5F4">
            <w:pPr>
              <w:widowControl/>
              <w:snapToGrid w:val="0"/>
              <w:spacing w:line="360" w:lineRule="auto"/>
              <w:jc w:val="center"/>
              <w:rPr>
                <w:color w:val="000000"/>
                <w:kern w:val="0"/>
                <w:szCs w:val="24"/>
              </w:rPr>
            </w:pPr>
            <w:r>
              <w:rPr>
                <w:color w:val="000000"/>
                <w:kern w:val="0"/>
                <w:szCs w:val="24"/>
              </w:rPr>
              <w:t>　</w:t>
            </w:r>
          </w:p>
        </w:tc>
      </w:tr>
      <w:tr w14:paraId="0BCEFF25">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58E4A85F">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571C3A4C">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70F56420">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110F1CC2">
            <w:pPr>
              <w:widowControl/>
              <w:snapToGrid w:val="0"/>
              <w:spacing w:line="360" w:lineRule="auto"/>
              <w:jc w:val="center"/>
              <w:rPr>
                <w:color w:val="000000"/>
                <w:kern w:val="0"/>
                <w:szCs w:val="24"/>
              </w:rPr>
            </w:pPr>
            <w:r>
              <w:rPr>
                <w:color w:val="000000"/>
                <w:kern w:val="0"/>
                <w:szCs w:val="24"/>
              </w:rPr>
              <w:t>　</w:t>
            </w:r>
          </w:p>
        </w:tc>
      </w:tr>
      <w:tr w14:paraId="73C7236D">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1F1ED88E">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7D667635">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5ED1B90D">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2EB513D8">
            <w:pPr>
              <w:widowControl/>
              <w:snapToGrid w:val="0"/>
              <w:spacing w:line="360" w:lineRule="auto"/>
              <w:jc w:val="center"/>
              <w:rPr>
                <w:color w:val="000000"/>
                <w:kern w:val="0"/>
                <w:szCs w:val="24"/>
              </w:rPr>
            </w:pPr>
            <w:r>
              <w:rPr>
                <w:color w:val="000000"/>
                <w:kern w:val="0"/>
                <w:szCs w:val="24"/>
              </w:rPr>
              <w:t>　</w:t>
            </w:r>
          </w:p>
        </w:tc>
      </w:tr>
      <w:tr w14:paraId="2FA8A533">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39A70442">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575B34F6">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610BAB2A">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17B25662">
            <w:pPr>
              <w:widowControl/>
              <w:snapToGrid w:val="0"/>
              <w:spacing w:line="360" w:lineRule="auto"/>
              <w:jc w:val="center"/>
              <w:rPr>
                <w:color w:val="000000"/>
                <w:kern w:val="0"/>
                <w:szCs w:val="24"/>
              </w:rPr>
            </w:pPr>
            <w:r>
              <w:rPr>
                <w:color w:val="000000"/>
                <w:kern w:val="0"/>
                <w:szCs w:val="24"/>
              </w:rPr>
              <w:t>　</w:t>
            </w:r>
          </w:p>
        </w:tc>
      </w:tr>
      <w:tr w14:paraId="70543B73">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73D666D2">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03338991">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6B313C24">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5ADD2152">
            <w:pPr>
              <w:widowControl/>
              <w:snapToGrid w:val="0"/>
              <w:spacing w:line="360" w:lineRule="auto"/>
              <w:jc w:val="center"/>
              <w:rPr>
                <w:color w:val="000000"/>
                <w:kern w:val="0"/>
                <w:szCs w:val="24"/>
              </w:rPr>
            </w:pPr>
            <w:r>
              <w:rPr>
                <w:color w:val="000000"/>
                <w:kern w:val="0"/>
                <w:szCs w:val="24"/>
              </w:rPr>
              <w:t>　</w:t>
            </w:r>
          </w:p>
        </w:tc>
      </w:tr>
      <w:tr w14:paraId="70A3F68F">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6A79A3DC">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57901D24">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4EBACF56">
            <w:pPr>
              <w:widowControl/>
              <w:snapToGrid w:val="0"/>
              <w:spacing w:line="360" w:lineRule="auto"/>
              <w:jc w:val="center"/>
              <w:rPr>
                <w:color w:val="000000"/>
                <w:kern w:val="0"/>
                <w:szCs w:val="24"/>
              </w:rPr>
            </w:pPr>
          </w:p>
        </w:tc>
        <w:tc>
          <w:tcPr>
            <w:tcW w:w="2200" w:type="dxa"/>
            <w:tcBorders>
              <w:top w:val="nil"/>
              <w:left w:val="nil"/>
              <w:bottom w:val="single" w:color="auto" w:sz="4" w:space="0"/>
              <w:right w:val="single" w:color="auto" w:sz="4" w:space="0"/>
            </w:tcBorders>
            <w:shd w:val="clear" w:color="000000" w:fill="FFFFFF"/>
            <w:noWrap/>
            <w:vAlign w:val="center"/>
          </w:tcPr>
          <w:p w14:paraId="6FB0E73D">
            <w:pPr>
              <w:widowControl/>
              <w:snapToGrid w:val="0"/>
              <w:spacing w:line="360" w:lineRule="auto"/>
              <w:jc w:val="center"/>
              <w:rPr>
                <w:color w:val="000000"/>
                <w:kern w:val="0"/>
                <w:szCs w:val="24"/>
              </w:rPr>
            </w:pPr>
          </w:p>
        </w:tc>
      </w:tr>
      <w:tr w14:paraId="15D0485A">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5D36BF43">
            <w:pPr>
              <w:widowControl/>
              <w:snapToGrid w:val="0"/>
              <w:spacing w:line="360" w:lineRule="auto"/>
              <w:jc w:val="center"/>
              <w:rPr>
                <w:color w:val="000000"/>
                <w:kern w:val="0"/>
                <w:szCs w:val="24"/>
              </w:rPr>
            </w:pPr>
            <w:r>
              <w:rPr>
                <w:color w:val="000000"/>
                <w:kern w:val="0"/>
                <w:szCs w:val="24"/>
              </w:rPr>
              <w:t>服务器合计</w:t>
            </w:r>
          </w:p>
        </w:tc>
        <w:tc>
          <w:tcPr>
            <w:tcW w:w="3684" w:type="dxa"/>
            <w:tcBorders>
              <w:top w:val="nil"/>
              <w:left w:val="nil"/>
              <w:bottom w:val="single" w:color="auto" w:sz="4" w:space="0"/>
              <w:right w:val="single" w:color="auto" w:sz="4" w:space="0"/>
            </w:tcBorders>
            <w:shd w:val="clear" w:color="000000" w:fill="FFFFFF"/>
            <w:noWrap/>
            <w:vAlign w:val="center"/>
          </w:tcPr>
          <w:p w14:paraId="18545C29">
            <w:pPr>
              <w:widowControl/>
              <w:snapToGrid w:val="0"/>
              <w:spacing w:line="360" w:lineRule="auto"/>
              <w:jc w:val="center"/>
              <w:rPr>
                <w:color w:val="000000"/>
                <w:kern w:val="0"/>
                <w:szCs w:val="24"/>
              </w:rPr>
            </w:pPr>
            <w:r>
              <w:rPr>
                <w:color w:val="000000"/>
                <w:kern w:val="0"/>
                <w:szCs w:val="24"/>
              </w:rPr>
              <w:t>　</w:t>
            </w:r>
          </w:p>
        </w:tc>
        <w:tc>
          <w:tcPr>
            <w:tcW w:w="585" w:type="dxa"/>
            <w:tcBorders>
              <w:top w:val="nil"/>
              <w:left w:val="nil"/>
              <w:bottom w:val="single" w:color="auto" w:sz="4" w:space="0"/>
              <w:right w:val="single" w:color="auto" w:sz="4" w:space="0"/>
            </w:tcBorders>
            <w:shd w:val="clear" w:color="000000" w:fill="FFFFFF"/>
            <w:noWrap/>
            <w:vAlign w:val="center"/>
          </w:tcPr>
          <w:p w14:paraId="77605D2B">
            <w:pPr>
              <w:widowControl/>
              <w:snapToGrid w:val="0"/>
              <w:spacing w:line="360" w:lineRule="auto"/>
              <w:jc w:val="center"/>
              <w:rPr>
                <w:color w:val="000000"/>
                <w:kern w:val="0"/>
                <w:szCs w:val="24"/>
              </w:rPr>
            </w:pPr>
            <w:r>
              <w:rPr>
                <w:rFonts w:hint="eastAsia"/>
                <w:color w:val="000000"/>
                <w:kern w:val="0"/>
                <w:szCs w:val="24"/>
              </w:rPr>
              <w:t>39</w:t>
            </w:r>
          </w:p>
        </w:tc>
        <w:tc>
          <w:tcPr>
            <w:tcW w:w="2200" w:type="dxa"/>
            <w:tcBorders>
              <w:top w:val="nil"/>
              <w:left w:val="nil"/>
              <w:bottom w:val="single" w:color="auto" w:sz="4" w:space="0"/>
              <w:right w:val="single" w:color="auto" w:sz="4" w:space="0"/>
            </w:tcBorders>
            <w:shd w:val="clear" w:color="000000" w:fill="FFFFFF"/>
            <w:noWrap/>
            <w:vAlign w:val="center"/>
          </w:tcPr>
          <w:p w14:paraId="46E33760">
            <w:pPr>
              <w:widowControl/>
              <w:snapToGrid w:val="0"/>
              <w:spacing w:line="360" w:lineRule="auto"/>
              <w:jc w:val="center"/>
              <w:rPr>
                <w:color w:val="000000"/>
                <w:kern w:val="0"/>
                <w:szCs w:val="24"/>
              </w:rPr>
            </w:pPr>
            <w:r>
              <w:rPr>
                <w:color w:val="000000"/>
                <w:kern w:val="0"/>
                <w:szCs w:val="24"/>
              </w:rPr>
              <w:t>　</w:t>
            </w:r>
          </w:p>
        </w:tc>
      </w:tr>
      <w:tr w14:paraId="04633C6B">
        <w:tblPrEx>
          <w:tblCellMar>
            <w:top w:w="0" w:type="dxa"/>
            <w:left w:w="108" w:type="dxa"/>
            <w:bottom w:w="0" w:type="dxa"/>
            <w:right w:w="108" w:type="dxa"/>
          </w:tblCellMar>
        </w:tblPrEx>
        <w:trPr>
          <w:trHeight w:val="270" w:hRule="atLeast"/>
          <w:jc w:val="center"/>
        </w:trPr>
        <w:tc>
          <w:tcPr>
            <w:tcW w:w="1391" w:type="dxa"/>
            <w:vMerge w:val="restart"/>
            <w:tcBorders>
              <w:top w:val="nil"/>
              <w:left w:val="single" w:color="auto" w:sz="4" w:space="0"/>
              <w:bottom w:val="single" w:color="auto" w:sz="4" w:space="0"/>
              <w:right w:val="single" w:color="auto" w:sz="4" w:space="0"/>
            </w:tcBorders>
            <w:shd w:val="clear" w:color="000000" w:fill="FFFFFF"/>
            <w:noWrap/>
            <w:vAlign w:val="center"/>
          </w:tcPr>
          <w:p w14:paraId="72745C70">
            <w:pPr>
              <w:widowControl/>
              <w:snapToGrid w:val="0"/>
              <w:spacing w:line="360" w:lineRule="auto"/>
              <w:jc w:val="center"/>
              <w:rPr>
                <w:color w:val="000000"/>
                <w:kern w:val="0"/>
                <w:szCs w:val="24"/>
              </w:rPr>
            </w:pPr>
            <w:r>
              <w:rPr>
                <w:color w:val="000000"/>
                <w:kern w:val="0"/>
                <w:szCs w:val="24"/>
              </w:rPr>
              <w:t>交换机</w:t>
            </w:r>
          </w:p>
        </w:tc>
        <w:tc>
          <w:tcPr>
            <w:tcW w:w="3684" w:type="dxa"/>
            <w:tcBorders>
              <w:top w:val="nil"/>
              <w:left w:val="nil"/>
              <w:bottom w:val="single" w:color="auto" w:sz="4" w:space="0"/>
              <w:right w:val="single" w:color="auto" w:sz="4" w:space="0"/>
            </w:tcBorders>
            <w:shd w:val="clear" w:color="000000" w:fill="FFFFFF"/>
            <w:noWrap/>
            <w:vAlign w:val="center"/>
          </w:tcPr>
          <w:p w14:paraId="750B3A48">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4AC7D743">
            <w:pPr>
              <w:widowControl/>
              <w:snapToGrid w:val="0"/>
              <w:spacing w:line="360" w:lineRule="auto"/>
              <w:jc w:val="center"/>
              <w:rPr>
                <w:color w:val="000000"/>
                <w:kern w:val="0"/>
                <w:szCs w:val="24"/>
              </w:rPr>
            </w:pPr>
            <w:r>
              <w:rPr>
                <w:color w:val="000000"/>
                <w:kern w:val="0"/>
                <w:szCs w:val="24"/>
              </w:rPr>
              <w:t>4</w:t>
            </w:r>
          </w:p>
        </w:tc>
        <w:tc>
          <w:tcPr>
            <w:tcW w:w="2200" w:type="dxa"/>
            <w:tcBorders>
              <w:top w:val="nil"/>
              <w:left w:val="nil"/>
              <w:bottom w:val="single" w:color="auto" w:sz="4" w:space="0"/>
              <w:right w:val="single" w:color="auto" w:sz="4" w:space="0"/>
            </w:tcBorders>
            <w:shd w:val="clear" w:color="000000" w:fill="FFFFFF"/>
            <w:noWrap/>
            <w:vAlign w:val="center"/>
          </w:tcPr>
          <w:p w14:paraId="6F9A0FF6">
            <w:pPr>
              <w:widowControl/>
              <w:snapToGrid w:val="0"/>
              <w:spacing w:line="360" w:lineRule="auto"/>
              <w:jc w:val="center"/>
              <w:rPr>
                <w:color w:val="000000"/>
                <w:kern w:val="0"/>
                <w:szCs w:val="24"/>
              </w:rPr>
            </w:pPr>
            <w:r>
              <w:rPr>
                <w:color w:val="000000"/>
                <w:kern w:val="0"/>
                <w:szCs w:val="24"/>
              </w:rPr>
              <w:t>　</w:t>
            </w:r>
          </w:p>
        </w:tc>
      </w:tr>
      <w:tr w14:paraId="080EF8DC">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6E1185A6">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314114A9">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28C26BD7">
            <w:pPr>
              <w:widowControl/>
              <w:snapToGrid w:val="0"/>
              <w:spacing w:line="360" w:lineRule="auto"/>
              <w:jc w:val="center"/>
              <w:rPr>
                <w:color w:val="000000"/>
                <w:kern w:val="0"/>
                <w:szCs w:val="24"/>
              </w:rPr>
            </w:pPr>
            <w:r>
              <w:rPr>
                <w:color w:val="000000"/>
                <w:kern w:val="0"/>
                <w:szCs w:val="24"/>
              </w:rPr>
              <w:t>2</w:t>
            </w:r>
          </w:p>
        </w:tc>
        <w:tc>
          <w:tcPr>
            <w:tcW w:w="2200" w:type="dxa"/>
            <w:tcBorders>
              <w:top w:val="nil"/>
              <w:left w:val="nil"/>
              <w:bottom w:val="single" w:color="auto" w:sz="4" w:space="0"/>
              <w:right w:val="single" w:color="auto" w:sz="4" w:space="0"/>
            </w:tcBorders>
            <w:shd w:val="clear" w:color="000000" w:fill="FFFFFF"/>
            <w:noWrap/>
            <w:vAlign w:val="center"/>
          </w:tcPr>
          <w:p w14:paraId="45AFE5C8">
            <w:pPr>
              <w:widowControl/>
              <w:snapToGrid w:val="0"/>
              <w:spacing w:line="360" w:lineRule="auto"/>
              <w:jc w:val="center"/>
              <w:rPr>
                <w:color w:val="000000"/>
                <w:kern w:val="0"/>
                <w:szCs w:val="24"/>
              </w:rPr>
            </w:pPr>
            <w:r>
              <w:rPr>
                <w:color w:val="000000"/>
                <w:kern w:val="0"/>
                <w:szCs w:val="24"/>
              </w:rPr>
              <w:t>光纤交换机</w:t>
            </w:r>
          </w:p>
        </w:tc>
      </w:tr>
      <w:tr w14:paraId="506C58DD">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416DC32C">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2AE5521E">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3A8C084A">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2926CBFC">
            <w:pPr>
              <w:widowControl/>
              <w:snapToGrid w:val="0"/>
              <w:spacing w:line="360" w:lineRule="auto"/>
              <w:jc w:val="center"/>
              <w:rPr>
                <w:color w:val="000000"/>
                <w:kern w:val="0"/>
                <w:szCs w:val="24"/>
              </w:rPr>
            </w:pPr>
            <w:r>
              <w:rPr>
                <w:color w:val="000000"/>
                <w:kern w:val="0"/>
                <w:szCs w:val="24"/>
              </w:rPr>
              <w:t>　</w:t>
            </w:r>
          </w:p>
        </w:tc>
      </w:tr>
      <w:tr w14:paraId="0909E80F">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6799F9B7">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190DBCBF">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3F0EA801">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3050062E">
            <w:pPr>
              <w:widowControl/>
              <w:snapToGrid w:val="0"/>
              <w:spacing w:line="360" w:lineRule="auto"/>
              <w:jc w:val="center"/>
              <w:rPr>
                <w:color w:val="000000"/>
                <w:kern w:val="0"/>
                <w:szCs w:val="24"/>
              </w:rPr>
            </w:pPr>
            <w:r>
              <w:rPr>
                <w:color w:val="000000"/>
                <w:kern w:val="0"/>
                <w:szCs w:val="24"/>
              </w:rPr>
              <w:t>　</w:t>
            </w:r>
          </w:p>
        </w:tc>
      </w:tr>
      <w:tr w14:paraId="2221D128">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5C1836A7">
            <w:pPr>
              <w:widowControl/>
              <w:snapToGrid w:val="0"/>
              <w:spacing w:line="360" w:lineRule="auto"/>
              <w:jc w:val="center"/>
              <w:rPr>
                <w:color w:val="000000"/>
                <w:kern w:val="0"/>
                <w:szCs w:val="24"/>
              </w:rPr>
            </w:pPr>
            <w:r>
              <w:rPr>
                <w:color w:val="000000"/>
                <w:kern w:val="0"/>
                <w:szCs w:val="24"/>
              </w:rPr>
              <w:t>交换机合计</w:t>
            </w:r>
          </w:p>
        </w:tc>
        <w:tc>
          <w:tcPr>
            <w:tcW w:w="3684" w:type="dxa"/>
            <w:tcBorders>
              <w:top w:val="nil"/>
              <w:left w:val="nil"/>
              <w:bottom w:val="single" w:color="auto" w:sz="4" w:space="0"/>
              <w:right w:val="single" w:color="auto" w:sz="4" w:space="0"/>
            </w:tcBorders>
            <w:shd w:val="clear" w:color="000000" w:fill="FFFFFF"/>
            <w:noWrap/>
            <w:vAlign w:val="center"/>
          </w:tcPr>
          <w:p w14:paraId="27F58F25">
            <w:pPr>
              <w:widowControl/>
              <w:snapToGrid w:val="0"/>
              <w:spacing w:line="360" w:lineRule="auto"/>
              <w:jc w:val="center"/>
              <w:rPr>
                <w:color w:val="000000"/>
                <w:kern w:val="0"/>
                <w:szCs w:val="24"/>
              </w:rPr>
            </w:pPr>
            <w:r>
              <w:rPr>
                <w:color w:val="000000"/>
                <w:kern w:val="0"/>
                <w:szCs w:val="24"/>
              </w:rPr>
              <w:t>　</w:t>
            </w:r>
          </w:p>
        </w:tc>
        <w:tc>
          <w:tcPr>
            <w:tcW w:w="585" w:type="dxa"/>
            <w:tcBorders>
              <w:top w:val="nil"/>
              <w:left w:val="nil"/>
              <w:bottom w:val="single" w:color="auto" w:sz="4" w:space="0"/>
              <w:right w:val="single" w:color="auto" w:sz="4" w:space="0"/>
            </w:tcBorders>
            <w:shd w:val="clear" w:color="000000" w:fill="FFFFFF"/>
            <w:noWrap/>
            <w:vAlign w:val="center"/>
          </w:tcPr>
          <w:p w14:paraId="12813631">
            <w:pPr>
              <w:widowControl/>
              <w:snapToGrid w:val="0"/>
              <w:spacing w:line="360" w:lineRule="auto"/>
              <w:jc w:val="center"/>
              <w:rPr>
                <w:color w:val="000000"/>
                <w:kern w:val="0"/>
                <w:szCs w:val="24"/>
              </w:rPr>
            </w:pPr>
            <w:r>
              <w:rPr>
                <w:color w:val="000000"/>
                <w:kern w:val="0"/>
                <w:szCs w:val="24"/>
              </w:rPr>
              <w:t>8</w:t>
            </w:r>
          </w:p>
        </w:tc>
        <w:tc>
          <w:tcPr>
            <w:tcW w:w="2200" w:type="dxa"/>
            <w:tcBorders>
              <w:top w:val="nil"/>
              <w:left w:val="nil"/>
              <w:bottom w:val="single" w:color="auto" w:sz="4" w:space="0"/>
              <w:right w:val="single" w:color="auto" w:sz="4" w:space="0"/>
            </w:tcBorders>
            <w:shd w:val="clear" w:color="000000" w:fill="FFFFFF"/>
            <w:noWrap/>
            <w:vAlign w:val="center"/>
          </w:tcPr>
          <w:p w14:paraId="0208AEAD">
            <w:pPr>
              <w:widowControl/>
              <w:snapToGrid w:val="0"/>
              <w:spacing w:line="360" w:lineRule="auto"/>
              <w:jc w:val="center"/>
              <w:rPr>
                <w:color w:val="000000"/>
                <w:kern w:val="0"/>
                <w:szCs w:val="24"/>
              </w:rPr>
            </w:pPr>
            <w:r>
              <w:rPr>
                <w:color w:val="000000"/>
                <w:kern w:val="0"/>
                <w:szCs w:val="24"/>
              </w:rPr>
              <w:t>　</w:t>
            </w:r>
          </w:p>
        </w:tc>
      </w:tr>
      <w:tr w14:paraId="0078394B">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0661A8C1">
            <w:pPr>
              <w:widowControl/>
              <w:snapToGrid w:val="0"/>
              <w:spacing w:line="360" w:lineRule="auto"/>
              <w:jc w:val="center"/>
              <w:rPr>
                <w:color w:val="000000"/>
                <w:kern w:val="0"/>
                <w:szCs w:val="24"/>
              </w:rPr>
            </w:pPr>
            <w:r>
              <w:rPr>
                <w:color w:val="000000"/>
                <w:kern w:val="0"/>
                <w:szCs w:val="24"/>
              </w:rPr>
              <w:t>防火墙</w:t>
            </w:r>
          </w:p>
        </w:tc>
        <w:tc>
          <w:tcPr>
            <w:tcW w:w="3684" w:type="dxa"/>
            <w:tcBorders>
              <w:top w:val="nil"/>
              <w:left w:val="nil"/>
              <w:bottom w:val="single" w:color="auto" w:sz="4" w:space="0"/>
              <w:right w:val="single" w:color="auto" w:sz="4" w:space="0"/>
            </w:tcBorders>
            <w:shd w:val="clear" w:color="000000" w:fill="FFFFFF"/>
            <w:noWrap/>
            <w:vAlign w:val="center"/>
          </w:tcPr>
          <w:p w14:paraId="6B93A796">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1A911D88">
            <w:pPr>
              <w:widowControl/>
              <w:snapToGrid w:val="0"/>
              <w:spacing w:line="360" w:lineRule="auto"/>
              <w:jc w:val="center"/>
              <w:rPr>
                <w:color w:val="000000"/>
                <w:kern w:val="0"/>
                <w:szCs w:val="24"/>
              </w:rPr>
            </w:pPr>
            <w:r>
              <w:rPr>
                <w:color w:val="000000"/>
                <w:kern w:val="0"/>
                <w:szCs w:val="24"/>
              </w:rPr>
              <w:t>5</w:t>
            </w:r>
          </w:p>
        </w:tc>
        <w:tc>
          <w:tcPr>
            <w:tcW w:w="2200" w:type="dxa"/>
            <w:tcBorders>
              <w:top w:val="nil"/>
              <w:left w:val="nil"/>
              <w:bottom w:val="single" w:color="auto" w:sz="4" w:space="0"/>
              <w:right w:val="single" w:color="auto" w:sz="4" w:space="0"/>
            </w:tcBorders>
            <w:shd w:val="clear" w:color="000000" w:fill="FFFFFF"/>
            <w:noWrap/>
            <w:vAlign w:val="center"/>
          </w:tcPr>
          <w:p w14:paraId="4C269D95">
            <w:pPr>
              <w:widowControl/>
              <w:snapToGrid w:val="0"/>
              <w:spacing w:line="360" w:lineRule="auto"/>
              <w:jc w:val="center"/>
              <w:rPr>
                <w:color w:val="000000"/>
                <w:kern w:val="0"/>
                <w:szCs w:val="24"/>
              </w:rPr>
            </w:pPr>
            <w:r>
              <w:rPr>
                <w:color w:val="000000"/>
                <w:kern w:val="0"/>
                <w:szCs w:val="24"/>
              </w:rPr>
              <w:t>内外网各一台冷备</w:t>
            </w:r>
          </w:p>
        </w:tc>
      </w:tr>
      <w:tr w14:paraId="4D2F90EA">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1F3AB5C2">
            <w:pPr>
              <w:widowControl/>
              <w:snapToGrid w:val="0"/>
              <w:spacing w:line="360" w:lineRule="auto"/>
              <w:jc w:val="center"/>
              <w:rPr>
                <w:color w:val="000000"/>
                <w:kern w:val="0"/>
                <w:szCs w:val="24"/>
              </w:rPr>
            </w:pPr>
            <w:r>
              <w:rPr>
                <w:color w:val="000000"/>
                <w:kern w:val="0"/>
                <w:szCs w:val="24"/>
              </w:rPr>
              <w:t>安全审计</w:t>
            </w:r>
          </w:p>
        </w:tc>
        <w:tc>
          <w:tcPr>
            <w:tcW w:w="3684" w:type="dxa"/>
            <w:tcBorders>
              <w:top w:val="nil"/>
              <w:left w:val="nil"/>
              <w:bottom w:val="single" w:color="auto" w:sz="4" w:space="0"/>
              <w:right w:val="single" w:color="auto" w:sz="4" w:space="0"/>
            </w:tcBorders>
            <w:shd w:val="clear" w:color="000000" w:fill="FFFFFF"/>
            <w:noWrap/>
            <w:vAlign w:val="center"/>
          </w:tcPr>
          <w:p w14:paraId="2A5BA035">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181DD03C">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4ACA47C1">
            <w:pPr>
              <w:widowControl/>
              <w:snapToGrid w:val="0"/>
              <w:spacing w:line="360" w:lineRule="auto"/>
              <w:jc w:val="center"/>
              <w:rPr>
                <w:color w:val="000000"/>
                <w:kern w:val="0"/>
                <w:szCs w:val="24"/>
              </w:rPr>
            </w:pPr>
            <w:r>
              <w:rPr>
                <w:color w:val="000000"/>
                <w:kern w:val="0"/>
                <w:szCs w:val="24"/>
              </w:rPr>
              <w:t>　</w:t>
            </w:r>
          </w:p>
        </w:tc>
      </w:tr>
      <w:tr w14:paraId="19CDA121">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34D7426A">
            <w:pPr>
              <w:widowControl/>
              <w:snapToGrid w:val="0"/>
              <w:spacing w:line="360" w:lineRule="auto"/>
              <w:jc w:val="center"/>
              <w:rPr>
                <w:color w:val="000000"/>
                <w:kern w:val="0"/>
                <w:szCs w:val="24"/>
              </w:rPr>
            </w:pPr>
            <w:r>
              <w:rPr>
                <w:color w:val="000000"/>
                <w:kern w:val="0"/>
                <w:szCs w:val="24"/>
              </w:rPr>
              <w:t>IPS</w:t>
            </w:r>
          </w:p>
        </w:tc>
        <w:tc>
          <w:tcPr>
            <w:tcW w:w="3684" w:type="dxa"/>
            <w:tcBorders>
              <w:top w:val="nil"/>
              <w:left w:val="nil"/>
              <w:bottom w:val="single" w:color="auto" w:sz="4" w:space="0"/>
              <w:right w:val="single" w:color="auto" w:sz="4" w:space="0"/>
            </w:tcBorders>
            <w:shd w:val="clear" w:color="000000" w:fill="FFFFFF"/>
            <w:noWrap/>
            <w:vAlign w:val="center"/>
          </w:tcPr>
          <w:p w14:paraId="411BBB71">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5FF2BD35">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7E518E50">
            <w:pPr>
              <w:widowControl/>
              <w:snapToGrid w:val="0"/>
              <w:spacing w:line="360" w:lineRule="auto"/>
              <w:jc w:val="center"/>
              <w:rPr>
                <w:color w:val="000000"/>
                <w:kern w:val="0"/>
                <w:szCs w:val="24"/>
              </w:rPr>
            </w:pPr>
            <w:r>
              <w:rPr>
                <w:color w:val="000000"/>
                <w:kern w:val="0"/>
                <w:szCs w:val="24"/>
              </w:rPr>
              <w:t>　</w:t>
            </w:r>
          </w:p>
        </w:tc>
      </w:tr>
      <w:tr w14:paraId="68A960DC">
        <w:tblPrEx>
          <w:tblCellMar>
            <w:top w:w="0" w:type="dxa"/>
            <w:left w:w="108" w:type="dxa"/>
            <w:bottom w:w="0" w:type="dxa"/>
            <w:right w:w="108" w:type="dxa"/>
          </w:tblCellMar>
        </w:tblPrEx>
        <w:trPr>
          <w:trHeight w:val="270" w:hRule="atLeast"/>
          <w:jc w:val="center"/>
        </w:trPr>
        <w:tc>
          <w:tcPr>
            <w:tcW w:w="1391" w:type="dxa"/>
            <w:vMerge w:val="restart"/>
            <w:tcBorders>
              <w:top w:val="nil"/>
              <w:left w:val="single" w:color="auto" w:sz="4" w:space="0"/>
              <w:bottom w:val="single" w:color="auto" w:sz="4" w:space="0"/>
              <w:right w:val="single" w:color="auto" w:sz="4" w:space="0"/>
            </w:tcBorders>
            <w:shd w:val="clear" w:color="000000" w:fill="FFFFFF"/>
            <w:noWrap/>
            <w:vAlign w:val="center"/>
          </w:tcPr>
          <w:p w14:paraId="00AB3174">
            <w:pPr>
              <w:widowControl/>
              <w:snapToGrid w:val="0"/>
              <w:spacing w:line="360" w:lineRule="auto"/>
              <w:jc w:val="center"/>
              <w:rPr>
                <w:color w:val="000000"/>
                <w:kern w:val="0"/>
                <w:szCs w:val="24"/>
              </w:rPr>
            </w:pPr>
            <w:r>
              <w:rPr>
                <w:color w:val="000000"/>
                <w:kern w:val="0"/>
                <w:szCs w:val="24"/>
              </w:rPr>
              <w:t>存储</w:t>
            </w:r>
          </w:p>
        </w:tc>
        <w:tc>
          <w:tcPr>
            <w:tcW w:w="3684" w:type="dxa"/>
            <w:tcBorders>
              <w:top w:val="nil"/>
              <w:left w:val="nil"/>
              <w:bottom w:val="single" w:color="auto" w:sz="4" w:space="0"/>
              <w:right w:val="single" w:color="auto" w:sz="4" w:space="0"/>
            </w:tcBorders>
            <w:shd w:val="clear" w:color="000000" w:fill="FFFFFF"/>
            <w:noWrap/>
            <w:vAlign w:val="center"/>
          </w:tcPr>
          <w:p w14:paraId="4294E70A">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65703170">
            <w:pPr>
              <w:widowControl/>
              <w:snapToGrid w:val="0"/>
              <w:spacing w:line="360" w:lineRule="auto"/>
              <w:jc w:val="center"/>
              <w:rPr>
                <w:color w:val="000000"/>
                <w:kern w:val="0"/>
                <w:szCs w:val="24"/>
              </w:rPr>
            </w:pPr>
            <w:r>
              <w:rPr>
                <w:color w:val="000000"/>
                <w:kern w:val="0"/>
                <w:szCs w:val="24"/>
              </w:rPr>
              <w:t>2</w:t>
            </w:r>
          </w:p>
        </w:tc>
        <w:tc>
          <w:tcPr>
            <w:tcW w:w="2200" w:type="dxa"/>
            <w:tcBorders>
              <w:top w:val="nil"/>
              <w:left w:val="nil"/>
              <w:bottom w:val="single" w:color="auto" w:sz="4" w:space="0"/>
              <w:right w:val="single" w:color="auto" w:sz="4" w:space="0"/>
            </w:tcBorders>
            <w:shd w:val="clear" w:color="000000" w:fill="FFFFFF"/>
            <w:noWrap/>
            <w:vAlign w:val="center"/>
          </w:tcPr>
          <w:p w14:paraId="1C2593F2">
            <w:pPr>
              <w:widowControl/>
              <w:snapToGrid w:val="0"/>
              <w:spacing w:line="360" w:lineRule="auto"/>
              <w:jc w:val="center"/>
              <w:rPr>
                <w:color w:val="000000"/>
                <w:kern w:val="0"/>
                <w:szCs w:val="24"/>
              </w:rPr>
            </w:pPr>
            <w:r>
              <w:rPr>
                <w:color w:val="000000"/>
                <w:kern w:val="0"/>
                <w:szCs w:val="24"/>
              </w:rPr>
              <w:t>　</w:t>
            </w:r>
          </w:p>
        </w:tc>
      </w:tr>
      <w:tr w14:paraId="04A06780">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44F5CFBB">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252F23C9">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1C7C8A3F">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70D05D83">
            <w:pPr>
              <w:widowControl/>
              <w:snapToGrid w:val="0"/>
              <w:spacing w:line="360" w:lineRule="auto"/>
              <w:jc w:val="center"/>
              <w:rPr>
                <w:color w:val="000000"/>
                <w:kern w:val="0"/>
                <w:szCs w:val="24"/>
              </w:rPr>
            </w:pPr>
            <w:r>
              <w:rPr>
                <w:color w:val="000000"/>
                <w:kern w:val="0"/>
                <w:szCs w:val="24"/>
              </w:rPr>
              <w:t>　</w:t>
            </w:r>
          </w:p>
        </w:tc>
      </w:tr>
      <w:tr w14:paraId="2A533E6D">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18AF4530">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16FDF1F2">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27378A89">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18CA7766">
            <w:pPr>
              <w:widowControl/>
              <w:snapToGrid w:val="0"/>
              <w:spacing w:line="360" w:lineRule="auto"/>
              <w:jc w:val="center"/>
              <w:rPr>
                <w:color w:val="000000"/>
                <w:kern w:val="0"/>
                <w:szCs w:val="24"/>
              </w:rPr>
            </w:pPr>
            <w:r>
              <w:rPr>
                <w:color w:val="000000"/>
                <w:kern w:val="0"/>
                <w:szCs w:val="24"/>
              </w:rPr>
              <w:t>　</w:t>
            </w:r>
          </w:p>
        </w:tc>
      </w:tr>
      <w:tr w14:paraId="745E494E">
        <w:tblPrEx>
          <w:tblCellMar>
            <w:top w:w="0" w:type="dxa"/>
            <w:left w:w="108" w:type="dxa"/>
            <w:bottom w:w="0" w:type="dxa"/>
            <w:right w:w="108" w:type="dxa"/>
          </w:tblCellMar>
        </w:tblPrEx>
        <w:trPr>
          <w:trHeight w:val="270" w:hRule="atLeast"/>
          <w:jc w:val="center"/>
        </w:trPr>
        <w:tc>
          <w:tcPr>
            <w:tcW w:w="1391" w:type="dxa"/>
            <w:vMerge w:val="continue"/>
            <w:tcBorders>
              <w:top w:val="nil"/>
              <w:left w:val="single" w:color="auto" w:sz="4" w:space="0"/>
              <w:bottom w:val="single" w:color="auto" w:sz="4" w:space="0"/>
              <w:right w:val="single" w:color="auto" w:sz="4" w:space="0"/>
            </w:tcBorders>
            <w:vAlign w:val="center"/>
          </w:tcPr>
          <w:p w14:paraId="568EA22E">
            <w:pPr>
              <w:widowControl/>
              <w:snapToGrid w:val="0"/>
              <w:spacing w:line="360" w:lineRule="auto"/>
              <w:jc w:val="center"/>
              <w:rPr>
                <w:color w:val="000000"/>
                <w:kern w:val="0"/>
                <w:szCs w:val="24"/>
              </w:rPr>
            </w:pPr>
          </w:p>
        </w:tc>
        <w:tc>
          <w:tcPr>
            <w:tcW w:w="3684" w:type="dxa"/>
            <w:tcBorders>
              <w:top w:val="nil"/>
              <w:left w:val="nil"/>
              <w:bottom w:val="single" w:color="auto" w:sz="4" w:space="0"/>
              <w:right w:val="single" w:color="auto" w:sz="4" w:space="0"/>
            </w:tcBorders>
            <w:shd w:val="clear" w:color="000000" w:fill="FFFFFF"/>
            <w:noWrap/>
            <w:vAlign w:val="center"/>
          </w:tcPr>
          <w:p w14:paraId="38F09C99">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01B463EA">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0069C2AE">
            <w:pPr>
              <w:widowControl/>
              <w:snapToGrid w:val="0"/>
              <w:spacing w:line="360" w:lineRule="auto"/>
              <w:jc w:val="center"/>
              <w:rPr>
                <w:color w:val="000000"/>
                <w:kern w:val="0"/>
                <w:szCs w:val="24"/>
              </w:rPr>
            </w:pPr>
            <w:r>
              <w:rPr>
                <w:color w:val="000000"/>
                <w:kern w:val="0"/>
                <w:szCs w:val="24"/>
              </w:rPr>
              <w:t>　</w:t>
            </w:r>
          </w:p>
        </w:tc>
      </w:tr>
      <w:tr w14:paraId="0F8D58DB">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602F19BC">
            <w:pPr>
              <w:widowControl/>
              <w:snapToGrid w:val="0"/>
              <w:spacing w:line="360" w:lineRule="auto"/>
              <w:jc w:val="center"/>
              <w:rPr>
                <w:color w:val="000000"/>
                <w:kern w:val="0"/>
                <w:szCs w:val="24"/>
              </w:rPr>
            </w:pPr>
            <w:r>
              <w:rPr>
                <w:color w:val="000000"/>
                <w:kern w:val="0"/>
                <w:szCs w:val="24"/>
              </w:rPr>
              <w:t>磁带库</w:t>
            </w:r>
          </w:p>
        </w:tc>
        <w:tc>
          <w:tcPr>
            <w:tcW w:w="3684" w:type="dxa"/>
            <w:tcBorders>
              <w:top w:val="nil"/>
              <w:left w:val="nil"/>
              <w:bottom w:val="single" w:color="auto" w:sz="4" w:space="0"/>
              <w:right w:val="single" w:color="auto" w:sz="4" w:space="0"/>
            </w:tcBorders>
            <w:shd w:val="clear" w:color="000000" w:fill="FFFFFF"/>
            <w:noWrap/>
            <w:vAlign w:val="center"/>
          </w:tcPr>
          <w:p w14:paraId="09FB1A3E">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012A60F1">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51D5BBAA">
            <w:pPr>
              <w:widowControl/>
              <w:snapToGrid w:val="0"/>
              <w:spacing w:line="360" w:lineRule="auto"/>
              <w:jc w:val="center"/>
              <w:rPr>
                <w:color w:val="000000"/>
                <w:kern w:val="0"/>
                <w:szCs w:val="24"/>
              </w:rPr>
            </w:pPr>
            <w:r>
              <w:rPr>
                <w:color w:val="000000"/>
                <w:kern w:val="0"/>
                <w:szCs w:val="24"/>
              </w:rPr>
              <w:t>　</w:t>
            </w:r>
          </w:p>
        </w:tc>
      </w:tr>
      <w:tr w14:paraId="11D30F10">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3C967E4F">
            <w:pPr>
              <w:widowControl/>
              <w:snapToGrid w:val="0"/>
              <w:spacing w:line="360" w:lineRule="auto"/>
              <w:jc w:val="center"/>
              <w:rPr>
                <w:color w:val="000000"/>
                <w:kern w:val="0"/>
                <w:szCs w:val="24"/>
              </w:rPr>
            </w:pPr>
            <w:r>
              <w:rPr>
                <w:color w:val="000000"/>
                <w:kern w:val="0"/>
                <w:szCs w:val="24"/>
              </w:rPr>
              <w:t>虚拟带库</w:t>
            </w:r>
          </w:p>
        </w:tc>
        <w:tc>
          <w:tcPr>
            <w:tcW w:w="3684" w:type="dxa"/>
            <w:tcBorders>
              <w:top w:val="nil"/>
              <w:left w:val="nil"/>
              <w:bottom w:val="single" w:color="auto" w:sz="4" w:space="0"/>
              <w:right w:val="single" w:color="auto" w:sz="4" w:space="0"/>
            </w:tcBorders>
            <w:shd w:val="clear" w:color="000000" w:fill="FFFFFF"/>
            <w:noWrap/>
            <w:vAlign w:val="center"/>
          </w:tcPr>
          <w:p w14:paraId="747871BD">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4BB06615">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4949085F">
            <w:pPr>
              <w:widowControl/>
              <w:snapToGrid w:val="0"/>
              <w:spacing w:line="360" w:lineRule="auto"/>
              <w:jc w:val="center"/>
              <w:rPr>
                <w:color w:val="000000"/>
                <w:kern w:val="0"/>
                <w:szCs w:val="24"/>
              </w:rPr>
            </w:pPr>
            <w:r>
              <w:rPr>
                <w:color w:val="000000"/>
                <w:kern w:val="0"/>
                <w:szCs w:val="24"/>
              </w:rPr>
              <w:t>　</w:t>
            </w:r>
          </w:p>
        </w:tc>
      </w:tr>
      <w:tr w14:paraId="1CBBCE77">
        <w:tblPrEx>
          <w:tblCellMar>
            <w:top w:w="0" w:type="dxa"/>
            <w:left w:w="108" w:type="dxa"/>
            <w:bottom w:w="0" w:type="dxa"/>
            <w:right w:w="108" w:type="dxa"/>
          </w:tblCellMar>
        </w:tblPrEx>
        <w:trPr>
          <w:trHeight w:val="270" w:hRule="atLeast"/>
          <w:jc w:val="center"/>
        </w:trPr>
        <w:tc>
          <w:tcPr>
            <w:tcW w:w="1391" w:type="dxa"/>
            <w:tcBorders>
              <w:top w:val="nil"/>
              <w:left w:val="single" w:color="auto" w:sz="4" w:space="0"/>
              <w:bottom w:val="single" w:color="auto" w:sz="4" w:space="0"/>
              <w:right w:val="single" w:color="auto" w:sz="4" w:space="0"/>
            </w:tcBorders>
            <w:shd w:val="clear" w:color="000000" w:fill="FFFFFF"/>
            <w:noWrap/>
            <w:vAlign w:val="center"/>
          </w:tcPr>
          <w:p w14:paraId="68F59786">
            <w:pPr>
              <w:widowControl/>
              <w:snapToGrid w:val="0"/>
              <w:spacing w:line="360" w:lineRule="auto"/>
              <w:jc w:val="center"/>
              <w:rPr>
                <w:color w:val="000000"/>
                <w:kern w:val="0"/>
                <w:szCs w:val="24"/>
              </w:rPr>
            </w:pPr>
            <w:r>
              <w:rPr>
                <w:color w:val="000000"/>
                <w:kern w:val="0"/>
                <w:szCs w:val="24"/>
              </w:rPr>
              <w:t>其他设备</w:t>
            </w:r>
          </w:p>
        </w:tc>
        <w:tc>
          <w:tcPr>
            <w:tcW w:w="3684" w:type="dxa"/>
            <w:tcBorders>
              <w:top w:val="nil"/>
              <w:left w:val="nil"/>
              <w:bottom w:val="single" w:color="auto" w:sz="4" w:space="0"/>
              <w:right w:val="single" w:color="auto" w:sz="4" w:space="0"/>
            </w:tcBorders>
            <w:shd w:val="clear" w:color="000000" w:fill="FFFFFF"/>
            <w:noWrap/>
            <w:vAlign w:val="center"/>
          </w:tcPr>
          <w:p w14:paraId="30C2F128">
            <w:pPr>
              <w:widowControl/>
              <w:snapToGrid w:val="0"/>
              <w:spacing w:line="360" w:lineRule="auto"/>
              <w:jc w:val="center"/>
              <w:rPr>
                <w:color w:val="000000"/>
                <w:kern w:val="0"/>
                <w:szCs w:val="24"/>
              </w:rPr>
            </w:pPr>
          </w:p>
        </w:tc>
        <w:tc>
          <w:tcPr>
            <w:tcW w:w="585" w:type="dxa"/>
            <w:tcBorders>
              <w:top w:val="nil"/>
              <w:left w:val="nil"/>
              <w:bottom w:val="single" w:color="auto" w:sz="4" w:space="0"/>
              <w:right w:val="single" w:color="auto" w:sz="4" w:space="0"/>
            </w:tcBorders>
            <w:shd w:val="clear" w:color="000000" w:fill="FFFFFF"/>
            <w:noWrap/>
            <w:vAlign w:val="center"/>
          </w:tcPr>
          <w:p w14:paraId="41AA6093">
            <w:pPr>
              <w:widowControl/>
              <w:snapToGrid w:val="0"/>
              <w:spacing w:line="360" w:lineRule="auto"/>
              <w:jc w:val="center"/>
              <w:rPr>
                <w:color w:val="000000"/>
                <w:kern w:val="0"/>
                <w:szCs w:val="24"/>
              </w:rPr>
            </w:pPr>
            <w:r>
              <w:rPr>
                <w:color w:val="000000"/>
                <w:kern w:val="0"/>
                <w:szCs w:val="24"/>
              </w:rPr>
              <w:t>1</w:t>
            </w:r>
          </w:p>
        </w:tc>
        <w:tc>
          <w:tcPr>
            <w:tcW w:w="2200" w:type="dxa"/>
            <w:tcBorders>
              <w:top w:val="nil"/>
              <w:left w:val="nil"/>
              <w:bottom w:val="single" w:color="auto" w:sz="4" w:space="0"/>
              <w:right w:val="single" w:color="auto" w:sz="4" w:space="0"/>
            </w:tcBorders>
            <w:shd w:val="clear" w:color="000000" w:fill="FFFFFF"/>
            <w:noWrap/>
            <w:vAlign w:val="center"/>
          </w:tcPr>
          <w:p w14:paraId="4047C776">
            <w:pPr>
              <w:widowControl/>
              <w:snapToGrid w:val="0"/>
              <w:spacing w:line="360" w:lineRule="auto"/>
              <w:jc w:val="center"/>
              <w:rPr>
                <w:color w:val="000000"/>
                <w:kern w:val="0"/>
                <w:szCs w:val="24"/>
              </w:rPr>
            </w:pPr>
            <w:r>
              <w:rPr>
                <w:color w:val="000000"/>
                <w:kern w:val="0"/>
                <w:szCs w:val="24"/>
              </w:rPr>
              <w:t>机房监控系统使用</w:t>
            </w:r>
          </w:p>
        </w:tc>
      </w:tr>
    </w:tbl>
    <w:p w14:paraId="6BEC617A">
      <w:pPr>
        <w:snapToGrid w:val="0"/>
        <w:spacing w:line="360" w:lineRule="auto"/>
        <w:ind w:firstLine="460" w:firstLineChars="192"/>
        <w:rPr>
          <w:szCs w:val="24"/>
        </w:rPr>
      </w:pPr>
    </w:p>
    <w:p w14:paraId="666472A4">
      <w:pPr>
        <w:widowControl/>
        <w:snapToGrid w:val="0"/>
        <w:spacing w:line="360" w:lineRule="auto"/>
        <w:jc w:val="center"/>
        <w:rPr>
          <w:rFonts w:hint="eastAsia"/>
          <w:color w:val="000000"/>
          <w:kern w:val="0"/>
          <w:szCs w:val="24"/>
        </w:rPr>
      </w:pPr>
    </w:p>
    <w:p w14:paraId="368ED804">
      <w:pPr>
        <w:widowControl/>
        <w:snapToGrid w:val="0"/>
        <w:spacing w:line="360" w:lineRule="auto"/>
        <w:jc w:val="center"/>
        <w:rPr>
          <w:rFonts w:hint="eastAsia"/>
          <w:color w:val="000000"/>
          <w:kern w:val="0"/>
          <w:szCs w:val="24"/>
        </w:rPr>
      </w:pPr>
    </w:p>
    <w:p w14:paraId="2101F483">
      <w:pPr>
        <w:widowControl/>
        <w:snapToGrid w:val="0"/>
        <w:spacing w:line="360" w:lineRule="auto"/>
        <w:jc w:val="center"/>
        <w:rPr>
          <w:rFonts w:hint="eastAsia"/>
          <w:color w:val="000000"/>
          <w:kern w:val="0"/>
          <w:szCs w:val="24"/>
        </w:rPr>
      </w:pPr>
    </w:p>
    <w:p w14:paraId="630DFE02">
      <w:pPr>
        <w:widowControl/>
        <w:snapToGrid w:val="0"/>
        <w:spacing w:line="360" w:lineRule="auto"/>
        <w:jc w:val="center"/>
        <w:rPr>
          <w:rFonts w:hint="eastAsia"/>
          <w:color w:val="000000"/>
          <w:kern w:val="0"/>
          <w:szCs w:val="24"/>
        </w:rPr>
      </w:pPr>
      <w:r>
        <w:rPr>
          <w:rFonts w:hint="eastAsia"/>
          <w:color w:val="000000"/>
          <w:kern w:val="0"/>
          <w:szCs w:val="24"/>
        </w:rPr>
        <w:t>支撑软件统计表</w:t>
      </w:r>
    </w:p>
    <w:tbl>
      <w:tblPr>
        <w:tblStyle w:val="20"/>
        <w:tblW w:w="7858" w:type="dxa"/>
        <w:jc w:val="center"/>
        <w:tblLayout w:type="autofit"/>
        <w:tblCellMar>
          <w:top w:w="0" w:type="dxa"/>
          <w:left w:w="108" w:type="dxa"/>
          <w:bottom w:w="0" w:type="dxa"/>
          <w:right w:w="108" w:type="dxa"/>
        </w:tblCellMar>
      </w:tblPr>
      <w:tblGrid>
        <w:gridCol w:w="2120"/>
        <w:gridCol w:w="3409"/>
        <w:gridCol w:w="2329"/>
      </w:tblGrid>
      <w:tr w14:paraId="160A02EF">
        <w:tblPrEx>
          <w:tblCellMar>
            <w:top w:w="0" w:type="dxa"/>
            <w:left w:w="108" w:type="dxa"/>
            <w:bottom w:w="0" w:type="dxa"/>
            <w:right w:w="108" w:type="dxa"/>
          </w:tblCellMar>
        </w:tblPrEx>
        <w:trPr>
          <w:trHeight w:val="285" w:hRule="atLeast"/>
          <w:jc w:val="center"/>
        </w:trPr>
        <w:tc>
          <w:tcPr>
            <w:tcW w:w="212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D68A50">
            <w:pPr>
              <w:widowControl/>
              <w:snapToGrid w:val="0"/>
              <w:spacing w:line="360" w:lineRule="auto"/>
              <w:jc w:val="center"/>
              <w:rPr>
                <w:color w:val="000000"/>
                <w:kern w:val="0"/>
                <w:szCs w:val="24"/>
              </w:rPr>
            </w:pPr>
            <w:r>
              <w:rPr>
                <w:color w:val="000000"/>
                <w:kern w:val="0"/>
                <w:szCs w:val="24"/>
              </w:rPr>
              <w:t>类型</w:t>
            </w:r>
          </w:p>
        </w:tc>
        <w:tc>
          <w:tcPr>
            <w:tcW w:w="3409" w:type="dxa"/>
            <w:tcBorders>
              <w:top w:val="single" w:color="auto" w:sz="4" w:space="0"/>
              <w:left w:val="nil"/>
              <w:bottom w:val="single" w:color="auto" w:sz="4" w:space="0"/>
              <w:right w:val="single" w:color="auto" w:sz="4" w:space="0"/>
            </w:tcBorders>
            <w:shd w:val="clear" w:color="auto" w:fill="auto"/>
            <w:noWrap/>
            <w:vAlign w:val="center"/>
          </w:tcPr>
          <w:p w14:paraId="0384F502">
            <w:pPr>
              <w:widowControl/>
              <w:snapToGrid w:val="0"/>
              <w:spacing w:line="360" w:lineRule="auto"/>
              <w:jc w:val="center"/>
              <w:rPr>
                <w:color w:val="000000"/>
                <w:kern w:val="0"/>
                <w:szCs w:val="24"/>
              </w:rPr>
            </w:pPr>
            <w:r>
              <w:rPr>
                <w:color w:val="000000"/>
                <w:kern w:val="0"/>
                <w:szCs w:val="24"/>
              </w:rPr>
              <w:t>版本</w:t>
            </w:r>
          </w:p>
        </w:tc>
        <w:tc>
          <w:tcPr>
            <w:tcW w:w="2329" w:type="dxa"/>
            <w:tcBorders>
              <w:top w:val="single" w:color="auto" w:sz="4" w:space="0"/>
              <w:left w:val="nil"/>
              <w:bottom w:val="single" w:color="auto" w:sz="4" w:space="0"/>
              <w:right w:val="single" w:color="auto" w:sz="4" w:space="0"/>
            </w:tcBorders>
          </w:tcPr>
          <w:p w14:paraId="1EB80E51">
            <w:pPr>
              <w:widowControl/>
              <w:snapToGrid w:val="0"/>
              <w:spacing w:line="360" w:lineRule="auto"/>
              <w:jc w:val="center"/>
              <w:rPr>
                <w:color w:val="000000"/>
                <w:kern w:val="0"/>
                <w:szCs w:val="24"/>
              </w:rPr>
            </w:pPr>
            <w:r>
              <w:rPr>
                <w:color w:val="000000"/>
                <w:kern w:val="0"/>
                <w:szCs w:val="24"/>
              </w:rPr>
              <w:t>数量</w:t>
            </w:r>
          </w:p>
        </w:tc>
      </w:tr>
      <w:tr w14:paraId="71D6FEC5">
        <w:tblPrEx>
          <w:tblCellMar>
            <w:top w:w="0" w:type="dxa"/>
            <w:left w:w="108" w:type="dxa"/>
            <w:bottom w:w="0" w:type="dxa"/>
            <w:right w:w="108" w:type="dxa"/>
          </w:tblCellMar>
        </w:tblPrEx>
        <w:trPr>
          <w:trHeight w:val="270" w:hRule="atLeast"/>
          <w:jc w:val="center"/>
        </w:trPr>
        <w:tc>
          <w:tcPr>
            <w:tcW w:w="2120" w:type="dxa"/>
            <w:vMerge w:val="restart"/>
            <w:tcBorders>
              <w:top w:val="nil"/>
              <w:left w:val="single" w:color="auto" w:sz="4" w:space="0"/>
              <w:bottom w:val="single" w:color="auto" w:sz="4" w:space="0"/>
              <w:right w:val="single" w:color="auto" w:sz="4" w:space="0"/>
            </w:tcBorders>
            <w:shd w:val="clear" w:color="000000" w:fill="FFFFFF"/>
            <w:vAlign w:val="center"/>
          </w:tcPr>
          <w:p w14:paraId="191F4592">
            <w:pPr>
              <w:widowControl/>
              <w:snapToGrid w:val="0"/>
              <w:spacing w:line="360" w:lineRule="auto"/>
              <w:jc w:val="center"/>
              <w:rPr>
                <w:color w:val="000000"/>
                <w:kern w:val="0"/>
                <w:szCs w:val="24"/>
              </w:rPr>
            </w:pPr>
            <w:r>
              <w:rPr>
                <w:color w:val="000000"/>
                <w:kern w:val="0"/>
                <w:szCs w:val="24"/>
              </w:rPr>
              <w:t>数据库</w:t>
            </w:r>
          </w:p>
        </w:tc>
        <w:tc>
          <w:tcPr>
            <w:tcW w:w="3409" w:type="dxa"/>
            <w:tcBorders>
              <w:top w:val="nil"/>
              <w:left w:val="nil"/>
              <w:bottom w:val="single" w:color="auto" w:sz="4" w:space="0"/>
              <w:right w:val="single" w:color="auto" w:sz="4" w:space="0"/>
            </w:tcBorders>
            <w:shd w:val="clear" w:color="auto" w:fill="auto"/>
            <w:vAlign w:val="center"/>
          </w:tcPr>
          <w:p w14:paraId="5FBCB519">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tcPr>
          <w:p w14:paraId="657C6FB9">
            <w:pPr>
              <w:widowControl/>
              <w:snapToGrid w:val="0"/>
              <w:spacing w:line="360" w:lineRule="auto"/>
              <w:jc w:val="center"/>
              <w:rPr>
                <w:color w:val="000000"/>
                <w:kern w:val="0"/>
                <w:szCs w:val="24"/>
              </w:rPr>
            </w:pPr>
          </w:p>
        </w:tc>
      </w:tr>
      <w:tr w14:paraId="7A2A9243">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5FF8C15A">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auto" w:fill="auto"/>
            <w:vAlign w:val="center"/>
          </w:tcPr>
          <w:p w14:paraId="651E8836">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tcPr>
          <w:p w14:paraId="5F5C7CBF">
            <w:pPr>
              <w:widowControl/>
              <w:snapToGrid w:val="0"/>
              <w:spacing w:line="360" w:lineRule="auto"/>
              <w:jc w:val="center"/>
              <w:rPr>
                <w:color w:val="000000"/>
                <w:kern w:val="0"/>
                <w:szCs w:val="24"/>
              </w:rPr>
            </w:pPr>
          </w:p>
        </w:tc>
      </w:tr>
      <w:tr w14:paraId="2E37CB42">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4E39FD3D">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auto" w:fill="auto"/>
            <w:vAlign w:val="center"/>
          </w:tcPr>
          <w:p w14:paraId="21B4F264">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tcPr>
          <w:p w14:paraId="35C3A904">
            <w:pPr>
              <w:widowControl/>
              <w:snapToGrid w:val="0"/>
              <w:spacing w:line="360" w:lineRule="auto"/>
              <w:jc w:val="center"/>
              <w:rPr>
                <w:color w:val="000000"/>
                <w:kern w:val="0"/>
                <w:szCs w:val="24"/>
              </w:rPr>
            </w:pPr>
          </w:p>
        </w:tc>
      </w:tr>
      <w:tr w14:paraId="097FAEBA">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2D7D5D6C">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auto" w:fill="auto"/>
            <w:vAlign w:val="center"/>
          </w:tcPr>
          <w:p w14:paraId="3D75C5C9">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tcPr>
          <w:p w14:paraId="6A3189C8">
            <w:pPr>
              <w:widowControl/>
              <w:snapToGrid w:val="0"/>
              <w:spacing w:line="360" w:lineRule="auto"/>
              <w:jc w:val="center"/>
              <w:rPr>
                <w:color w:val="000000"/>
                <w:kern w:val="0"/>
                <w:szCs w:val="24"/>
              </w:rPr>
            </w:pPr>
          </w:p>
        </w:tc>
      </w:tr>
      <w:tr w14:paraId="5597F9C3">
        <w:trPr>
          <w:trHeight w:val="270" w:hRule="atLeast"/>
          <w:jc w:val="center"/>
        </w:trPr>
        <w:tc>
          <w:tcPr>
            <w:tcW w:w="2120" w:type="dxa"/>
            <w:vMerge w:val="restart"/>
            <w:tcBorders>
              <w:top w:val="nil"/>
              <w:left w:val="single" w:color="auto" w:sz="4" w:space="0"/>
              <w:bottom w:val="single" w:color="auto" w:sz="4" w:space="0"/>
              <w:right w:val="single" w:color="auto" w:sz="4" w:space="0"/>
            </w:tcBorders>
            <w:shd w:val="clear" w:color="auto" w:fill="auto"/>
            <w:noWrap/>
            <w:vAlign w:val="center"/>
          </w:tcPr>
          <w:p w14:paraId="025ECCB9">
            <w:pPr>
              <w:widowControl/>
              <w:snapToGrid w:val="0"/>
              <w:spacing w:line="360" w:lineRule="auto"/>
              <w:jc w:val="center"/>
              <w:rPr>
                <w:color w:val="000000"/>
                <w:kern w:val="0"/>
                <w:szCs w:val="24"/>
              </w:rPr>
            </w:pPr>
            <w:r>
              <w:rPr>
                <w:color w:val="000000"/>
                <w:kern w:val="0"/>
                <w:szCs w:val="24"/>
              </w:rPr>
              <w:t>操作系统</w:t>
            </w:r>
          </w:p>
        </w:tc>
        <w:tc>
          <w:tcPr>
            <w:tcW w:w="3409" w:type="dxa"/>
            <w:tcBorders>
              <w:top w:val="nil"/>
              <w:left w:val="nil"/>
              <w:bottom w:val="single" w:color="auto" w:sz="4" w:space="0"/>
              <w:right w:val="single" w:color="auto" w:sz="4" w:space="0"/>
            </w:tcBorders>
            <w:shd w:val="clear" w:color="000000" w:fill="FFFFFF"/>
            <w:vAlign w:val="center"/>
          </w:tcPr>
          <w:p w14:paraId="09E07CB3">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041C87F2">
            <w:pPr>
              <w:widowControl/>
              <w:snapToGrid w:val="0"/>
              <w:spacing w:line="360" w:lineRule="auto"/>
              <w:jc w:val="center"/>
              <w:rPr>
                <w:color w:val="000000"/>
                <w:kern w:val="0"/>
                <w:szCs w:val="24"/>
              </w:rPr>
            </w:pPr>
          </w:p>
        </w:tc>
      </w:tr>
      <w:tr w14:paraId="3B987138">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42559AE4">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6923E2BC">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20BE3232">
            <w:pPr>
              <w:widowControl/>
              <w:snapToGrid w:val="0"/>
              <w:spacing w:line="360" w:lineRule="auto"/>
              <w:jc w:val="center"/>
              <w:rPr>
                <w:color w:val="000000"/>
                <w:kern w:val="0"/>
                <w:szCs w:val="24"/>
              </w:rPr>
            </w:pPr>
          </w:p>
        </w:tc>
      </w:tr>
      <w:tr w14:paraId="300865DC">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623C4F01">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3EAFB527">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75C56032">
            <w:pPr>
              <w:widowControl/>
              <w:snapToGrid w:val="0"/>
              <w:spacing w:line="360" w:lineRule="auto"/>
              <w:jc w:val="center"/>
              <w:rPr>
                <w:color w:val="000000"/>
                <w:kern w:val="0"/>
                <w:szCs w:val="24"/>
              </w:rPr>
            </w:pPr>
          </w:p>
        </w:tc>
      </w:tr>
      <w:tr w14:paraId="1A019C8C">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4D3880F6">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0BB8479E">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37A0419B">
            <w:pPr>
              <w:widowControl/>
              <w:snapToGrid w:val="0"/>
              <w:spacing w:line="360" w:lineRule="auto"/>
              <w:jc w:val="center"/>
              <w:rPr>
                <w:color w:val="000000"/>
                <w:kern w:val="0"/>
                <w:szCs w:val="24"/>
              </w:rPr>
            </w:pPr>
          </w:p>
        </w:tc>
      </w:tr>
      <w:tr w14:paraId="32F4DE53">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4ADF540A">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74A7F1C6">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69F33994">
            <w:pPr>
              <w:widowControl/>
              <w:snapToGrid w:val="0"/>
              <w:spacing w:line="360" w:lineRule="auto"/>
              <w:jc w:val="center"/>
              <w:rPr>
                <w:color w:val="000000"/>
                <w:kern w:val="0"/>
                <w:szCs w:val="24"/>
              </w:rPr>
            </w:pPr>
          </w:p>
        </w:tc>
      </w:tr>
      <w:tr w14:paraId="41A21A29">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7701DDC8">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1DA63460">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0C33FDF3">
            <w:pPr>
              <w:widowControl/>
              <w:snapToGrid w:val="0"/>
              <w:spacing w:line="360" w:lineRule="auto"/>
              <w:jc w:val="center"/>
              <w:rPr>
                <w:color w:val="000000"/>
                <w:kern w:val="0"/>
                <w:szCs w:val="24"/>
              </w:rPr>
            </w:pPr>
          </w:p>
        </w:tc>
      </w:tr>
      <w:tr w14:paraId="6BAD74D6">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02D26A4B">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5D447917">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26E649E4">
            <w:pPr>
              <w:widowControl/>
              <w:snapToGrid w:val="0"/>
              <w:spacing w:line="360" w:lineRule="auto"/>
              <w:jc w:val="center"/>
              <w:rPr>
                <w:color w:val="000000"/>
                <w:kern w:val="0"/>
                <w:szCs w:val="24"/>
              </w:rPr>
            </w:pPr>
          </w:p>
        </w:tc>
      </w:tr>
      <w:tr w14:paraId="3B9E7F98">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78681ABE">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4CD6E588">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6B306BA5">
            <w:pPr>
              <w:widowControl/>
              <w:snapToGrid w:val="0"/>
              <w:spacing w:line="360" w:lineRule="auto"/>
              <w:jc w:val="center"/>
              <w:rPr>
                <w:color w:val="000000"/>
                <w:kern w:val="0"/>
                <w:szCs w:val="24"/>
              </w:rPr>
            </w:pPr>
          </w:p>
        </w:tc>
      </w:tr>
      <w:tr w14:paraId="7DE6F87B">
        <w:tblPrEx>
          <w:tblCellMar>
            <w:top w:w="0" w:type="dxa"/>
            <w:left w:w="108" w:type="dxa"/>
            <w:bottom w:w="0" w:type="dxa"/>
            <w:right w:w="108" w:type="dxa"/>
          </w:tblCellMar>
        </w:tblPrEx>
        <w:trPr>
          <w:trHeight w:val="270" w:hRule="atLeast"/>
          <w:jc w:val="center"/>
        </w:trPr>
        <w:tc>
          <w:tcPr>
            <w:tcW w:w="2120" w:type="dxa"/>
            <w:vMerge w:val="continue"/>
            <w:tcBorders>
              <w:top w:val="nil"/>
              <w:left w:val="single" w:color="auto" w:sz="4" w:space="0"/>
              <w:bottom w:val="single" w:color="auto" w:sz="4" w:space="0"/>
              <w:right w:val="single" w:color="auto" w:sz="4" w:space="0"/>
            </w:tcBorders>
            <w:vAlign w:val="center"/>
          </w:tcPr>
          <w:p w14:paraId="4A91BE5D">
            <w:pPr>
              <w:widowControl/>
              <w:snapToGrid w:val="0"/>
              <w:spacing w:line="360" w:lineRule="auto"/>
              <w:jc w:val="center"/>
              <w:rPr>
                <w:color w:val="000000"/>
                <w:kern w:val="0"/>
                <w:szCs w:val="24"/>
              </w:rPr>
            </w:pPr>
          </w:p>
        </w:tc>
        <w:tc>
          <w:tcPr>
            <w:tcW w:w="3409" w:type="dxa"/>
            <w:tcBorders>
              <w:top w:val="nil"/>
              <w:left w:val="nil"/>
              <w:bottom w:val="single" w:color="auto" w:sz="4" w:space="0"/>
              <w:right w:val="single" w:color="auto" w:sz="4" w:space="0"/>
            </w:tcBorders>
            <w:shd w:val="clear" w:color="000000" w:fill="FFFFFF"/>
            <w:vAlign w:val="center"/>
          </w:tcPr>
          <w:p w14:paraId="5440CEF3">
            <w:pPr>
              <w:widowControl/>
              <w:snapToGrid w:val="0"/>
              <w:spacing w:line="360" w:lineRule="auto"/>
              <w:jc w:val="center"/>
              <w:rPr>
                <w:color w:val="000000"/>
                <w:kern w:val="0"/>
                <w:szCs w:val="24"/>
              </w:rPr>
            </w:pPr>
          </w:p>
        </w:tc>
        <w:tc>
          <w:tcPr>
            <w:tcW w:w="2329" w:type="dxa"/>
            <w:tcBorders>
              <w:top w:val="nil"/>
              <w:left w:val="nil"/>
              <w:bottom w:val="single" w:color="auto" w:sz="4" w:space="0"/>
              <w:right w:val="single" w:color="auto" w:sz="4" w:space="0"/>
            </w:tcBorders>
            <w:shd w:val="clear" w:color="000000" w:fill="FFFFFF"/>
          </w:tcPr>
          <w:p w14:paraId="55501FF6">
            <w:pPr>
              <w:widowControl/>
              <w:snapToGrid w:val="0"/>
              <w:spacing w:line="360" w:lineRule="auto"/>
              <w:jc w:val="center"/>
              <w:rPr>
                <w:color w:val="000000"/>
                <w:kern w:val="0"/>
                <w:szCs w:val="24"/>
              </w:rPr>
            </w:pPr>
          </w:p>
        </w:tc>
      </w:tr>
    </w:tbl>
    <w:p w14:paraId="20D777E7">
      <w:pPr>
        <w:widowControl/>
        <w:snapToGrid w:val="0"/>
        <w:spacing w:line="360" w:lineRule="auto"/>
        <w:ind w:firstLine="480" w:firstLineChars="200"/>
        <w:rPr>
          <w:color w:val="000000"/>
          <w:kern w:val="0"/>
          <w:szCs w:val="24"/>
        </w:rPr>
      </w:pPr>
      <w:r>
        <w:rPr>
          <w:rFonts w:hint="eastAsia"/>
          <w:szCs w:val="24"/>
        </w:rPr>
        <w:t>除上述设备外，维护内容还包括约</w:t>
      </w:r>
      <w:r>
        <w:rPr>
          <w:szCs w:val="24"/>
        </w:rPr>
        <w:t>XX</w:t>
      </w:r>
      <w:r>
        <w:rPr>
          <w:rFonts w:hint="eastAsia"/>
          <w:szCs w:val="24"/>
        </w:rPr>
        <w:t>台电脑终端（含笔记本电脑）和</w:t>
      </w:r>
      <w:r>
        <w:rPr>
          <w:szCs w:val="24"/>
        </w:rPr>
        <w:t>XX</w:t>
      </w:r>
      <w:r>
        <w:rPr>
          <w:rFonts w:hint="eastAsia"/>
          <w:szCs w:val="24"/>
        </w:rPr>
        <w:t>台打印机。</w:t>
      </w:r>
    </w:p>
    <w:p w14:paraId="051F9E15">
      <w:pPr>
        <w:pStyle w:val="4"/>
        <w:snapToGrid w:val="0"/>
        <w:spacing w:before="0" w:line="360" w:lineRule="auto"/>
        <w:rPr>
          <w:rFonts w:ascii="宋体" w:hAnsi="宋体"/>
          <w:sz w:val="24"/>
          <w:szCs w:val="24"/>
          <w:lang w:eastAsia="zh-CN"/>
        </w:rPr>
      </w:pPr>
      <w:bookmarkStart w:id="14" w:name="_Toc491637477"/>
      <w:r>
        <w:rPr>
          <w:rFonts w:ascii="宋体" w:hAnsi="宋体"/>
          <w:sz w:val="24"/>
          <w:szCs w:val="24"/>
          <w:lang w:eastAsia="zh-CN"/>
        </w:rPr>
        <w:t>2.3应用系统</w:t>
      </w:r>
      <w:bookmarkEnd w:id="14"/>
    </w:p>
    <w:p w14:paraId="290031D8">
      <w:pPr>
        <w:snapToGrid w:val="0"/>
        <w:spacing w:line="360" w:lineRule="auto"/>
        <w:ind w:firstLine="460" w:firstLineChars="192"/>
        <w:rPr>
          <w:szCs w:val="24"/>
        </w:rPr>
      </w:pPr>
      <w:r>
        <w:rPr>
          <w:szCs w:val="24"/>
        </w:rPr>
        <w:t>XX局日常公文流</w:t>
      </w:r>
      <w:r>
        <w:rPr>
          <w:rFonts w:hint="eastAsia"/>
          <w:szCs w:val="24"/>
        </w:rPr>
        <w:t>转</w:t>
      </w:r>
      <w:r>
        <w:rPr>
          <w:szCs w:val="24"/>
        </w:rPr>
        <w:t>、公文办理等日常工作均在基于内网的不同应用系统上得以实现。各系统使用的操作系统包括MS-Win Server和LINUX两大类，数据库包括Lotus、Access、MS-SQL等。</w:t>
      </w:r>
      <w:r>
        <w:rPr>
          <w:rFonts w:hint="eastAsia"/>
          <w:szCs w:val="24"/>
        </w:rPr>
        <w:t>主要应用</w:t>
      </w:r>
      <w:r>
        <w:rPr>
          <w:szCs w:val="24"/>
        </w:rPr>
        <w:t>系统清单如下：</w:t>
      </w:r>
    </w:p>
    <w:tbl>
      <w:tblPr>
        <w:tblStyle w:val="20"/>
        <w:tblW w:w="8040" w:type="dxa"/>
        <w:jc w:val="center"/>
        <w:tblLayout w:type="autofit"/>
        <w:tblCellMar>
          <w:top w:w="0" w:type="dxa"/>
          <w:left w:w="108" w:type="dxa"/>
          <w:bottom w:w="0" w:type="dxa"/>
          <w:right w:w="108" w:type="dxa"/>
        </w:tblCellMar>
      </w:tblPr>
      <w:tblGrid>
        <w:gridCol w:w="723"/>
        <w:gridCol w:w="3977"/>
        <w:gridCol w:w="3340"/>
      </w:tblGrid>
      <w:tr w14:paraId="1312D16E">
        <w:tblPrEx>
          <w:tblCellMar>
            <w:top w:w="0" w:type="dxa"/>
            <w:left w:w="108" w:type="dxa"/>
            <w:bottom w:w="0" w:type="dxa"/>
            <w:right w:w="108" w:type="dxa"/>
          </w:tblCellMar>
        </w:tblPrEx>
        <w:trPr>
          <w:trHeight w:val="375" w:hRule="atLeast"/>
          <w:jc w:val="center"/>
        </w:trPr>
        <w:tc>
          <w:tcPr>
            <w:tcW w:w="8040" w:type="dxa"/>
            <w:gridSpan w:val="3"/>
            <w:tcBorders>
              <w:top w:val="nil"/>
              <w:left w:val="nil"/>
              <w:bottom w:val="single" w:color="auto" w:sz="4" w:space="0"/>
              <w:right w:val="nil"/>
            </w:tcBorders>
            <w:shd w:val="clear" w:color="auto" w:fill="auto"/>
            <w:vAlign w:val="center"/>
          </w:tcPr>
          <w:p w14:paraId="0784F760">
            <w:pPr>
              <w:widowControl/>
              <w:snapToGrid w:val="0"/>
              <w:spacing w:line="360" w:lineRule="auto"/>
              <w:jc w:val="center"/>
              <w:rPr>
                <w:color w:val="000000"/>
                <w:kern w:val="0"/>
                <w:szCs w:val="24"/>
              </w:rPr>
            </w:pPr>
            <w:r>
              <w:rPr>
                <w:color w:val="000000"/>
                <w:kern w:val="0"/>
                <w:szCs w:val="24"/>
              </w:rPr>
              <w:t>应用系统清单</w:t>
            </w:r>
          </w:p>
        </w:tc>
      </w:tr>
      <w:tr w14:paraId="13CD468C">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53F91B3D">
            <w:pPr>
              <w:widowControl/>
              <w:snapToGrid w:val="0"/>
              <w:spacing w:line="360" w:lineRule="auto"/>
              <w:jc w:val="center"/>
              <w:rPr>
                <w:rFonts w:hint="eastAsia"/>
                <w:color w:val="000000"/>
                <w:kern w:val="0"/>
                <w:szCs w:val="24"/>
              </w:rPr>
            </w:pPr>
            <w:r>
              <w:rPr>
                <w:rFonts w:hint="eastAsia"/>
                <w:color w:val="000000"/>
                <w:kern w:val="0"/>
                <w:szCs w:val="24"/>
              </w:rPr>
              <w:t>序号</w:t>
            </w:r>
          </w:p>
        </w:tc>
        <w:tc>
          <w:tcPr>
            <w:tcW w:w="3977" w:type="dxa"/>
            <w:tcBorders>
              <w:top w:val="single" w:color="auto" w:sz="4" w:space="0"/>
              <w:left w:val="nil"/>
              <w:bottom w:val="single" w:color="auto" w:sz="4" w:space="0"/>
              <w:right w:val="single" w:color="auto" w:sz="4" w:space="0"/>
            </w:tcBorders>
            <w:shd w:val="clear" w:color="auto" w:fill="auto"/>
            <w:vAlign w:val="center"/>
          </w:tcPr>
          <w:p w14:paraId="1696C86E">
            <w:pPr>
              <w:widowControl/>
              <w:snapToGrid w:val="0"/>
              <w:spacing w:line="360" w:lineRule="auto"/>
              <w:jc w:val="center"/>
              <w:rPr>
                <w:rFonts w:hint="eastAsia"/>
                <w:color w:val="000000"/>
                <w:kern w:val="0"/>
                <w:szCs w:val="24"/>
              </w:rPr>
            </w:pPr>
            <w:r>
              <w:rPr>
                <w:rFonts w:hint="eastAsia"/>
                <w:color w:val="000000"/>
                <w:kern w:val="0"/>
                <w:szCs w:val="24"/>
              </w:rPr>
              <w:t>系统名称</w:t>
            </w:r>
          </w:p>
        </w:tc>
        <w:tc>
          <w:tcPr>
            <w:tcW w:w="3340" w:type="dxa"/>
            <w:tcBorders>
              <w:top w:val="single" w:color="auto" w:sz="4" w:space="0"/>
              <w:left w:val="nil"/>
              <w:bottom w:val="single" w:color="auto" w:sz="4" w:space="0"/>
              <w:right w:val="single" w:color="auto" w:sz="4" w:space="0"/>
            </w:tcBorders>
            <w:shd w:val="clear" w:color="auto" w:fill="auto"/>
            <w:vAlign w:val="center"/>
          </w:tcPr>
          <w:p w14:paraId="3193F290">
            <w:pPr>
              <w:widowControl/>
              <w:snapToGrid w:val="0"/>
              <w:spacing w:line="360" w:lineRule="auto"/>
              <w:jc w:val="center"/>
              <w:rPr>
                <w:rFonts w:hint="eastAsia"/>
                <w:color w:val="000000"/>
                <w:kern w:val="0"/>
                <w:szCs w:val="24"/>
              </w:rPr>
            </w:pPr>
            <w:r>
              <w:rPr>
                <w:rFonts w:hint="eastAsia"/>
                <w:color w:val="000000"/>
                <w:kern w:val="0"/>
                <w:szCs w:val="24"/>
              </w:rPr>
              <w:t>访问地址</w:t>
            </w:r>
          </w:p>
        </w:tc>
      </w:tr>
      <w:tr w14:paraId="142B43D4">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4518203B">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49995A30">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1B25CCB7">
            <w:pPr>
              <w:widowControl/>
              <w:snapToGrid w:val="0"/>
              <w:spacing w:line="360" w:lineRule="auto"/>
              <w:rPr>
                <w:color w:val="000000"/>
                <w:kern w:val="0"/>
                <w:szCs w:val="24"/>
              </w:rPr>
            </w:pPr>
          </w:p>
        </w:tc>
      </w:tr>
      <w:tr w14:paraId="25D82A77">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5AD5CA18">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56B6EFC1">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4318B4AD">
            <w:pPr>
              <w:widowControl/>
              <w:snapToGrid w:val="0"/>
              <w:spacing w:line="360" w:lineRule="auto"/>
              <w:rPr>
                <w:color w:val="000000"/>
                <w:kern w:val="0"/>
                <w:szCs w:val="24"/>
              </w:rPr>
            </w:pPr>
          </w:p>
        </w:tc>
      </w:tr>
      <w:tr w14:paraId="191F3206">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70E1D3FF">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228EC364">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59EAA094">
            <w:pPr>
              <w:widowControl/>
              <w:snapToGrid w:val="0"/>
              <w:spacing w:line="360" w:lineRule="auto"/>
              <w:rPr>
                <w:color w:val="000000"/>
                <w:kern w:val="0"/>
                <w:szCs w:val="24"/>
              </w:rPr>
            </w:pPr>
          </w:p>
        </w:tc>
      </w:tr>
      <w:tr w14:paraId="0DE7F189">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5CCEC501">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03689361">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5DEAA5CF">
            <w:pPr>
              <w:widowControl/>
              <w:snapToGrid w:val="0"/>
              <w:spacing w:line="360" w:lineRule="auto"/>
              <w:rPr>
                <w:color w:val="000000"/>
                <w:kern w:val="0"/>
                <w:szCs w:val="24"/>
              </w:rPr>
            </w:pPr>
          </w:p>
        </w:tc>
      </w:tr>
      <w:tr w14:paraId="48613ACE">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1629C780">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5BD72BDA">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68BA266E">
            <w:pPr>
              <w:widowControl/>
              <w:snapToGrid w:val="0"/>
              <w:spacing w:line="360" w:lineRule="auto"/>
              <w:rPr>
                <w:color w:val="000000"/>
                <w:kern w:val="0"/>
                <w:szCs w:val="24"/>
              </w:rPr>
            </w:pPr>
          </w:p>
        </w:tc>
      </w:tr>
      <w:tr w14:paraId="580C4A57">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5519B971">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56EBFE43">
            <w:pPr>
              <w:widowControl/>
              <w:snapToGrid w:val="0"/>
              <w:spacing w:line="360" w:lineRule="auto"/>
              <w:rPr>
                <w:rFonts w:hint="eastAsia"/>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368644DB">
            <w:pPr>
              <w:widowControl/>
              <w:snapToGrid w:val="0"/>
              <w:spacing w:line="360" w:lineRule="auto"/>
              <w:rPr>
                <w:color w:val="000000"/>
                <w:kern w:val="0"/>
                <w:szCs w:val="24"/>
              </w:rPr>
            </w:pPr>
          </w:p>
        </w:tc>
      </w:tr>
      <w:tr w14:paraId="6603D448">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6A8CE211">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39C986AF">
            <w:pPr>
              <w:widowControl/>
              <w:snapToGrid w:val="0"/>
              <w:spacing w:line="360" w:lineRule="auto"/>
              <w:rPr>
                <w:rFonts w:hint="eastAsia"/>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0340BF9E">
            <w:pPr>
              <w:widowControl/>
              <w:snapToGrid w:val="0"/>
              <w:spacing w:line="360" w:lineRule="auto"/>
              <w:rPr>
                <w:color w:val="000000"/>
                <w:kern w:val="0"/>
                <w:szCs w:val="24"/>
              </w:rPr>
            </w:pPr>
          </w:p>
        </w:tc>
      </w:tr>
      <w:tr w14:paraId="433F92D1">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3BF3BDBA">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10C264CF">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0CA223AE">
            <w:pPr>
              <w:widowControl/>
              <w:snapToGrid w:val="0"/>
              <w:spacing w:line="360" w:lineRule="auto"/>
              <w:rPr>
                <w:color w:val="000000"/>
                <w:kern w:val="0"/>
                <w:szCs w:val="24"/>
              </w:rPr>
            </w:pPr>
          </w:p>
        </w:tc>
      </w:tr>
      <w:tr w14:paraId="6DEBD94F">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78F03623">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3259D13B">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3ABC894B">
            <w:pPr>
              <w:widowControl/>
              <w:snapToGrid w:val="0"/>
              <w:spacing w:line="360" w:lineRule="auto"/>
              <w:rPr>
                <w:color w:val="000000"/>
                <w:kern w:val="0"/>
                <w:szCs w:val="24"/>
              </w:rPr>
            </w:pPr>
          </w:p>
        </w:tc>
      </w:tr>
      <w:tr w14:paraId="5A371FE5">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0BFCAE74">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77BD4A44">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33D70066">
            <w:pPr>
              <w:widowControl/>
              <w:snapToGrid w:val="0"/>
              <w:spacing w:line="360" w:lineRule="auto"/>
              <w:rPr>
                <w:color w:val="000000"/>
                <w:kern w:val="0"/>
                <w:szCs w:val="24"/>
              </w:rPr>
            </w:pPr>
          </w:p>
        </w:tc>
      </w:tr>
      <w:tr w14:paraId="346047E5">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0FCF820A">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26BC780D">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275649F7">
            <w:pPr>
              <w:widowControl/>
              <w:snapToGrid w:val="0"/>
              <w:spacing w:line="360" w:lineRule="auto"/>
              <w:rPr>
                <w:color w:val="000000"/>
                <w:kern w:val="0"/>
                <w:szCs w:val="24"/>
              </w:rPr>
            </w:pPr>
          </w:p>
        </w:tc>
      </w:tr>
      <w:tr w14:paraId="3E44E667">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6CB2FAC0">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294A7A6F">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2947B058">
            <w:pPr>
              <w:widowControl/>
              <w:snapToGrid w:val="0"/>
              <w:spacing w:line="360" w:lineRule="auto"/>
              <w:rPr>
                <w:color w:val="000000"/>
                <w:kern w:val="0"/>
                <w:szCs w:val="24"/>
              </w:rPr>
            </w:pPr>
          </w:p>
        </w:tc>
      </w:tr>
      <w:tr w14:paraId="0BD264DF">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7447CD5D">
            <w:pPr>
              <w:widowControl/>
              <w:numPr>
                <w:ilvl w:val="0"/>
                <w:numId w:val="4"/>
              </w:numPr>
              <w:snapToGrid w:val="0"/>
              <w:spacing w:line="360" w:lineRule="auto"/>
              <w:jc w:val="center"/>
              <w:rPr>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019E61B9">
            <w:pPr>
              <w:widowControl/>
              <w:snapToGrid w:val="0"/>
              <w:spacing w:line="360" w:lineRule="auto"/>
              <w:rPr>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3417B047">
            <w:pPr>
              <w:widowControl/>
              <w:snapToGrid w:val="0"/>
              <w:spacing w:line="360" w:lineRule="auto"/>
              <w:rPr>
                <w:color w:val="000000"/>
                <w:kern w:val="0"/>
                <w:szCs w:val="24"/>
              </w:rPr>
            </w:pPr>
          </w:p>
        </w:tc>
      </w:tr>
      <w:tr w14:paraId="593BA6E8">
        <w:tblPrEx>
          <w:tblCellMar>
            <w:top w:w="0" w:type="dxa"/>
            <w:left w:w="108" w:type="dxa"/>
            <w:bottom w:w="0" w:type="dxa"/>
            <w:right w:w="108" w:type="dxa"/>
          </w:tblCellMar>
        </w:tblPrEx>
        <w:trPr>
          <w:trHeight w:val="300" w:hRule="atLeast"/>
          <w:jc w:val="center"/>
        </w:trPr>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14:paraId="21746C29">
            <w:pPr>
              <w:widowControl/>
              <w:numPr>
                <w:ilvl w:val="0"/>
                <w:numId w:val="4"/>
              </w:numPr>
              <w:snapToGrid w:val="0"/>
              <w:spacing w:line="360" w:lineRule="auto"/>
              <w:jc w:val="center"/>
              <w:rPr>
                <w:rFonts w:hint="eastAsia"/>
                <w:color w:val="000000"/>
                <w:kern w:val="0"/>
                <w:szCs w:val="24"/>
              </w:rPr>
            </w:pPr>
          </w:p>
        </w:tc>
        <w:tc>
          <w:tcPr>
            <w:tcW w:w="3977" w:type="dxa"/>
            <w:tcBorders>
              <w:top w:val="single" w:color="auto" w:sz="4" w:space="0"/>
              <w:left w:val="nil"/>
              <w:bottom w:val="single" w:color="auto" w:sz="4" w:space="0"/>
              <w:right w:val="single" w:color="auto" w:sz="4" w:space="0"/>
            </w:tcBorders>
            <w:shd w:val="clear" w:color="auto" w:fill="auto"/>
            <w:vAlign w:val="center"/>
          </w:tcPr>
          <w:p w14:paraId="0A661203">
            <w:pPr>
              <w:widowControl/>
              <w:snapToGrid w:val="0"/>
              <w:spacing w:line="360" w:lineRule="auto"/>
              <w:rPr>
                <w:rFonts w:hint="eastAsia"/>
                <w:color w:val="000000"/>
                <w:kern w:val="0"/>
                <w:szCs w:val="24"/>
              </w:rPr>
            </w:pPr>
          </w:p>
        </w:tc>
        <w:tc>
          <w:tcPr>
            <w:tcW w:w="3340" w:type="dxa"/>
            <w:tcBorders>
              <w:top w:val="single" w:color="auto" w:sz="4" w:space="0"/>
              <w:left w:val="nil"/>
              <w:bottom w:val="single" w:color="auto" w:sz="4" w:space="0"/>
              <w:right w:val="single" w:color="auto" w:sz="4" w:space="0"/>
            </w:tcBorders>
            <w:shd w:val="clear" w:color="auto" w:fill="auto"/>
            <w:vAlign w:val="center"/>
          </w:tcPr>
          <w:p w14:paraId="08CDC643">
            <w:pPr>
              <w:widowControl/>
              <w:snapToGrid w:val="0"/>
              <w:spacing w:line="360" w:lineRule="auto"/>
              <w:rPr>
                <w:color w:val="000000"/>
                <w:kern w:val="0"/>
                <w:szCs w:val="24"/>
              </w:rPr>
            </w:pPr>
          </w:p>
        </w:tc>
      </w:tr>
    </w:tbl>
    <w:p w14:paraId="607EFB11">
      <w:pPr>
        <w:snapToGrid w:val="0"/>
        <w:spacing w:line="360" w:lineRule="auto"/>
        <w:ind w:firstLine="460" w:firstLineChars="192"/>
        <w:rPr>
          <w:rFonts w:hint="eastAsia"/>
          <w:szCs w:val="24"/>
        </w:rPr>
      </w:pPr>
    </w:p>
    <w:p w14:paraId="0272A92D">
      <w:pPr>
        <w:snapToGrid w:val="0"/>
        <w:spacing w:line="360" w:lineRule="auto"/>
        <w:ind w:firstLine="460" w:firstLineChars="192"/>
        <w:rPr>
          <w:szCs w:val="24"/>
        </w:rPr>
      </w:pPr>
      <w:r>
        <w:rPr>
          <w:rFonts w:hint="eastAsia"/>
          <w:szCs w:val="24"/>
        </w:rPr>
        <w:t>对于其中部分重要应用，描述如下：</w:t>
      </w:r>
    </w:p>
    <w:p w14:paraId="03D0C957">
      <w:pPr>
        <w:snapToGrid w:val="0"/>
        <w:spacing w:line="360" w:lineRule="auto"/>
        <w:ind w:firstLine="460" w:firstLineChars="192"/>
        <w:rPr>
          <w:szCs w:val="24"/>
        </w:rPr>
      </w:pPr>
      <w:r>
        <w:rPr>
          <w:rFonts w:hint="eastAsia"/>
          <w:szCs w:val="24"/>
        </w:rPr>
        <w:t>1、XX局办公资源网</w:t>
      </w:r>
    </w:p>
    <w:p w14:paraId="7BC8C59A">
      <w:pPr>
        <w:snapToGrid w:val="0"/>
        <w:spacing w:line="360" w:lineRule="auto"/>
        <w:ind w:firstLine="460" w:firstLineChars="192"/>
        <w:rPr>
          <w:szCs w:val="24"/>
        </w:rPr>
      </w:pPr>
      <w:r>
        <w:rPr>
          <w:rFonts w:hint="eastAsia"/>
          <w:szCs w:val="24"/>
        </w:rPr>
        <w:t>2、政府公文综合管理系统</w:t>
      </w:r>
    </w:p>
    <w:p w14:paraId="6051A237">
      <w:pPr>
        <w:snapToGrid w:val="0"/>
        <w:spacing w:line="360" w:lineRule="auto"/>
        <w:ind w:firstLine="460" w:firstLineChars="192"/>
        <w:rPr>
          <w:szCs w:val="24"/>
        </w:rPr>
      </w:pPr>
      <w:r>
        <w:rPr>
          <w:rFonts w:hint="eastAsia"/>
          <w:szCs w:val="24"/>
        </w:rPr>
        <w:t>3、政府信息管理服务平台</w:t>
      </w:r>
    </w:p>
    <w:p w14:paraId="36C8FDA9">
      <w:pPr>
        <w:pStyle w:val="3"/>
        <w:snapToGrid w:val="0"/>
        <w:spacing w:before="0" w:after="0" w:line="360" w:lineRule="auto"/>
        <w:rPr>
          <w:rFonts w:ascii="宋体" w:hAnsi="宋体" w:eastAsia="宋体"/>
          <w:sz w:val="24"/>
          <w:szCs w:val="24"/>
        </w:rPr>
      </w:pPr>
      <w:bookmarkStart w:id="15" w:name="_Toc491637478"/>
      <w:bookmarkStart w:id="16" w:name="_Toc260834766"/>
      <w:r>
        <w:rPr>
          <w:rFonts w:hint="eastAsia" w:ascii="宋体" w:hAnsi="宋体" w:eastAsia="宋体"/>
          <w:sz w:val="24"/>
          <w:szCs w:val="24"/>
        </w:rPr>
        <w:t>3</w:t>
      </w:r>
      <w:r>
        <w:rPr>
          <w:rFonts w:ascii="宋体" w:hAnsi="宋体" w:eastAsia="宋体"/>
          <w:sz w:val="24"/>
          <w:szCs w:val="24"/>
        </w:rPr>
        <w:t>服务方案</w:t>
      </w:r>
      <w:bookmarkEnd w:id="15"/>
    </w:p>
    <w:p w14:paraId="57B80287">
      <w:pPr>
        <w:pStyle w:val="4"/>
        <w:snapToGrid w:val="0"/>
        <w:spacing w:before="0" w:line="360" w:lineRule="auto"/>
        <w:rPr>
          <w:rFonts w:ascii="宋体" w:hAnsi="宋体"/>
          <w:sz w:val="24"/>
          <w:szCs w:val="24"/>
          <w:lang w:eastAsia="zh-CN"/>
        </w:rPr>
      </w:pPr>
      <w:bookmarkStart w:id="17" w:name="_Toc491637479"/>
      <w:r>
        <w:rPr>
          <w:rFonts w:hint="eastAsia" w:ascii="宋体" w:hAnsi="宋体"/>
          <w:sz w:val="24"/>
          <w:szCs w:val="24"/>
          <w:lang w:eastAsia="zh-CN"/>
        </w:rPr>
        <w:t>3</w:t>
      </w:r>
      <w:r>
        <w:rPr>
          <w:rFonts w:ascii="宋体" w:hAnsi="宋体"/>
          <w:sz w:val="24"/>
          <w:szCs w:val="24"/>
          <w:lang w:eastAsia="zh-CN"/>
        </w:rPr>
        <w:t>.1</w:t>
      </w:r>
      <w:bookmarkStart w:id="18" w:name="_Toc260834772"/>
      <w:r>
        <w:rPr>
          <w:rFonts w:ascii="宋体" w:hAnsi="宋体"/>
          <w:sz w:val="24"/>
          <w:szCs w:val="24"/>
          <w:lang w:eastAsia="zh-CN"/>
        </w:rPr>
        <w:t>系统日常维护</w:t>
      </w:r>
      <w:bookmarkEnd w:id="17"/>
    </w:p>
    <w:p w14:paraId="4945CF7B">
      <w:pPr>
        <w:snapToGrid w:val="0"/>
        <w:spacing w:line="360" w:lineRule="auto"/>
        <w:ind w:firstLine="480" w:firstLineChars="200"/>
        <w:rPr>
          <w:color w:val="000000"/>
          <w:szCs w:val="24"/>
        </w:rPr>
      </w:pPr>
      <w:r>
        <w:rPr>
          <w:color w:val="000000"/>
          <w:szCs w:val="24"/>
        </w:rPr>
        <w:t>系统首要维护工作是信息化系统的日常维护，主要包括以下4个方面：</w:t>
      </w:r>
    </w:p>
    <w:p w14:paraId="163584BE">
      <w:pPr>
        <w:pStyle w:val="5"/>
        <w:widowControl/>
        <w:snapToGrid w:val="0"/>
        <w:spacing w:before="0" w:after="0" w:line="360"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.1.1系统支撑软硬件的日常维护</w:t>
      </w:r>
    </w:p>
    <w:p w14:paraId="1E322572">
      <w:pPr>
        <w:snapToGrid w:val="0"/>
        <w:spacing w:line="360" w:lineRule="auto"/>
        <w:ind w:firstLine="480" w:firstLineChars="200"/>
        <w:rPr>
          <w:color w:val="000000"/>
          <w:szCs w:val="24"/>
        </w:rPr>
      </w:pPr>
      <w:r>
        <w:rPr>
          <w:color w:val="000000"/>
          <w:szCs w:val="24"/>
        </w:rPr>
        <w:t>系统支撑软硬件主要包括PC服务器、存储、网络、安全设备及数据库软件、中间件等基础软硬件设施。</w:t>
      </w:r>
    </w:p>
    <w:p w14:paraId="04D357A4">
      <w:pPr>
        <w:pStyle w:val="6"/>
        <w:snapToGrid w:val="0"/>
        <w:spacing w:before="0" w:after="0" w:line="360" w:lineRule="auto"/>
        <w:rPr>
          <w:rFonts w:ascii="宋体" w:hAnsi="宋体"/>
          <w:szCs w:val="24"/>
        </w:rPr>
      </w:pPr>
      <w:r>
        <w:rPr>
          <w:rFonts w:hint="eastAsia" w:ascii="宋体" w:hAnsi="宋体"/>
          <w:szCs w:val="24"/>
        </w:rPr>
        <w:t>3</w:t>
      </w:r>
      <w:r>
        <w:rPr>
          <w:rFonts w:ascii="宋体" w:hAnsi="宋体"/>
          <w:szCs w:val="24"/>
        </w:rPr>
        <w:t>.1.1.1服务器维护</w:t>
      </w:r>
    </w:p>
    <w:p w14:paraId="3AD5DE29">
      <w:pPr>
        <w:snapToGrid w:val="0"/>
        <w:spacing w:line="360" w:lineRule="auto"/>
        <w:ind w:firstLine="560"/>
        <w:rPr>
          <w:szCs w:val="24"/>
        </w:rPr>
      </w:pPr>
      <w:r>
        <w:rPr>
          <w:szCs w:val="24"/>
        </w:rPr>
        <w:t>服务器系统主要包括信息处目前在用的各类服务器：数据库服务器、应用服务器、WEB/网管/备份服务器、门户网站、防病毒服务器等。具体服务内容包括：</w:t>
      </w:r>
    </w:p>
    <w:p w14:paraId="39B88B7C">
      <w:pPr>
        <w:numPr>
          <w:ilvl w:val="0"/>
          <w:numId w:val="5"/>
        </w:numPr>
        <w:snapToGrid w:val="0"/>
        <w:spacing w:line="360" w:lineRule="auto"/>
        <w:jc w:val="left"/>
        <w:rPr>
          <w:szCs w:val="24"/>
        </w:rPr>
      </w:pPr>
      <w:r>
        <w:rPr>
          <w:szCs w:val="24"/>
        </w:rPr>
        <w:t>服务器硬件状态检查</w:t>
      </w:r>
    </w:p>
    <w:p w14:paraId="77CBDD8C">
      <w:pPr>
        <w:numPr>
          <w:ilvl w:val="0"/>
          <w:numId w:val="5"/>
        </w:numPr>
        <w:snapToGrid w:val="0"/>
        <w:spacing w:line="360" w:lineRule="auto"/>
        <w:jc w:val="left"/>
        <w:rPr>
          <w:szCs w:val="24"/>
        </w:rPr>
      </w:pPr>
      <w:r>
        <w:rPr>
          <w:szCs w:val="24"/>
        </w:rPr>
        <w:t>服务器硬件安装与调整</w:t>
      </w:r>
    </w:p>
    <w:p w14:paraId="62FF4B54">
      <w:pPr>
        <w:numPr>
          <w:ilvl w:val="0"/>
          <w:numId w:val="5"/>
        </w:numPr>
        <w:snapToGrid w:val="0"/>
        <w:spacing w:line="360" w:lineRule="auto"/>
        <w:jc w:val="left"/>
        <w:rPr>
          <w:szCs w:val="24"/>
        </w:rPr>
      </w:pPr>
      <w:r>
        <w:rPr>
          <w:szCs w:val="24"/>
        </w:rPr>
        <w:t>服务器设备事件管理服务</w:t>
      </w:r>
    </w:p>
    <w:p w14:paraId="76F9BEF0">
      <w:pPr>
        <w:snapToGrid w:val="0"/>
        <w:spacing w:line="360" w:lineRule="auto"/>
        <w:ind w:firstLine="560"/>
        <w:rPr>
          <w:szCs w:val="24"/>
        </w:rPr>
      </w:pPr>
      <w:r>
        <w:rPr>
          <w:szCs w:val="24"/>
        </w:rPr>
        <w:t>要求运维团队根据服务器的情况制订相应的事件管理文档，由现场服务人员对服务器发生的事件进行记录、跟踪与分析，通过对事件的分析，及时发现服务器中存在的潜在问题，并进行解决或提出相应的解决方案。</w:t>
      </w:r>
    </w:p>
    <w:p w14:paraId="661EECD4">
      <w:pPr>
        <w:numPr>
          <w:ilvl w:val="0"/>
          <w:numId w:val="5"/>
        </w:numPr>
        <w:snapToGrid w:val="0"/>
        <w:spacing w:line="360" w:lineRule="auto"/>
        <w:jc w:val="left"/>
        <w:rPr>
          <w:szCs w:val="24"/>
        </w:rPr>
      </w:pPr>
      <w:r>
        <w:rPr>
          <w:szCs w:val="24"/>
        </w:rPr>
        <w:t>服务器性能监控</w:t>
      </w:r>
    </w:p>
    <w:p w14:paraId="4B7073BB">
      <w:pPr>
        <w:snapToGrid w:val="0"/>
        <w:spacing w:line="360" w:lineRule="auto"/>
        <w:ind w:firstLine="560"/>
        <w:rPr>
          <w:szCs w:val="24"/>
        </w:rPr>
      </w:pPr>
      <w:r>
        <w:rPr>
          <w:szCs w:val="24"/>
        </w:rPr>
        <w:t>要求运维团队每天由现场服务人员根据制定的性能监测模板对服务器的性能监控，监控的参数为服务器的CPU、memory、hdd、network，并根据各服务器的应用情况，分析出服务器性能的基本基准线。</w:t>
      </w:r>
    </w:p>
    <w:p w14:paraId="3414AA4C">
      <w:pPr>
        <w:numPr>
          <w:ilvl w:val="0"/>
          <w:numId w:val="5"/>
        </w:numPr>
        <w:snapToGrid w:val="0"/>
        <w:spacing w:line="360" w:lineRule="auto"/>
        <w:jc w:val="left"/>
        <w:rPr>
          <w:szCs w:val="24"/>
        </w:rPr>
      </w:pPr>
      <w:r>
        <w:rPr>
          <w:szCs w:val="24"/>
        </w:rPr>
        <w:t>应用维护</w:t>
      </w:r>
    </w:p>
    <w:p w14:paraId="17D5E587">
      <w:pPr>
        <w:snapToGrid w:val="0"/>
        <w:spacing w:line="360" w:lineRule="auto"/>
        <w:ind w:firstLine="560"/>
        <w:rPr>
          <w:szCs w:val="24"/>
        </w:rPr>
      </w:pPr>
      <w:r>
        <w:rPr>
          <w:szCs w:val="24"/>
        </w:rPr>
        <w:t>要求运维团队现场服务人员对这些应用进行定期的维护，对防病毒软件的防护状态与更新情况进行每天检查。</w:t>
      </w:r>
    </w:p>
    <w:p w14:paraId="03D31D33">
      <w:pPr>
        <w:numPr>
          <w:ilvl w:val="0"/>
          <w:numId w:val="5"/>
        </w:numPr>
        <w:snapToGrid w:val="0"/>
        <w:spacing w:line="360" w:lineRule="auto"/>
        <w:jc w:val="left"/>
        <w:rPr>
          <w:szCs w:val="24"/>
        </w:rPr>
      </w:pPr>
      <w:r>
        <w:rPr>
          <w:szCs w:val="24"/>
        </w:rPr>
        <w:t>服务器进程与服务检查</w:t>
      </w:r>
    </w:p>
    <w:p w14:paraId="5513E6FF">
      <w:pPr>
        <w:numPr>
          <w:ilvl w:val="0"/>
          <w:numId w:val="5"/>
        </w:numPr>
        <w:snapToGrid w:val="0"/>
        <w:spacing w:line="360" w:lineRule="auto"/>
        <w:jc w:val="left"/>
        <w:rPr>
          <w:szCs w:val="24"/>
        </w:rPr>
      </w:pPr>
      <w:r>
        <w:rPr>
          <w:szCs w:val="24"/>
        </w:rPr>
        <w:t>服务器磁盘空间检查</w:t>
      </w:r>
    </w:p>
    <w:p w14:paraId="7791AAB0">
      <w:pPr>
        <w:numPr>
          <w:ilvl w:val="0"/>
          <w:numId w:val="5"/>
        </w:numPr>
        <w:snapToGrid w:val="0"/>
        <w:spacing w:line="360" w:lineRule="auto"/>
        <w:jc w:val="left"/>
        <w:rPr>
          <w:szCs w:val="24"/>
        </w:rPr>
      </w:pPr>
      <w:r>
        <w:rPr>
          <w:szCs w:val="24"/>
        </w:rPr>
        <w:t>服务器系统漏洞修补</w:t>
      </w:r>
    </w:p>
    <w:p w14:paraId="2A4E0AEA">
      <w:pPr>
        <w:numPr>
          <w:ilvl w:val="0"/>
          <w:numId w:val="5"/>
        </w:numPr>
        <w:snapToGrid w:val="0"/>
        <w:spacing w:line="360" w:lineRule="auto"/>
        <w:jc w:val="left"/>
        <w:rPr>
          <w:szCs w:val="24"/>
        </w:rPr>
      </w:pPr>
      <w:r>
        <w:rPr>
          <w:szCs w:val="24"/>
        </w:rPr>
        <w:t>系统配置与变更管理</w:t>
      </w:r>
    </w:p>
    <w:p w14:paraId="0F0578EB">
      <w:pPr>
        <w:numPr>
          <w:ilvl w:val="0"/>
          <w:numId w:val="5"/>
        </w:numPr>
        <w:snapToGrid w:val="0"/>
        <w:spacing w:line="360" w:lineRule="auto"/>
        <w:jc w:val="left"/>
        <w:rPr>
          <w:szCs w:val="24"/>
        </w:rPr>
      </w:pPr>
      <w:r>
        <w:rPr>
          <w:szCs w:val="24"/>
        </w:rPr>
        <w:t>系统垃圾清理</w:t>
      </w:r>
    </w:p>
    <w:p w14:paraId="5FFC94E7">
      <w:pPr>
        <w:numPr>
          <w:ilvl w:val="0"/>
          <w:numId w:val="5"/>
        </w:numPr>
        <w:snapToGrid w:val="0"/>
        <w:spacing w:line="360" w:lineRule="auto"/>
        <w:jc w:val="left"/>
        <w:rPr>
          <w:szCs w:val="24"/>
        </w:rPr>
      </w:pPr>
      <w:r>
        <w:rPr>
          <w:szCs w:val="24"/>
        </w:rPr>
        <w:t>记录与报告</w:t>
      </w:r>
    </w:p>
    <w:p w14:paraId="77E95155">
      <w:pPr>
        <w:numPr>
          <w:ilvl w:val="0"/>
          <w:numId w:val="6"/>
        </w:numPr>
        <w:snapToGrid w:val="0"/>
        <w:spacing w:line="360" w:lineRule="auto"/>
        <w:rPr>
          <w:szCs w:val="24"/>
        </w:rPr>
      </w:pPr>
      <w:r>
        <w:rPr>
          <w:szCs w:val="24"/>
        </w:rPr>
        <w:t>服务器操作管理手册</w:t>
      </w:r>
    </w:p>
    <w:p w14:paraId="4CE22DE7">
      <w:pPr>
        <w:numPr>
          <w:ilvl w:val="0"/>
          <w:numId w:val="6"/>
        </w:numPr>
        <w:snapToGrid w:val="0"/>
        <w:spacing w:line="360" w:lineRule="auto"/>
        <w:rPr>
          <w:szCs w:val="24"/>
        </w:rPr>
      </w:pPr>
      <w:r>
        <w:rPr>
          <w:szCs w:val="24"/>
        </w:rPr>
        <w:t>服务器事故管理文档</w:t>
      </w:r>
    </w:p>
    <w:p w14:paraId="1C07D2DC">
      <w:pPr>
        <w:numPr>
          <w:ilvl w:val="0"/>
          <w:numId w:val="6"/>
        </w:numPr>
        <w:snapToGrid w:val="0"/>
        <w:spacing w:line="360" w:lineRule="auto"/>
        <w:rPr>
          <w:szCs w:val="24"/>
        </w:rPr>
      </w:pPr>
      <w:r>
        <w:rPr>
          <w:szCs w:val="24"/>
        </w:rPr>
        <w:t>服务器监控报告</w:t>
      </w:r>
    </w:p>
    <w:p w14:paraId="7330F086">
      <w:pPr>
        <w:numPr>
          <w:ilvl w:val="0"/>
          <w:numId w:val="6"/>
        </w:numPr>
        <w:snapToGrid w:val="0"/>
        <w:spacing w:line="360" w:lineRule="auto"/>
        <w:rPr>
          <w:szCs w:val="24"/>
        </w:rPr>
      </w:pPr>
      <w:r>
        <w:rPr>
          <w:szCs w:val="24"/>
        </w:rPr>
        <w:t>服务器设备标识，配置记录</w:t>
      </w:r>
    </w:p>
    <w:p w14:paraId="37884422">
      <w:pPr>
        <w:numPr>
          <w:ilvl w:val="0"/>
          <w:numId w:val="6"/>
        </w:numPr>
        <w:snapToGrid w:val="0"/>
        <w:spacing w:line="360" w:lineRule="auto"/>
        <w:rPr>
          <w:szCs w:val="24"/>
        </w:rPr>
      </w:pPr>
      <w:r>
        <w:rPr>
          <w:szCs w:val="24"/>
        </w:rPr>
        <w:t>服务器故障处理报告</w:t>
      </w:r>
    </w:p>
    <w:p w14:paraId="01AAA525">
      <w:pPr>
        <w:numPr>
          <w:ilvl w:val="0"/>
          <w:numId w:val="6"/>
        </w:numPr>
        <w:snapToGrid w:val="0"/>
        <w:spacing w:line="360" w:lineRule="auto"/>
        <w:rPr>
          <w:szCs w:val="24"/>
        </w:rPr>
      </w:pPr>
      <w:r>
        <w:rPr>
          <w:szCs w:val="24"/>
        </w:rPr>
        <w:t>服务器运维分析报告</w:t>
      </w:r>
    </w:p>
    <w:p w14:paraId="0A8E3949">
      <w:pPr>
        <w:numPr>
          <w:ilvl w:val="0"/>
          <w:numId w:val="6"/>
        </w:numPr>
        <w:snapToGrid w:val="0"/>
        <w:spacing w:line="360" w:lineRule="auto"/>
        <w:rPr>
          <w:szCs w:val="24"/>
        </w:rPr>
      </w:pPr>
      <w:r>
        <w:rPr>
          <w:szCs w:val="24"/>
        </w:rPr>
        <w:t>应用系统故障处理报告</w:t>
      </w:r>
    </w:p>
    <w:p w14:paraId="0D386BE2">
      <w:pPr>
        <w:numPr>
          <w:ilvl w:val="0"/>
          <w:numId w:val="6"/>
        </w:numPr>
        <w:snapToGrid w:val="0"/>
        <w:spacing w:line="360" w:lineRule="auto"/>
        <w:rPr>
          <w:szCs w:val="24"/>
        </w:rPr>
      </w:pPr>
      <w:r>
        <w:rPr>
          <w:szCs w:val="24"/>
        </w:rPr>
        <w:t>服务器系统配置记录</w:t>
      </w:r>
    </w:p>
    <w:p w14:paraId="488F76B6">
      <w:pPr>
        <w:numPr>
          <w:ilvl w:val="0"/>
          <w:numId w:val="6"/>
        </w:numPr>
        <w:snapToGrid w:val="0"/>
        <w:spacing w:line="360" w:lineRule="auto"/>
        <w:rPr>
          <w:szCs w:val="24"/>
        </w:rPr>
      </w:pPr>
      <w:r>
        <w:rPr>
          <w:szCs w:val="24"/>
        </w:rPr>
        <w:t>垃圾信息清理记录</w:t>
      </w:r>
    </w:p>
    <w:p w14:paraId="42CA08D9">
      <w:pPr>
        <w:pStyle w:val="6"/>
        <w:snapToGrid w:val="0"/>
        <w:spacing w:before="0" w:after="0" w:line="360" w:lineRule="auto"/>
        <w:rPr>
          <w:rFonts w:ascii="宋体" w:hAnsi="宋体"/>
          <w:szCs w:val="24"/>
        </w:rPr>
      </w:pPr>
      <w:r>
        <w:rPr>
          <w:rFonts w:hint="eastAsia" w:ascii="宋体" w:hAnsi="宋体"/>
          <w:szCs w:val="24"/>
        </w:rPr>
        <w:t>3</w:t>
      </w:r>
      <w:r>
        <w:rPr>
          <w:rFonts w:ascii="宋体" w:hAnsi="宋体"/>
          <w:szCs w:val="24"/>
        </w:rPr>
        <w:t>.1.1.2存储设备维护</w:t>
      </w:r>
    </w:p>
    <w:p w14:paraId="5BC252E2">
      <w:pPr>
        <w:snapToGrid w:val="0"/>
        <w:spacing w:line="360" w:lineRule="auto"/>
        <w:ind w:firstLine="560"/>
        <w:rPr>
          <w:szCs w:val="24"/>
        </w:rPr>
      </w:pPr>
      <w:r>
        <w:rPr>
          <w:szCs w:val="24"/>
        </w:rPr>
        <w:t>存储系统平台主要包括：SAN存储系统（接入SAN网络的服务器客户端、SAN交换机）、磁盘阵列、磁带库等的管理和维护工作。具体服务内容包括：</w:t>
      </w:r>
    </w:p>
    <w:p w14:paraId="48F29113">
      <w:pPr>
        <w:numPr>
          <w:ilvl w:val="1"/>
          <w:numId w:val="7"/>
        </w:numPr>
        <w:tabs>
          <w:tab w:val="left" w:pos="1080"/>
          <w:tab w:val="clear" w:pos="1700"/>
        </w:tabs>
        <w:snapToGrid w:val="0"/>
        <w:spacing w:line="360" w:lineRule="auto"/>
        <w:ind w:left="1080"/>
        <w:jc w:val="left"/>
        <w:rPr>
          <w:szCs w:val="24"/>
        </w:rPr>
      </w:pPr>
      <w:r>
        <w:rPr>
          <w:szCs w:val="24"/>
        </w:rPr>
        <w:t>存储设备配置管理服务</w:t>
      </w:r>
    </w:p>
    <w:p w14:paraId="1CB4721A">
      <w:pPr>
        <w:numPr>
          <w:ilvl w:val="1"/>
          <w:numId w:val="7"/>
        </w:numPr>
        <w:tabs>
          <w:tab w:val="left" w:pos="1080"/>
          <w:tab w:val="clear" w:pos="1700"/>
        </w:tabs>
        <w:snapToGrid w:val="0"/>
        <w:spacing w:line="360" w:lineRule="auto"/>
        <w:ind w:left="1080"/>
        <w:jc w:val="left"/>
        <w:rPr>
          <w:szCs w:val="24"/>
        </w:rPr>
      </w:pPr>
      <w:r>
        <w:rPr>
          <w:szCs w:val="24"/>
        </w:rPr>
        <w:t>备份作业检查</w:t>
      </w:r>
    </w:p>
    <w:p w14:paraId="518A0E02">
      <w:pPr>
        <w:numPr>
          <w:ilvl w:val="1"/>
          <w:numId w:val="7"/>
        </w:numPr>
        <w:tabs>
          <w:tab w:val="left" w:pos="1080"/>
          <w:tab w:val="clear" w:pos="1700"/>
        </w:tabs>
        <w:snapToGrid w:val="0"/>
        <w:spacing w:line="360" w:lineRule="auto"/>
        <w:ind w:left="1080"/>
        <w:jc w:val="left"/>
        <w:rPr>
          <w:szCs w:val="24"/>
        </w:rPr>
      </w:pPr>
      <w:r>
        <w:rPr>
          <w:szCs w:val="24"/>
        </w:rPr>
        <w:t>SAN交换机日常状态检查维护</w:t>
      </w:r>
    </w:p>
    <w:p w14:paraId="38485644">
      <w:pPr>
        <w:numPr>
          <w:ilvl w:val="1"/>
          <w:numId w:val="7"/>
        </w:numPr>
        <w:tabs>
          <w:tab w:val="left" w:pos="1080"/>
          <w:tab w:val="clear" w:pos="1700"/>
        </w:tabs>
        <w:snapToGrid w:val="0"/>
        <w:spacing w:line="360" w:lineRule="auto"/>
        <w:ind w:left="1080"/>
        <w:jc w:val="left"/>
        <w:rPr>
          <w:szCs w:val="24"/>
        </w:rPr>
      </w:pPr>
      <w:r>
        <w:rPr>
          <w:szCs w:val="24"/>
        </w:rPr>
        <w:t>存储设备事件管理服务</w:t>
      </w:r>
    </w:p>
    <w:p w14:paraId="4A224BFD">
      <w:pPr>
        <w:numPr>
          <w:ilvl w:val="1"/>
          <w:numId w:val="7"/>
        </w:numPr>
        <w:tabs>
          <w:tab w:val="left" w:pos="1080"/>
          <w:tab w:val="clear" w:pos="1700"/>
        </w:tabs>
        <w:snapToGrid w:val="0"/>
        <w:spacing w:line="360" w:lineRule="auto"/>
        <w:ind w:left="1080"/>
        <w:jc w:val="left"/>
        <w:rPr>
          <w:szCs w:val="24"/>
        </w:rPr>
      </w:pPr>
      <w:r>
        <w:rPr>
          <w:szCs w:val="24"/>
        </w:rPr>
        <w:t>备份及恢复策略制定</w:t>
      </w:r>
    </w:p>
    <w:p w14:paraId="20CA0839">
      <w:pPr>
        <w:numPr>
          <w:ilvl w:val="1"/>
          <w:numId w:val="7"/>
        </w:numPr>
        <w:tabs>
          <w:tab w:val="left" w:pos="1080"/>
          <w:tab w:val="clear" w:pos="1700"/>
        </w:tabs>
        <w:snapToGrid w:val="0"/>
        <w:spacing w:line="360" w:lineRule="auto"/>
        <w:ind w:left="1080"/>
        <w:jc w:val="left"/>
        <w:rPr>
          <w:szCs w:val="24"/>
        </w:rPr>
      </w:pPr>
      <w:r>
        <w:rPr>
          <w:szCs w:val="24"/>
        </w:rPr>
        <w:t>备份介质管理</w:t>
      </w:r>
    </w:p>
    <w:p w14:paraId="01AA27FC">
      <w:pPr>
        <w:numPr>
          <w:ilvl w:val="1"/>
          <w:numId w:val="7"/>
        </w:numPr>
        <w:tabs>
          <w:tab w:val="left" w:pos="1080"/>
          <w:tab w:val="clear" w:pos="1700"/>
        </w:tabs>
        <w:snapToGrid w:val="0"/>
        <w:spacing w:line="360" w:lineRule="auto"/>
        <w:ind w:left="1080"/>
        <w:jc w:val="left"/>
        <w:rPr>
          <w:szCs w:val="24"/>
        </w:rPr>
      </w:pPr>
      <w:r>
        <w:rPr>
          <w:szCs w:val="24"/>
        </w:rPr>
        <w:t>备份软件维护</w:t>
      </w:r>
    </w:p>
    <w:p w14:paraId="77CCA7A4">
      <w:pPr>
        <w:numPr>
          <w:ilvl w:val="1"/>
          <w:numId w:val="7"/>
        </w:numPr>
        <w:tabs>
          <w:tab w:val="left" w:pos="1080"/>
          <w:tab w:val="clear" w:pos="1700"/>
        </w:tabs>
        <w:snapToGrid w:val="0"/>
        <w:spacing w:line="360" w:lineRule="auto"/>
        <w:ind w:left="1080"/>
        <w:jc w:val="left"/>
        <w:rPr>
          <w:szCs w:val="24"/>
        </w:rPr>
      </w:pPr>
      <w:r>
        <w:rPr>
          <w:szCs w:val="24"/>
        </w:rPr>
        <w:t>备份数据恢复</w:t>
      </w:r>
    </w:p>
    <w:p w14:paraId="01482828">
      <w:pPr>
        <w:snapToGrid w:val="0"/>
        <w:spacing w:line="360" w:lineRule="auto"/>
        <w:ind w:firstLine="560"/>
        <w:rPr>
          <w:szCs w:val="24"/>
        </w:rPr>
      </w:pPr>
      <w:r>
        <w:rPr>
          <w:szCs w:val="24"/>
        </w:rPr>
        <w:t>当系统出现异常数据丢失时，协同应用厂商，在信息处的授权下，要求运维团队现场服务人员对相应的备份数据进行数据恢复，以快速保证与恢复客户的应用。</w:t>
      </w:r>
    </w:p>
    <w:p w14:paraId="48394300">
      <w:pPr>
        <w:numPr>
          <w:ilvl w:val="1"/>
          <w:numId w:val="7"/>
        </w:numPr>
        <w:tabs>
          <w:tab w:val="left" w:pos="1080"/>
          <w:tab w:val="clear" w:pos="1700"/>
        </w:tabs>
        <w:snapToGrid w:val="0"/>
        <w:spacing w:line="360" w:lineRule="auto"/>
        <w:ind w:left="1080"/>
        <w:jc w:val="left"/>
        <w:rPr>
          <w:szCs w:val="24"/>
        </w:rPr>
      </w:pPr>
      <w:r>
        <w:rPr>
          <w:szCs w:val="24"/>
        </w:rPr>
        <w:t>备份数据整理</w:t>
      </w:r>
    </w:p>
    <w:p w14:paraId="57CC20E1">
      <w:pPr>
        <w:snapToGrid w:val="0"/>
        <w:spacing w:line="360" w:lineRule="auto"/>
        <w:ind w:firstLine="560"/>
        <w:rPr>
          <w:szCs w:val="24"/>
        </w:rPr>
      </w:pPr>
      <w:r>
        <w:rPr>
          <w:szCs w:val="24"/>
        </w:rPr>
        <w:t>由于目前备份数据没有明确的管理制度，备份数据管理程无序化状态，对于备份数据的保存声明周期没有周密的限定计划，造成备份数据占用大量的存储空间，要求运维团队现场服务人员根据备份和存储数据的情况，提出数据整理频率计划，并信息处进行数据的整理。</w:t>
      </w:r>
    </w:p>
    <w:p w14:paraId="4D1640CA">
      <w:pPr>
        <w:numPr>
          <w:ilvl w:val="1"/>
          <w:numId w:val="7"/>
        </w:numPr>
        <w:tabs>
          <w:tab w:val="left" w:pos="1080"/>
          <w:tab w:val="clear" w:pos="1700"/>
        </w:tabs>
        <w:snapToGrid w:val="0"/>
        <w:spacing w:line="360" w:lineRule="auto"/>
        <w:ind w:left="1080"/>
        <w:jc w:val="left"/>
        <w:rPr>
          <w:szCs w:val="24"/>
        </w:rPr>
      </w:pPr>
      <w:r>
        <w:rPr>
          <w:szCs w:val="24"/>
        </w:rPr>
        <w:t>存储设备运行维护</w:t>
      </w:r>
    </w:p>
    <w:p w14:paraId="69C0522F">
      <w:pPr>
        <w:snapToGrid w:val="0"/>
        <w:spacing w:line="360" w:lineRule="auto"/>
        <w:ind w:firstLine="560"/>
        <w:rPr>
          <w:szCs w:val="24"/>
        </w:rPr>
      </w:pPr>
      <w:r>
        <w:rPr>
          <w:szCs w:val="24"/>
        </w:rPr>
        <w:t>要求运维团队现场服务人员对存储设备硬件状态监控，问题及时处理。</w:t>
      </w:r>
    </w:p>
    <w:p w14:paraId="121DB5E2">
      <w:pPr>
        <w:numPr>
          <w:ilvl w:val="1"/>
          <w:numId w:val="7"/>
        </w:numPr>
        <w:tabs>
          <w:tab w:val="left" w:pos="1080"/>
          <w:tab w:val="clear" w:pos="1700"/>
        </w:tabs>
        <w:snapToGrid w:val="0"/>
        <w:spacing w:line="360" w:lineRule="auto"/>
        <w:ind w:left="1080"/>
        <w:jc w:val="left"/>
        <w:rPr>
          <w:szCs w:val="24"/>
        </w:rPr>
      </w:pPr>
      <w:r>
        <w:rPr>
          <w:szCs w:val="24"/>
        </w:rPr>
        <w:t>记录与报告</w:t>
      </w:r>
    </w:p>
    <w:p w14:paraId="18D76CA8">
      <w:pPr>
        <w:numPr>
          <w:ilvl w:val="0"/>
          <w:numId w:val="8"/>
        </w:numPr>
        <w:snapToGrid w:val="0"/>
        <w:spacing w:line="360" w:lineRule="auto"/>
        <w:rPr>
          <w:szCs w:val="24"/>
        </w:rPr>
      </w:pPr>
      <w:r>
        <w:rPr>
          <w:szCs w:val="24"/>
        </w:rPr>
        <w:t>存储设备操作管理手册</w:t>
      </w:r>
    </w:p>
    <w:p w14:paraId="1B701C6F">
      <w:pPr>
        <w:numPr>
          <w:ilvl w:val="0"/>
          <w:numId w:val="8"/>
        </w:numPr>
        <w:snapToGrid w:val="0"/>
        <w:spacing w:line="360" w:lineRule="auto"/>
        <w:rPr>
          <w:szCs w:val="24"/>
        </w:rPr>
      </w:pPr>
      <w:r>
        <w:rPr>
          <w:szCs w:val="24"/>
        </w:rPr>
        <w:t>设备检修报告</w:t>
      </w:r>
    </w:p>
    <w:p w14:paraId="36FF9907">
      <w:pPr>
        <w:numPr>
          <w:ilvl w:val="0"/>
          <w:numId w:val="8"/>
        </w:numPr>
        <w:snapToGrid w:val="0"/>
        <w:spacing w:line="360" w:lineRule="auto"/>
        <w:rPr>
          <w:szCs w:val="24"/>
        </w:rPr>
      </w:pPr>
      <w:r>
        <w:rPr>
          <w:szCs w:val="24"/>
        </w:rPr>
        <w:t>故障处理报告</w:t>
      </w:r>
    </w:p>
    <w:p w14:paraId="069E7F0F">
      <w:pPr>
        <w:numPr>
          <w:ilvl w:val="0"/>
          <w:numId w:val="8"/>
        </w:numPr>
        <w:snapToGrid w:val="0"/>
        <w:spacing w:line="360" w:lineRule="auto"/>
        <w:rPr>
          <w:szCs w:val="24"/>
        </w:rPr>
      </w:pPr>
      <w:r>
        <w:rPr>
          <w:szCs w:val="24"/>
        </w:rPr>
        <w:t>存储设备运维分析报告</w:t>
      </w:r>
    </w:p>
    <w:p w14:paraId="097D09F1">
      <w:pPr>
        <w:numPr>
          <w:ilvl w:val="0"/>
          <w:numId w:val="8"/>
        </w:numPr>
        <w:snapToGrid w:val="0"/>
        <w:spacing w:line="360" w:lineRule="auto"/>
        <w:rPr>
          <w:szCs w:val="24"/>
        </w:rPr>
      </w:pPr>
      <w:r>
        <w:rPr>
          <w:szCs w:val="24"/>
        </w:rPr>
        <w:t>数据备份操作管理手册</w:t>
      </w:r>
    </w:p>
    <w:p w14:paraId="1CF30B77">
      <w:pPr>
        <w:numPr>
          <w:ilvl w:val="0"/>
          <w:numId w:val="8"/>
        </w:numPr>
        <w:snapToGrid w:val="0"/>
        <w:spacing w:line="360" w:lineRule="auto"/>
        <w:rPr>
          <w:szCs w:val="24"/>
        </w:rPr>
      </w:pPr>
      <w:r>
        <w:rPr>
          <w:szCs w:val="24"/>
        </w:rPr>
        <w:t>数据备份记录</w:t>
      </w:r>
    </w:p>
    <w:p w14:paraId="330B8E73">
      <w:pPr>
        <w:numPr>
          <w:ilvl w:val="0"/>
          <w:numId w:val="8"/>
        </w:numPr>
        <w:snapToGrid w:val="0"/>
        <w:spacing w:line="360" w:lineRule="auto"/>
        <w:rPr>
          <w:szCs w:val="24"/>
        </w:rPr>
      </w:pPr>
      <w:r>
        <w:rPr>
          <w:szCs w:val="24"/>
        </w:rPr>
        <w:t>存储系统配置记录</w:t>
      </w:r>
    </w:p>
    <w:p w14:paraId="5D64B0C9">
      <w:pPr>
        <w:numPr>
          <w:ilvl w:val="0"/>
          <w:numId w:val="8"/>
        </w:numPr>
        <w:snapToGrid w:val="0"/>
        <w:spacing w:line="360" w:lineRule="auto"/>
        <w:rPr>
          <w:szCs w:val="24"/>
        </w:rPr>
      </w:pPr>
      <w:r>
        <w:rPr>
          <w:szCs w:val="24"/>
        </w:rPr>
        <w:t>存储系统空间调整记录</w:t>
      </w:r>
    </w:p>
    <w:p w14:paraId="7ADEF525">
      <w:pPr>
        <w:numPr>
          <w:ilvl w:val="0"/>
          <w:numId w:val="8"/>
        </w:numPr>
        <w:snapToGrid w:val="0"/>
        <w:spacing w:line="360" w:lineRule="auto"/>
        <w:rPr>
          <w:szCs w:val="24"/>
        </w:rPr>
      </w:pPr>
      <w:r>
        <w:rPr>
          <w:szCs w:val="24"/>
        </w:rPr>
        <w:t>备份策略调整更新记录</w:t>
      </w:r>
    </w:p>
    <w:p w14:paraId="566F7C62">
      <w:pPr>
        <w:pStyle w:val="6"/>
        <w:snapToGrid w:val="0"/>
        <w:spacing w:before="0" w:after="0" w:line="360" w:lineRule="auto"/>
        <w:rPr>
          <w:rFonts w:ascii="宋体" w:hAnsi="宋体"/>
          <w:szCs w:val="24"/>
        </w:rPr>
      </w:pPr>
      <w:r>
        <w:rPr>
          <w:rFonts w:hint="eastAsia" w:ascii="宋体" w:hAnsi="宋体"/>
          <w:szCs w:val="24"/>
        </w:rPr>
        <w:t>3</w:t>
      </w:r>
      <w:r>
        <w:rPr>
          <w:rFonts w:ascii="宋体" w:hAnsi="宋体"/>
          <w:szCs w:val="24"/>
        </w:rPr>
        <w:t>.1.1.3网络、安全设备维护</w:t>
      </w:r>
    </w:p>
    <w:p w14:paraId="0E03A3D5">
      <w:pPr>
        <w:snapToGrid w:val="0"/>
        <w:spacing w:line="360" w:lineRule="auto"/>
        <w:ind w:firstLine="560"/>
        <w:rPr>
          <w:szCs w:val="24"/>
        </w:rPr>
      </w:pPr>
      <w:r>
        <w:rPr>
          <w:szCs w:val="24"/>
        </w:rPr>
        <w:t>网络、安全平台维护的目标是：通过网络、安全系统管理服务，降低网络设备故障率，提高网络设备的运行性能。提高XX局网络运行的稳定性、可靠性，以专业化运作模式解决XX局各类信息系统信息化发展的需求。需要提供故障诊断、远程支持、现场支持、软件升级、设备搬迁、网络优化、网络巡检、现场培训、技术交流、网络安全、网络建设建议等服务。具体服务内容如下：</w:t>
      </w:r>
    </w:p>
    <w:p w14:paraId="3CB0C8E5">
      <w:pPr>
        <w:numPr>
          <w:ilvl w:val="1"/>
          <w:numId w:val="8"/>
        </w:numPr>
        <w:snapToGrid w:val="0"/>
        <w:spacing w:line="360" w:lineRule="auto"/>
        <w:rPr>
          <w:szCs w:val="24"/>
        </w:rPr>
      </w:pPr>
      <w:r>
        <w:rPr>
          <w:szCs w:val="24"/>
        </w:rPr>
        <w:t>网络故障排查</w:t>
      </w:r>
    </w:p>
    <w:p w14:paraId="6517BA9A">
      <w:pPr>
        <w:numPr>
          <w:ilvl w:val="1"/>
          <w:numId w:val="8"/>
        </w:numPr>
        <w:snapToGrid w:val="0"/>
        <w:spacing w:line="360" w:lineRule="auto"/>
        <w:rPr>
          <w:szCs w:val="24"/>
        </w:rPr>
      </w:pPr>
      <w:r>
        <w:rPr>
          <w:szCs w:val="24"/>
        </w:rPr>
        <w:t>网络设备硬件状态检查</w:t>
      </w:r>
    </w:p>
    <w:p w14:paraId="5A5E95BD">
      <w:pPr>
        <w:numPr>
          <w:ilvl w:val="1"/>
          <w:numId w:val="8"/>
        </w:numPr>
        <w:tabs>
          <w:tab w:val="left" w:pos="1260"/>
        </w:tabs>
        <w:snapToGrid w:val="0"/>
        <w:spacing w:line="360" w:lineRule="auto"/>
        <w:rPr>
          <w:szCs w:val="24"/>
        </w:rPr>
      </w:pPr>
      <w:r>
        <w:rPr>
          <w:szCs w:val="24"/>
        </w:rPr>
        <w:t>网络流量监测</w:t>
      </w:r>
    </w:p>
    <w:p w14:paraId="79A34DCC">
      <w:pPr>
        <w:numPr>
          <w:ilvl w:val="1"/>
          <w:numId w:val="8"/>
        </w:numPr>
        <w:snapToGrid w:val="0"/>
        <w:spacing w:line="360" w:lineRule="auto"/>
        <w:rPr>
          <w:szCs w:val="24"/>
        </w:rPr>
      </w:pPr>
      <w:r>
        <w:rPr>
          <w:szCs w:val="24"/>
        </w:rPr>
        <w:t>安全策略配置及配置优化</w:t>
      </w:r>
    </w:p>
    <w:p w14:paraId="08EC78A9">
      <w:pPr>
        <w:numPr>
          <w:ilvl w:val="1"/>
          <w:numId w:val="8"/>
        </w:numPr>
        <w:snapToGrid w:val="0"/>
        <w:spacing w:line="360" w:lineRule="auto"/>
        <w:rPr>
          <w:szCs w:val="24"/>
        </w:rPr>
      </w:pPr>
      <w:r>
        <w:rPr>
          <w:szCs w:val="24"/>
        </w:rPr>
        <w:t>网络设备配置管理服务</w:t>
      </w:r>
    </w:p>
    <w:p w14:paraId="72DD8E15">
      <w:pPr>
        <w:numPr>
          <w:ilvl w:val="1"/>
          <w:numId w:val="8"/>
        </w:numPr>
        <w:snapToGrid w:val="0"/>
        <w:spacing w:line="360" w:lineRule="auto"/>
        <w:rPr>
          <w:szCs w:val="24"/>
        </w:rPr>
      </w:pPr>
      <w:r>
        <w:rPr>
          <w:szCs w:val="24"/>
        </w:rPr>
        <w:t>网络设备资料整理，配置参数整理</w:t>
      </w:r>
    </w:p>
    <w:p w14:paraId="38A0BFA7">
      <w:pPr>
        <w:numPr>
          <w:ilvl w:val="1"/>
          <w:numId w:val="8"/>
        </w:numPr>
        <w:snapToGrid w:val="0"/>
        <w:spacing w:line="360" w:lineRule="auto"/>
        <w:rPr>
          <w:szCs w:val="24"/>
        </w:rPr>
      </w:pPr>
      <w:r>
        <w:rPr>
          <w:szCs w:val="24"/>
        </w:rPr>
        <w:t>网络使用状况趋势分析及建议</w:t>
      </w:r>
    </w:p>
    <w:p w14:paraId="09E5459C">
      <w:pPr>
        <w:pStyle w:val="6"/>
        <w:snapToGrid w:val="0"/>
        <w:spacing w:before="0" w:after="0" w:line="360" w:lineRule="auto"/>
        <w:rPr>
          <w:rFonts w:ascii="宋体" w:hAnsi="宋体"/>
          <w:szCs w:val="24"/>
        </w:rPr>
      </w:pPr>
      <w:r>
        <w:rPr>
          <w:rFonts w:hint="eastAsia" w:ascii="宋体" w:hAnsi="宋体"/>
          <w:szCs w:val="24"/>
        </w:rPr>
        <w:t>3</w:t>
      </w:r>
      <w:r>
        <w:rPr>
          <w:rFonts w:ascii="宋体" w:hAnsi="宋体"/>
          <w:szCs w:val="24"/>
        </w:rPr>
        <w:t>.1.1.4数据库系统维护</w:t>
      </w:r>
    </w:p>
    <w:p w14:paraId="3BAC2047">
      <w:pPr>
        <w:pStyle w:val="45"/>
        <w:snapToGrid w:val="0"/>
        <w:rPr>
          <w:rFonts w:ascii="宋体" w:hAnsi="宋体" w:cs="Times New Roman"/>
          <w:color w:val="000000"/>
          <w:szCs w:val="24"/>
        </w:rPr>
      </w:pPr>
      <w:r>
        <w:rPr>
          <w:rFonts w:ascii="宋体" w:hAnsi="宋体" w:cs="Times New Roman"/>
          <w:color w:val="000000"/>
          <w:szCs w:val="24"/>
        </w:rPr>
        <w:t>数据库为SQL2000及SQL2008，其维护服务内容主要包括：</w:t>
      </w:r>
    </w:p>
    <w:p w14:paraId="555F1CE2">
      <w:pPr>
        <w:numPr>
          <w:ilvl w:val="1"/>
          <w:numId w:val="6"/>
        </w:numPr>
        <w:snapToGrid w:val="0"/>
        <w:spacing w:line="360" w:lineRule="auto"/>
        <w:rPr>
          <w:color w:val="000000"/>
          <w:szCs w:val="24"/>
        </w:rPr>
      </w:pPr>
      <w:r>
        <w:rPr>
          <w:color w:val="000000"/>
          <w:szCs w:val="24"/>
        </w:rPr>
        <w:t>数据库实例状态检查</w:t>
      </w:r>
    </w:p>
    <w:p w14:paraId="3CE3E2D1">
      <w:pPr>
        <w:numPr>
          <w:ilvl w:val="1"/>
          <w:numId w:val="6"/>
        </w:numPr>
        <w:snapToGrid w:val="0"/>
        <w:spacing w:line="360" w:lineRule="auto"/>
        <w:rPr>
          <w:color w:val="000000"/>
          <w:szCs w:val="24"/>
        </w:rPr>
      </w:pPr>
      <w:r>
        <w:rPr>
          <w:color w:val="000000"/>
          <w:szCs w:val="24"/>
        </w:rPr>
        <w:t>数据库表空间使用情况</w:t>
      </w:r>
    </w:p>
    <w:p w14:paraId="0D81482A">
      <w:pPr>
        <w:numPr>
          <w:ilvl w:val="1"/>
          <w:numId w:val="6"/>
        </w:numPr>
        <w:snapToGrid w:val="0"/>
        <w:spacing w:line="360" w:lineRule="auto"/>
        <w:rPr>
          <w:color w:val="000000"/>
          <w:szCs w:val="24"/>
        </w:rPr>
      </w:pPr>
      <w:r>
        <w:rPr>
          <w:color w:val="000000"/>
          <w:szCs w:val="24"/>
        </w:rPr>
        <w:t>监控查看数据库的连接情况</w:t>
      </w:r>
    </w:p>
    <w:p w14:paraId="33BA3DBD">
      <w:pPr>
        <w:numPr>
          <w:ilvl w:val="1"/>
          <w:numId w:val="6"/>
        </w:numPr>
        <w:snapToGrid w:val="0"/>
        <w:spacing w:line="360" w:lineRule="auto"/>
        <w:rPr>
          <w:color w:val="000000"/>
          <w:szCs w:val="24"/>
        </w:rPr>
      </w:pPr>
      <w:r>
        <w:rPr>
          <w:color w:val="000000"/>
          <w:szCs w:val="24"/>
        </w:rPr>
        <w:t>表空间使用情况和性能检查</w:t>
      </w:r>
    </w:p>
    <w:p w14:paraId="0ADF4445">
      <w:pPr>
        <w:numPr>
          <w:ilvl w:val="1"/>
          <w:numId w:val="6"/>
        </w:numPr>
        <w:snapToGrid w:val="0"/>
        <w:spacing w:line="360" w:lineRule="auto"/>
        <w:rPr>
          <w:color w:val="000000"/>
          <w:szCs w:val="24"/>
        </w:rPr>
      </w:pPr>
      <w:r>
        <w:rPr>
          <w:color w:val="000000"/>
          <w:szCs w:val="24"/>
        </w:rPr>
        <w:t>数据库告警日志检查分析</w:t>
      </w:r>
    </w:p>
    <w:p w14:paraId="324ABEEB">
      <w:pPr>
        <w:numPr>
          <w:ilvl w:val="1"/>
          <w:numId w:val="6"/>
        </w:numPr>
        <w:snapToGrid w:val="0"/>
        <w:spacing w:line="360" w:lineRule="auto"/>
        <w:rPr>
          <w:color w:val="000000"/>
          <w:szCs w:val="24"/>
        </w:rPr>
      </w:pPr>
      <w:r>
        <w:rPr>
          <w:color w:val="000000"/>
          <w:szCs w:val="24"/>
        </w:rPr>
        <w:t>数据库备份检查</w:t>
      </w:r>
    </w:p>
    <w:p w14:paraId="788B0B85">
      <w:pPr>
        <w:pStyle w:val="6"/>
        <w:snapToGrid w:val="0"/>
        <w:spacing w:before="0" w:after="0" w:line="360" w:lineRule="auto"/>
        <w:rPr>
          <w:rFonts w:ascii="宋体" w:hAnsi="宋体"/>
          <w:szCs w:val="24"/>
        </w:rPr>
      </w:pPr>
      <w:r>
        <w:rPr>
          <w:rFonts w:hint="eastAsia" w:ascii="宋体" w:hAnsi="宋体"/>
          <w:szCs w:val="24"/>
        </w:rPr>
        <w:t>3</w:t>
      </w:r>
      <w:r>
        <w:rPr>
          <w:rFonts w:ascii="宋体" w:hAnsi="宋体"/>
          <w:szCs w:val="24"/>
        </w:rPr>
        <w:t>.1.1.5中间件维护</w:t>
      </w:r>
    </w:p>
    <w:p w14:paraId="0945D878">
      <w:pPr>
        <w:pStyle w:val="45"/>
        <w:snapToGrid w:val="0"/>
        <w:rPr>
          <w:rFonts w:ascii="宋体" w:hAnsi="宋体" w:cs="Times New Roman"/>
          <w:color w:val="000000"/>
          <w:szCs w:val="24"/>
        </w:rPr>
      </w:pPr>
      <w:r>
        <w:rPr>
          <w:rFonts w:ascii="宋体" w:hAnsi="宋体" w:cs="Times New Roman"/>
          <w:color w:val="000000"/>
          <w:szCs w:val="24"/>
        </w:rPr>
        <w:t>中间件软件维护服务内容主要包括：</w:t>
      </w:r>
    </w:p>
    <w:p w14:paraId="578E1D7A">
      <w:pPr>
        <w:pStyle w:val="45"/>
        <w:numPr>
          <w:ilvl w:val="1"/>
          <w:numId w:val="9"/>
        </w:numPr>
        <w:snapToGrid w:val="0"/>
        <w:ind w:firstLineChars="0"/>
        <w:rPr>
          <w:rFonts w:ascii="宋体" w:hAnsi="宋体" w:cs="Times New Roman"/>
          <w:color w:val="000000"/>
          <w:szCs w:val="24"/>
        </w:rPr>
      </w:pPr>
      <w:r>
        <w:rPr>
          <w:rFonts w:ascii="宋体" w:hAnsi="宋体" w:cs="Times New Roman"/>
          <w:color w:val="000000"/>
          <w:szCs w:val="24"/>
        </w:rPr>
        <w:t>数据维护</w:t>
      </w:r>
    </w:p>
    <w:p w14:paraId="020DBFC5">
      <w:pPr>
        <w:pStyle w:val="45"/>
        <w:numPr>
          <w:ilvl w:val="1"/>
          <w:numId w:val="9"/>
        </w:numPr>
        <w:snapToGrid w:val="0"/>
        <w:ind w:firstLineChars="0"/>
        <w:rPr>
          <w:rFonts w:ascii="宋体" w:hAnsi="宋体" w:cs="Times New Roman"/>
          <w:color w:val="000000"/>
          <w:szCs w:val="24"/>
        </w:rPr>
      </w:pPr>
      <w:r>
        <w:rPr>
          <w:rFonts w:ascii="宋体" w:hAnsi="宋体" w:cs="Times New Roman"/>
          <w:color w:val="000000"/>
          <w:szCs w:val="24"/>
        </w:rPr>
        <w:t>数据备份</w:t>
      </w:r>
    </w:p>
    <w:p w14:paraId="64829200">
      <w:pPr>
        <w:pStyle w:val="45"/>
        <w:numPr>
          <w:ilvl w:val="1"/>
          <w:numId w:val="9"/>
        </w:numPr>
        <w:snapToGrid w:val="0"/>
        <w:ind w:firstLineChars="0"/>
        <w:rPr>
          <w:rFonts w:ascii="宋体" w:hAnsi="宋体" w:cs="Times New Roman"/>
          <w:color w:val="000000"/>
          <w:szCs w:val="24"/>
        </w:rPr>
      </w:pPr>
      <w:r>
        <w:rPr>
          <w:rFonts w:ascii="宋体" w:hAnsi="宋体" w:cs="Times New Roman"/>
          <w:color w:val="000000"/>
          <w:szCs w:val="24"/>
        </w:rPr>
        <w:t>系统日常维护</w:t>
      </w:r>
    </w:p>
    <w:p w14:paraId="0027F501">
      <w:pPr>
        <w:pStyle w:val="45"/>
        <w:numPr>
          <w:ilvl w:val="1"/>
          <w:numId w:val="9"/>
        </w:numPr>
        <w:snapToGrid w:val="0"/>
        <w:ind w:firstLineChars="0"/>
        <w:rPr>
          <w:rFonts w:ascii="宋体" w:hAnsi="宋体" w:cs="Times New Roman"/>
          <w:color w:val="000000"/>
          <w:szCs w:val="24"/>
        </w:rPr>
      </w:pPr>
      <w:r>
        <w:rPr>
          <w:rFonts w:ascii="宋体" w:hAnsi="宋体" w:cs="Times New Roman"/>
          <w:color w:val="000000"/>
          <w:szCs w:val="24"/>
        </w:rPr>
        <w:t>中间件升级而对应用软件进行适应性更新与调测服务</w:t>
      </w:r>
    </w:p>
    <w:p w14:paraId="17EEDA2B">
      <w:pPr>
        <w:pStyle w:val="45"/>
        <w:numPr>
          <w:ilvl w:val="1"/>
          <w:numId w:val="9"/>
        </w:numPr>
        <w:snapToGrid w:val="0"/>
        <w:ind w:firstLineChars="0"/>
        <w:rPr>
          <w:rFonts w:ascii="宋体" w:hAnsi="宋体" w:cs="Times New Roman"/>
          <w:color w:val="000000"/>
          <w:szCs w:val="24"/>
        </w:rPr>
      </w:pPr>
      <w:r>
        <w:rPr>
          <w:rFonts w:ascii="宋体" w:hAnsi="宋体" w:cs="Times New Roman"/>
          <w:color w:val="000000"/>
          <w:szCs w:val="24"/>
        </w:rPr>
        <w:t>中间件维护操作手册及应急流程更新</w:t>
      </w:r>
    </w:p>
    <w:p w14:paraId="41345CF1">
      <w:pPr>
        <w:pStyle w:val="5"/>
        <w:widowControl/>
        <w:snapToGrid w:val="0"/>
        <w:spacing w:before="0" w:after="0" w:line="360"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.1.2应用系统的日常维护</w:t>
      </w:r>
    </w:p>
    <w:p w14:paraId="10DE700A">
      <w:pPr>
        <w:pStyle w:val="45"/>
        <w:snapToGrid w:val="0"/>
        <w:rPr>
          <w:rFonts w:ascii="宋体" w:hAnsi="宋体" w:cs="Times New Roman"/>
          <w:color w:val="000000"/>
          <w:szCs w:val="24"/>
        </w:rPr>
      </w:pPr>
      <w:r>
        <w:rPr>
          <w:rFonts w:ascii="宋体" w:hAnsi="宋体" w:cs="Times New Roman"/>
          <w:color w:val="000000"/>
          <w:szCs w:val="24"/>
        </w:rPr>
        <w:t>维护要求为：通过对应用系统的维护，分析用户的不断更新的需求，分析应用系统对服务平台性能的要求，提出系统优化扩容解决方案，保障应用系统的处理服务性能。</w:t>
      </w:r>
    </w:p>
    <w:p w14:paraId="407CD732">
      <w:pPr>
        <w:snapToGrid w:val="0"/>
        <w:spacing w:line="360" w:lineRule="auto"/>
        <w:ind w:firstLine="480" w:firstLineChars="200"/>
        <w:rPr>
          <w:color w:val="000000"/>
          <w:szCs w:val="24"/>
        </w:rPr>
      </w:pPr>
      <w:r>
        <w:rPr>
          <w:color w:val="000000"/>
          <w:szCs w:val="24"/>
        </w:rPr>
        <w:t>主要维护内容包括：</w:t>
      </w:r>
    </w:p>
    <w:p w14:paraId="10586F69">
      <w:pPr>
        <w:numPr>
          <w:ilvl w:val="1"/>
          <w:numId w:val="10"/>
        </w:numPr>
        <w:snapToGrid w:val="0"/>
        <w:spacing w:line="360" w:lineRule="auto"/>
        <w:jc w:val="left"/>
        <w:rPr>
          <w:color w:val="000000"/>
          <w:szCs w:val="24"/>
        </w:rPr>
      </w:pPr>
      <w:bookmarkStart w:id="19" w:name="_Toc219521645"/>
      <w:r>
        <w:rPr>
          <w:color w:val="000000"/>
          <w:szCs w:val="24"/>
        </w:rPr>
        <w:t>业务数据</w:t>
      </w:r>
      <w:bookmarkEnd w:id="19"/>
      <w:r>
        <w:rPr>
          <w:color w:val="000000"/>
          <w:szCs w:val="24"/>
        </w:rPr>
        <w:t>维护；</w:t>
      </w:r>
    </w:p>
    <w:p w14:paraId="2BB6C53F">
      <w:pPr>
        <w:numPr>
          <w:ilvl w:val="1"/>
          <w:numId w:val="10"/>
        </w:numPr>
        <w:snapToGrid w:val="0"/>
        <w:spacing w:line="360" w:lineRule="auto"/>
        <w:jc w:val="left"/>
        <w:rPr>
          <w:szCs w:val="24"/>
        </w:rPr>
      </w:pPr>
      <w:r>
        <w:rPr>
          <w:color w:val="000000"/>
          <w:szCs w:val="24"/>
        </w:rPr>
        <w:t>业务数据备份；</w:t>
      </w:r>
    </w:p>
    <w:p w14:paraId="1DB9BAE9">
      <w:pPr>
        <w:numPr>
          <w:ilvl w:val="1"/>
          <w:numId w:val="10"/>
        </w:numPr>
        <w:snapToGrid w:val="0"/>
        <w:spacing w:line="360" w:lineRule="auto"/>
        <w:jc w:val="left"/>
        <w:rPr>
          <w:szCs w:val="24"/>
        </w:rPr>
      </w:pPr>
      <w:r>
        <w:rPr>
          <w:color w:val="000000"/>
          <w:szCs w:val="24"/>
        </w:rPr>
        <w:t>业务系统日常维护；</w:t>
      </w:r>
    </w:p>
    <w:p w14:paraId="794438E2">
      <w:pPr>
        <w:numPr>
          <w:ilvl w:val="1"/>
          <w:numId w:val="10"/>
        </w:numPr>
        <w:snapToGrid w:val="0"/>
        <w:spacing w:line="360" w:lineRule="auto"/>
        <w:jc w:val="left"/>
        <w:rPr>
          <w:szCs w:val="24"/>
        </w:rPr>
      </w:pPr>
      <w:r>
        <w:rPr>
          <w:color w:val="000000"/>
          <w:szCs w:val="24"/>
        </w:rPr>
        <w:t>软件更新服务；</w:t>
      </w:r>
    </w:p>
    <w:p w14:paraId="494737CD">
      <w:pPr>
        <w:numPr>
          <w:ilvl w:val="1"/>
          <w:numId w:val="10"/>
        </w:numPr>
        <w:snapToGrid w:val="0"/>
        <w:spacing w:line="360" w:lineRule="auto"/>
        <w:jc w:val="left"/>
        <w:rPr>
          <w:szCs w:val="24"/>
        </w:rPr>
      </w:pPr>
      <w:r>
        <w:rPr>
          <w:color w:val="000000"/>
          <w:szCs w:val="24"/>
        </w:rPr>
        <w:t>对业务管理系统健康状态检查与分析报告；</w:t>
      </w:r>
    </w:p>
    <w:p w14:paraId="4C349D7F">
      <w:pPr>
        <w:numPr>
          <w:ilvl w:val="1"/>
          <w:numId w:val="10"/>
        </w:numPr>
        <w:snapToGrid w:val="0"/>
        <w:spacing w:line="360" w:lineRule="auto"/>
        <w:jc w:val="left"/>
        <w:rPr>
          <w:szCs w:val="24"/>
        </w:rPr>
      </w:pPr>
      <w:r>
        <w:rPr>
          <w:color w:val="000000"/>
          <w:szCs w:val="24"/>
        </w:rPr>
        <w:t>对系统用户信息进行维护和修改，添加系统用户、更改系统用户信息、权限，负责系统中管理人员、操作人员、监督人员名单的调整，以及数据同步。</w:t>
      </w:r>
    </w:p>
    <w:p w14:paraId="198AEBCD">
      <w:pPr>
        <w:pStyle w:val="5"/>
        <w:widowControl/>
        <w:snapToGrid w:val="0"/>
        <w:spacing w:before="0" w:after="0" w:line="360"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.1.3终端设备的日常维护</w:t>
      </w:r>
    </w:p>
    <w:p w14:paraId="0184E913">
      <w:pPr>
        <w:pStyle w:val="6"/>
        <w:snapToGrid w:val="0"/>
        <w:spacing w:before="0" w:after="0" w:line="360" w:lineRule="auto"/>
        <w:rPr>
          <w:rFonts w:ascii="宋体" w:hAnsi="宋体"/>
          <w:szCs w:val="24"/>
        </w:rPr>
      </w:pPr>
      <w:r>
        <w:rPr>
          <w:rFonts w:hint="eastAsia" w:ascii="宋体" w:hAnsi="宋体"/>
          <w:szCs w:val="24"/>
        </w:rPr>
        <w:t>3</w:t>
      </w:r>
      <w:r>
        <w:rPr>
          <w:rFonts w:ascii="宋体" w:hAnsi="宋体"/>
          <w:szCs w:val="24"/>
        </w:rPr>
        <w:t>.1.3.1电脑终端运维服务</w:t>
      </w:r>
    </w:p>
    <w:p w14:paraId="62EE29F5">
      <w:pPr>
        <w:snapToGrid w:val="0"/>
        <w:spacing w:line="360" w:lineRule="auto"/>
        <w:ind w:firstLine="480" w:firstLineChars="200"/>
        <w:rPr>
          <w:color w:val="000000"/>
          <w:szCs w:val="24"/>
        </w:rPr>
      </w:pPr>
      <w:r>
        <w:rPr>
          <w:color w:val="000000"/>
          <w:szCs w:val="24"/>
        </w:rPr>
        <w:t>主要包括XX局工作人员的台式电脑、笔记本电脑等，共计约XX台。具体维护内容为：</w:t>
      </w:r>
    </w:p>
    <w:p w14:paraId="65CC94B6">
      <w:pPr>
        <w:numPr>
          <w:ilvl w:val="1"/>
          <w:numId w:val="11"/>
        </w:numPr>
        <w:tabs>
          <w:tab w:val="left" w:pos="900"/>
          <w:tab w:val="clear" w:pos="1702"/>
        </w:tabs>
        <w:snapToGrid w:val="0"/>
        <w:spacing w:line="360" w:lineRule="auto"/>
        <w:ind w:left="900" w:hanging="540"/>
        <w:rPr>
          <w:szCs w:val="24"/>
        </w:rPr>
      </w:pPr>
      <w:r>
        <w:rPr>
          <w:szCs w:val="24"/>
        </w:rPr>
        <w:t>操作系统安装维护及补丁安装</w:t>
      </w:r>
    </w:p>
    <w:p w14:paraId="74720752">
      <w:pPr>
        <w:numPr>
          <w:ilvl w:val="0"/>
          <w:numId w:val="10"/>
        </w:numPr>
        <w:snapToGrid w:val="0"/>
        <w:spacing w:line="360" w:lineRule="auto"/>
        <w:rPr>
          <w:szCs w:val="24"/>
        </w:rPr>
      </w:pPr>
      <w:r>
        <w:rPr>
          <w:szCs w:val="24"/>
        </w:rPr>
        <w:t>对终端用户的计算机的操作系统的安装与维护请求进行响应；（操作系统安装介质由信息处提供）</w:t>
      </w:r>
    </w:p>
    <w:p w14:paraId="558FC2A2">
      <w:pPr>
        <w:numPr>
          <w:ilvl w:val="0"/>
          <w:numId w:val="10"/>
        </w:numPr>
        <w:snapToGrid w:val="0"/>
        <w:spacing w:line="360" w:lineRule="auto"/>
        <w:rPr>
          <w:szCs w:val="24"/>
        </w:rPr>
      </w:pPr>
      <w:r>
        <w:rPr>
          <w:szCs w:val="24"/>
        </w:rPr>
        <w:t>对终端用户的计算机的操作系统的补丁安装；</w:t>
      </w:r>
    </w:p>
    <w:p w14:paraId="072AA5C9">
      <w:pPr>
        <w:numPr>
          <w:ilvl w:val="0"/>
          <w:numId w:val="10"/>
        </w:numPr>
        <w:snapToGrid w:val="0"/>
        <w:spacing w:line="360" w:lineRule="auto"/>
        <w:rPr>
          <w:szCs w:val="24"/>
        </w:rPr>
      </w:pPr>
      <w:r>
        <w:rPr>
          <w:szCs w:val="24"/>
        </w:rPr>
        <w:t>在重装前协助终端用户进行计算机数据的备份。</w:t>
      </w:r>
    </w:p>
    <w:p w14:paraId="0A26B6D6">
      <w:pPr>
        <w:numPr>
          <w:ilvl w:val="1"/>
          <w:numId w:val="11"/>
        </w:numPr>
        <w:tabs>
          <w:tab w:val="left" w:pos="900"/>
          <w:tab w:val="clear" w:pos="1702"/>
        </w:tabs>
        <w:snapToGrid w:val="0"/>
        <w:spacing w:line="360" w:lineRule="auto"/>
        <w:ind w:left="900" w:hanging="540"/>
        <w:rPr>
          <w:szCs w:val="24"/>
        </w:rPr>
      </w:pPr>
      <w:r>
        <w:rPr>
          <w:szCs w:val="24"/>
        </w:rPr>
        <w:t>终端防病毒软件安装及升级</w:t>
      </w:r>
    </w:p>
    <w:p w14:paraId="0A40E6AB">
      <w:pPr>
        <w:numPr>
          <w:ilvl w:val="0"/>
          <w:numId w:val="10"/>
        </w:numPr>
        <w:snapToGrid w:val="0"/>
        <w:spacing w:line="360" w:lineRule="auto"/>
        <w:rPr>
          <w:szCs w:val="24"/>
        </w:rPr>
      </w:pPr>
      <w:r>
        <w:rPr>
          <w:szCs w:val="24"/>
        </w:rPr>
        <w:t>对终端计算机的防病毒软件故障进行现场处理与解决；</w:t>
      </w:r>
    </w:p>
    <w:p w14:paraId="76DDE710">
      <w:pPr>
        <w:numPr>
          <w:ilvl w:val="0"/>
          <w:numId w:val="10"/>
        </w:numPr>
        <w:snapToGrid w:val="0"/>
        <w:spacing w:line="360" w:lineRule="auto"/>
        <w:rPr>
          <w:szCs w:val="24"/>
        </w:rPr>
      </w:pPr>
      <w:r>
        <w:rPr>
          <w:szCs w:val="24"/>
        </w:rPr>
        <w:t>对其他用户的防病毒软件进行电话技术支持与问题解决。</w:t>
      </w:r>
    </w:p>
    <w:p w14:paraId="39F652D0">
      <w:pPr>
        <w:numPr>
          <w:ilvl w:val="1"/>
          <w:numId w:val="11"/>
        </w:numPr>
        <w:tabs>
          <w:tab w:val="left" w:pos="900"/>
          <w:tab w:val="clear" w:pos="1702"/>
        </w:tabs>
        <w:snapToGrid w:val="0"/>
        <w:spacing w:line="360" w:lineRule="auto"/>
        <w:ind w:left="900" w:hanging="540"/>
        <w:rPr>
          <w:szCs w:val="24"/>
        </w:rPr>
      </w:pPr>
      <w:r>
        <w:rPr>
          <w:szCs w:val="24"/>
        </w:rPr>
        <w:t>终端网络接入调整</w:t>
      </w:r>
    </w:p>
    <w:p w14:paraId="39D3D519">
      <w:pPr>
        <w:snapToGrid w:val="0"/>
        <w:spacing w:line="360" w:lineRule="auto"/>
        <w:ind w:firstLine="540" w:firstLineChars="225"/>
        <w:rPr>
          <w:szCs w:val="24"/>
        </w:rPr>
      </w:pPr>
      <w:r>
        <w:rPr>
          <w:szCs w:val="24"/>
        </w:rPr>
        <w:t>对终端计算机的网络连接的调整（不包括布线）。</w:t>
      </w:r>
    </w:p>
    <w:p w14:paraId="0EA2EA44">
      <w:pPr>
        <w:numPr>
          <w:ilvl w:val="1"/>
          <w:numId w:val="11"/>
        </w:numPr>
        <w:tabs>
          <w:tab w:val="left" w:pos="900"/>
          <w:tab w:val="clear" w:pos="1702"/>
        </w:tabs>
        <w:snapToGrid w:val="0"/>
        <w:spacing w:line="360" w:lineRule="auto"/>
        <w:ind w:left="900" w:hanging="540"/>
        <w:rPr>
          <w:szCs w:val="24"/>
        </w:rPr>
      </w:pPr>
      <w:r>
        <w:rPr>
          <w:szCs w:val="24"/>
        </w:rPr>
        <w:t>终端事件检查及排查</w:t>
      </w:r>
    </w:p>
    <w:p w14:paraId="1B01DF70">
      <w:pPr>
        <w:snapToGrid w:val="0"/>
        <w:spacing w:line="360" w:lineRule="auto"/>
        <w:ind w:firstLine="540" w:firstLineChars="225"/>
        <w:rPr>
          <w:szCs w:val="24"/>
        </w:rPr>
      </w:pPr>
      <w:r>
        <w:rPr>
          <w:szCs w:val="24"/>
        </w:rPr>
        <w:t>对终端计算机的安全事件进行故障定位与排查；</w:t>
      </w:r>
    </w:p>
    <w:p w14:paraId="31E59006">
      <w:pPr>
        <w:snapToGrid w:val="0"/>
        <w:spacing w:line="360" w:lineRule="auto"/>
        <w:ind w:firstLine="540" w:firstLineChars="225"/>
        <w:rPr>
          <w:szCs w:val="24"/>
        </w:rPr>
      </w:pPr>
      <w:r>
        <w:rPr>
          <w:szCs w:val="24"/>
        </w:rPr>
        <w:t>对终端计算机的故障事件进行故障定位与排查。</w:t>
      </w:r>
    </w:p>
    <w:p w14:paraId="4ED302D5">
      <w:pPr>
        <w:numPr>
          <w:ilvl w:val="1"/>
          <w:numId w:val="11"/>
        </w:numPr>
        <w:tabs>
          <w:tab w:val="left" w:pos="900"/>
          <w:tab w:val="clear" w:pos="1702"/>
        </w:tabs>
        <w:snapToGrid w:val="0"/>
        <w:spacing w:line="360" w:lineRule="auto"/>
        <w:ind w:left="900" w:hanging="540"/>
        <w:rPr>
          <w:szCs w:val="24"/>
        </w:rPr>
      </w:pPr>
      <w:r>
        <w:rPr>
          <w:szCs w:val="24"/>
        </w:rPr>
        <w:t>通用办公软件安装</w:t>
      </w:r>
    </w:p>
    <w:p w14:paraId="10207841">
      <w:pPr>
        <w:snapToGrid w:val="0"/>
        <w:spacing w:line="360" w:lineRule="auto"/>
        <w:ind w:firstLine="540" w:firstLineChars="225"/>
        <w:rPr>
          <w:szCs w:val="24"/>
        </w:rPr>
      </w:pPr>
      <w:r>
        <w:rPr>
          <w:szCs w:val="24"/>
        </w:rPr>
        <w:t>提供对终端计算机的通用软件的安装；（通用软件包括office等办公软件，安装介质由信息处提供）</w:t>
      </w:r>
    </w:p>
    <w:p w14:paraId="48B2050B">
      <w:pPr>
        <w:snapToGrid w:val="0"/>
        <w:spacing w:line="360" w:lineRule="auto"/>
        <w:ind w:firstLine="540" w:firstLineChars="225"/>
        <w:rPr>
          <w:szCs w:val="24"/>
        </w:rPr>
      </w:pPr>
      <w:r>
        <w:rPr>
          <w:szCs w:val="24"/>
        </w:rPr>
        <w:t>提供对终端计算机的客户需求软件的安装。（软件由用户提供）</w:t>
      </w:r>
    </w:p>
    <w:p w14:paraId="70785002">
      <w:pPr>
        <w:numPr>
          <w:ilvl w:val="1"/>
          <w:numId w:val="11"/>
        </w:numPr>
        <w:tabs>
          <w:tab w:val="left" w:pos="900"/>
          <w:tab w:val="clear" w:pos="1702"/>
        </w:tabs>
        <w:snapToGrid w:val="0"/>
        <w:spacing w:line="360" w:lineRule="auto"/>
        <w:ind w:left="900" w:hanging="540"/>
        <w:rPr>
          <w:szCs w:val="24"/>
        </w:rPr>
      </w:pPr>
      <w:r>
        <w:rPr>
          <w:szCs w:val="24"/>
        </w:rPr>
        <w:t>计算机使用规范</w:t>
      </w:r>
    </w:p>
    <w:p w14:paraId="52A254D6">
      <w:pPr>
        <w:snapToGrid w:val="0"/>
        <w:spacing w:line="360" w:lineRule="auto"/>
        <w:ind w:firstLine="540" w:firstLineChars="225"/>
        <w:rPr>
          <w:szCs w:val="24"/>
        </w:rPr>
      </w:pPr>
      <w:r>
        <w:rPr>
          <w:szCs w:val="24"/>
        </w:rPr>
        <w:t>制定计算机的使用规范，使用规范主要包括计算机的使用注意事项、U盘的使用注意事项、计算机使用的一些小常识等，该规范主要是帮助用户了解计算机的使用常识与技巧，减少故障的发生频率。该规范可做成相应的贴示张贴在终端用户计算机的显示器或机箱上。</w:t>
      </w:r>
    </w:p>
    <w:p w14:paraId="389D762D">
      <w:pPr>
        <w:numPr>
          <w:ilvl w:val="1"/>
          <w:numId w:val="11"/>
        </w:numPr>
        <w:tabs>
          <w:tab w:val="left" w:pos="900"/>
          <w:tab w:val="clear" w:pos="1702"/>
        </w:tabs>
        <w:snapToGrid w:val="0"/>
        <w:spacing w:line="360" w:lineRule="auto"/>
        <w:ind w:left="900" w:hanging="540"/>
        <w:rPr>
          <w:szCs w:val="24"/>
        </w:rPr>
      </w:pPr>
      <w:r>
        <w:rPr>
          <w:szCs w:val="24"/>
        </w:rPr>
        <w:t>计算机安装操作规范</w:t>
      </w:r>
    </w:p>
    <w:p w14:paraId="0BCB6D6C">
      <w:pPr>
        <w:snapToGrid w:val="0"/>
        <w:spacing w:line="360" w:lineRule="auto"/>
        <w:ind w:firstLine="540" w:firstLineChars="225"/>
        <w:rPr>
          <w:szCs w:val="24"/>
        </w:rPr>
      </w:pPr>
      <w:r>
        <w:rPr>
          <w:szCs w:val="24"/>
        </w:rPr>
        <w:t>计算机安装规范主要是对终端用户的计算机安装过程进行规范，规定相应的文件备份地点、分区大小、补丁安装、安全加固、软件安装等方面。通过制定相应的计算机安装操作规范，以规范与保证服务人员在服务过程中的服务质量。</w:t>
      </w:r>
    </w:p>
    <w:p w14:paraId="1631903E">
      <w:pPr>
        <w:numPr>
          <w:ilvl w:val="1"/>
          <w:numId w:val="11"/>
        </w:numPr>
        <w:tabs>
          <w:tab w:val="left" w:pos="900"/>
          <w:tab w:val="clear" w:pos="1702"/>
        </w:tabs>
        <w:snapToGrid w:val="0"/>
        <w:spacing w:line="360" w:lineRule="auto"/>
        <w:ind w:left="900" w:hanging="540"/>
        <w:rPr>
          <w:szCs w:val="24"/>
        </w:rPr>
      </w:pPr>
      <w:r>
        <w:rPr>
          <w:szCs w:val="24"/>
        </w:rPr>
        <w:t>记录与报告</w:t>
      </w:r>
    </w:p>
    <w:p w14:paraId="0677635C">
      <w:pPr>
        <w:numPr>
          <w:ilvl w:val="0"/>
          <w:numId w:val="12"/>
        </w:numPr>
        <w:snapToGrid w:val="0"/>
        <w:spacing w:line="360" w:lineRule="auto"/>
        <w:rPr>
          <w:szCs w:val="24"/>
        </w:rPr>
      </w:pPr>
      <w:r>
        <w:rPr>
          <w:szCs w:val="24"/>
        </w:rPr>
        <w:t>计算机使用规范（贴示）；</w:t>
      </w:r>
    </w:p>
    <w:p w14:paraId="2D2B62D1">
      <w:pPr>
        <w:numPr>
          <w:ilvl w:val="0"/>
          <w:numId w:val="12"/>
        </w:numPr>
        <w:snapToGrid w:val="0"/>
        <w:spacing w:line="360" w:lineRule="auto"/>
        <w:rPr>
          <w:szCs w:val="24"/>
        </w:rPr>
      </w:pPr>
      <w:r>
        <w:rPr>
          <w:szCs w:val="24"/>
        </w:rPr>
        <w:t>计算机安装操作规范；</w:t>
      </w:r>
    </w:p>
    <w:p w14:paraId="747AADB6">
      <w:pPr>
        <w:numPr>
          <w:ilvl w:val="0"/>
          <w:numId w:val="12"/>
        </w:numPr>
        <w:snapToGrid w:val="0"/>
        <w:spacing w:line="360" w:lineRule="auto"/>
        <w:rPr>
          <w:szCs w:val="24"/>
        </w:rPr>
      </w:pPr>
      <w:r>
        <w:rPr>
          <w:szCs w:val="24"/>
        </w:rPr>
        <w:t>服务确认单；</w:t>
      </w:r>
    </w:p>
    <w:p w14:paraId="21670B64">
      <w:pPr>
        <w:numPr>
          <w:ilvl w:val="0"/>
          <w:numId w:val="12"/>
        </w:numPr>
        <w:snapToGrid w:val="0"/>
        <w:spacing w:line="360" w:lineRule="auto"/>
        <w:rPr>
          <w:szCs w:val="24"/>
        </w:rPr>
      </w:pPr>
      <w:r>
        <w:rPr>
          <w:szCs w:val="24"/>
        </w:rPr>
        <w:t>电话支持记录单；</w:t>
      </w:r>
    </w:p>
    <w:p w14:paraId="092CC0F1">
      <w:pPr>
        <w:numPr>
          <w:ilvl w:val="0"/>
          <w:numId w:val="12"/>
        </w:numPr>
        <w:snapToGrid w:val="0"/>
        <w:spacing w:line="360" w:lineRule="auto"/>
        <w:rPr>
          <w:szCs w:val="24"/>
        </w:rPr>
      </w:pPr>
      <w:r>
        <w:rPr>
          <w:szCs w:val="24"/>
        </w:rPr>
        <w:t>故障处理报告。</w:t>
      </w:r>
    </w:p>
    <w:p w14:paraId="14F28737">
      <w:pPr>
        <w:pStyle w:val="6"/>
        <w:snapToGrid w:val="0"/>
        <w:spacing w:before="0" w:after="0" w:line="360" w:lineRule="auto"/>
        <w:rPr>
          <w:rFonts w:ascii="宋体" w:hAnsi="宋体"/>
          <w:sz w:val="24"/>
          <w:szCs w:val="24"/>
        </w:rPr>
      </w:pPr>
      <w:r>
        <w:rPr>
          <w:rFonts w:hint="eastAsia" w:ascii="宋体" w:hAnsi="宋体"/>
          <w:szCs w:val="24"/>
        </w:rPr>
        <w:t>3</w:t>
      </w:r>
      <w:r>
        <w:rPr>
          <w:rFonts w:ascii="宋体" w:hAnsi="宋体"/>
          <w:szCs w:val="24"/>
        </w:rPr>
        <w:t xml:space="preserve">.1.3.2 </w:t>
      </w:r>
    </w:p>
    <w:p w14:paraId="3739FC28">
      <w:pPr>
        <w:pStyle w:val="6"/>
        <w:snapToGrid w:val="0"/>
        <w:spacing w:before="0" w:after="0" w:line="360" w:lineRule="auto"/>
        <w:rPr>
          <w:rFonts w:ascii="宋体" w:hAnsi="宋体"/>
          <w:szCs w:val="24"/>
        </w:rPr>
      </w:pPr>
      <w:r>
        <w:rPr>
          <w:rFonts w:hint="eastAsia" w:ascii="宋体" w:hAnsi="宋体"/>
          <w:szCs w:val="24"/>
        </w:rPr>
        <w:t>3</w:t>
      </w:r>
      <w:r>
        <w:rPr>
          <w:rFonts w:ascii="宋体" w:hAnsi="宋体"/>
          <w:szCs w:val="24"/>
        </w:rPr>
        <w:t>.1.3.3网络信息点位维护</w:t>
      </w:r>
    </w:p>
    <w:p w14:paraId="468B66B1">
      <w:pPr>
        <w:snapToGrid w:val="0"/>
        <w:spacing w:line="360" w:lineRule="auto"/>
        <w:ind w:firstLine="560"/>
        <w:rPr>
          <w:szCs w:val="24"/>
        </w:rPr>
      </w:pPr>
      <w:r>
        <w:rPr>
          <w:szCs w:val="24"/>
        </w:rPr>
        <w:t>（1）根据信息点的编号，分别将编号的单数和双数规划为网络信息接口和语音接口，并统一建立信息点数据。通过对XX局的调研和了解，对各办公室的信息点作出适当调整和数据的修改。</w:t>
      </w:r>
    </w:p>
    <w:p w14:paraId="6CEF7E2C">
      <w:pPr>
        <w:snapToGrid w:val="0"/>
        <w:spacing w:line="360" w:lineRule="auto"/>
        <w:ind w:firstLine="560"/>
        <w:rPr>
          <w:szCs w:val="24"/>
        </w:rPr>
      </w:pPr>
      <w:r>
        <w:rPr>
          <w:szCs w:val="24"/>
        </w:rPr>
        <w:t>（2）各处室接入期间，做好配合工作，包括楼层交换机调试、桌面跳线等。</w:t>
      </w:r>
    </w:p>
    <w:p w14:paraId="3AC85113">
      <w:pPr>
        <w:snapToGrid w:val="0"/>
        <w:spacing w:line="360" w:lineRule="auto"/>
        <w:ind w:firstLine="560"/>
        <w:rPr>
          <w:szCs w:val="24"/>
        </w:rPr>
      </w:pPr>
      <w:r>
        <w:rPr>
          <w:szCs w:val="24"/>
        </w:rPr>
        <w:t>（3）要求运维团队现场服务人员做好定期对网络信息点、配线架、理线架、终端模块的巡检工作。</w:t>
      </w:r>
    </w:p>
    <w:p w14:paraId="31DB1FBE">
      <w:pPr>
        <w:pStyle w:val="5"/>
        <w:widowControl/>
        <w:snapToGrid w:val="0"/>
        <w:spacing w:before="0" w:after="0" w:line="360"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.1.4维护制度建设</w:t>
      </w:r>
    </w:p>
    <w:p w14:paraId="3E5D8DB2">
      <w:pPr>
        <w:snapToGrid w:val="0"/>
        <w:spacing w:line="360" w:lineRule="auto"/>
        <w:ind w:firstLine="480" w:firstLineChars="200"/>
        <w:rPr>
          <w:color w:val="000000"/>
          <w:szCs w:val="24"/>
        </w:rPr>
      </w:pPr>
      <w:r>
        <w:rPr>
          <w:color w:val="000000"/>
          <w:szCs w:val="24"/>
        </w:rPr>
        <w:t>制度是一种必须共同遵守的行为规范，是保证工作有序开展和任务圆满完成的基础。建立和健全XX局信息化设施运行维护的各项管理制度，对于维护工作的顺利完成是必需的。</w:t>
      </w:r>
    </w:p>
    <w:p w14:paraId="2611BF0E">
      <w:pPr>
        <w:snapToGrid w:val="0"/>
        <w:spacing w:line="360" w:lineRule="auto"/>
        <w:ind w:firstLine="480" w:firstLineChars="200"/>
        <w:rPr>
          <w:color w:val="000000"/>
          <w:szCs w:val="24"/>
        </w:rPr>
      </w:pPr>
      <w:r>
        <w:rPr>
          <w:szCs w:val="24"/>
        </w:rPr>
        <w:t>要求运维团队</w:t>
      </w:r>
      <w:r>
        <w:rPr>
          <w:color w:val="000000"/>
          <w:szCs w:val="24"/>
        </w:rPr>
        <w:t>依据以下标准，协助XX局建立规范、科学、实用的维护制度。</w:t>
      </w:r>
    </w:p>
    <w:p w14:paraId="11DB4A50">
      <w:pPr>
        <w:snapToGrid w:val="0"/>
        <w:spacing w:line="360" w:lineRule="auto"/>
        <w:ind w:firstLine="561"/>
        <w:rPr>
          <w:color w:val="000000"/>
          <w:szCs w:val="24"/>
        </w:rPr>
      </w:pPr>
      <w:r>
        <w:rPr>
          <w:color w:val="000000"/>
          <w:szCs w:val="24"/>
        </w:rPr>
        <w:t>（1）《电子信息系统机房设计规范》（GB50174-2008）</w:t>
      </w:r>
    </w:p>
    <w:p w14:paraId="24BEAAD1">
      <w:pPr>
        <w:snapToGrid w:val="0"/>
        <w:spacing w:line="360" w:lineRule="auto"/>
        <w:ind w:firstLine="561"/>
        <w:rPr>
          <w:color w:val="000000"/>
          <w:szCs w:val="24"/>
        </w:rPr>
      </w:pPr>
      <w:r>
        <w:rPr>
          <w:color w:val="000000"/>
          <w:szCs w:val="24"/>
        </w:rPr>
        <w:t>（2）《综合布线设计规范》GB50311-2007</w:t>
      </w:r>
    </w:p>
    <w:p w14:paraId="41ABDFE7">
      <w:pPr>
        <w:snapToGrid w:val="0"/>
        <w:spacing w:line="360" w:lineRule="auto"/>
        <w:ind w:firstLine="561"/>
        <w:rPr>
          <w:color w:val="000000"/>
          <w:szCs w:val="24"/>
        </w:rPr>
      </w:pPr>
      <w:r>
        <w:rPr>
          <w:color w:val="000000"/>
          <w:szCs w:val="24"/>
        </w:rPr>
        <w:t>（3）《中华人民共和国消防法》</w:t>
      </w:r>
    </w:p>
    <w:p w14:paraId="79B981CC">
      <w:pPr>
        <w:snapToGrid w:val="0"/>
        <w:spacing w:line="360" w:lineRule="auto"/>
        <w:ind w:firstLine="561"/>
        <w:rPr>
          <w:color w:val="000000"/>
          <w:szCs w:val="24"/>
        </w:rPr>
      </w:pPr>
      <w:r>
        <w:rPr>
          <w:color w:val="000000"/>
          <w:szCs w:val="24"/>
        </w:rPr>
        <w:t>（4）《电力供电标准与内部控制管理制度全集》</w:t>
      </w:r>
    </w:p>
    <w:p w14:paraId="5CB569FE">
      <w:pPr>
        <w:snapToGrid w:val="0"/>
        <w:spacing w:line="360" w:lineRule="auto"/>
        <w:ind w:firstLine="480" w:firstLineChars="200"/>
        <w:rPr>
          <w:color w:val="000000"/>
          <w:szCs w:val="24"/>
        </w:rPr>
      </w:pPr>
      <w:r>
        <w:rPr>
          <w:color w:val="000000"/>
          <w:szCs w:val="24"/>
        </w:rPr>
        <w:t>（5）《成都市电子政务外网使用管理规定》</w:t>
      </w:r>
    </w:p>
    <w:p w14:paraId="36B00AEB">
      <w:pPr>
        <w:snapToGrid w:val="0"/>
        <w:spacing w:line="360" w:lineRule="auto"/>
        <w:ind w:firstLine="480" w:firstLineChars="200"/>
        <w:rPr>
          <w:color w:val="000000"/>
          <w:szCs w:val="24"/>
        </w:rPr>
      </w:pPr>
      <w:r>
        <w:rPr>
          <w:color w:val="000000"/>
          <w:szCs w:val="24"/>
        </w:rPr>
        <w:t>（6）ISO/IEC 9001:2008质量管理体系</w:t>
      </w:r>
    </w:p>
    <w:p w14:paraId="1A9FA474">
      <w:pPr>
        <w:snapToGrid w:val="0"/>
        <w:spacing w:line="360" w:lineRule="auto"/>
        <w:ind w:firstLine="480" w:firstLineChars="200"/>
        <w:rPr>
          <w:color w:val="000000"/>
          <w:szCs w:val="24"/>
        </w:rPr>
      </w:pPr>
      <w:r>
        <w:rPr>
          <w:color w:val="000000"/>
          <w:szCs w:val="24"/>
        </w:rPr>
        <w:t>（7）ISO/IEC 20000: 2005 IT服务管理体系</w:t>
      </w:r>
    </w:p>
    <w:p w14:paraId="7974A9C3">
      <w:pPr>
        <w:snapToGrid w:val="0"/>
        <w:spacing w:line="360" w:lineRule="auto"/>
        <w:ind w:firstLine="480" w:firstLineChars="200"/>
        <w:rPr>
          <w:rFonts w:hint="eastAsia"/>
          <w:color w:val="000000"/>
          <w:szCs w:val="24"/>
        </w:rPr>
      </w:pPr>
      <w:r>
        <w:rPr>
          <w:color w:val="000000"/>
          <w:szCs w:val="24"/>
        </w:rPr>
        <w:t>（8）ITIL(Information Technology Infrastructure Library) 2.0 IT基础架构库终端设备的日常维护</w:t>
      </w:r>
    </w:p>
    <w:p w14:paraId="0BA1A3D1">
      <w:pPr>
        <w:snapToGrid w:val="0"/>
        <w:spacing w:line="360" w:lineRule="auto"/>
        <w:ind w:firstLine="480" w:firstLineChars="200"/>
        <w:rPr>
          <w:color w:val="000000"/>
          <w:szCs w:val="24"/>
        </w:rPr>
      </w:pPr>
      <w:r>
        <w:rPr>
          <w:rFonts w:hint="eastAsia"/>
          <w:color w:val="000000"/>
          <w:szCs w:val="24"/>
        </w:rPr>
        <w:t>（9）</w:t>
      </w:r>
      <w:r>
        <w:rPr>
          <w:color w:val="000000"/>
          <w:szCs w:val="24"/>
        </w:rPr>
        <w:t>ITSS（Information Technology Service Standards</w:t>
      </w:r>
      <w:r>
        <w:rPr>
          <w:rFonts w:hint="eastAsia"/>
          <w:color w:val="000000"/>
          <w:szCs w:val="24"/>
        </w:rPr>
        <w:t>）</w:t>
      </w:r>
      <w:r>
        <w:rPr>
          <w:color w:val="000000"/>
          <w:szCs w:val="24"/>
        </w:rPr>
        <w:t>信息技术服务标准</w:t>
      </w:r>
    </w:p>
    <w:bookmarkEnd w:id="16"/>
    <w:bookmarkEnd w:id="18"/>
    <w:p w14:paraId="531633B6">
      <w:pPr>
        <w:pStyle w:val="4"/>
        <w:snapToGrid w:val="0"/>
        <w:spacing w:before="0" w:line="360" w:lineRule="auto"/>
        <w:rPr>
          <w:rFonts w:ascii="宋体" w:hAnsi="宋体"/>
          <w:sz w:val="24"/>
          <w:szCs w:val="24"/>
        </w:rPr>
      </w:pPr>
      <w:bookmarkStart w:id="20" w:name="_Toc260834768"/>
      <w:bookmarkStart w:id="21" w:name="_Toc491637480"/>
      <w:r>
        <w:rPr>
          <w:rFonts w:hint="eastAsia" w:ascii="宋体" w:hAnsi="宋体"/>
          <w:sz w:val="24"/>
          <w:szCs w:val="24"/>
        </w:rPr>
        <w:t>3</w:t>
      </w:r>
      <w:r>
        <w:rPr>
          <w:rFonts w:ascii="宋体" w:hAnsi="宋体"/>
          <w:sz w:val="24"/>
          <w:szCs w:val="24"/>
        </w:rPr>
        <w:t>.2</w:t>
      </w:r>
      <w:r>
        <w:rPr>
          <w:rFonts w:ascii="宋体" w:hAnsi="宋体"/>
          <w:color w:val="000000"/>
          <w:sz w:val="24"/>
          <w:szCs w:val="24"/>
        </w:rPr>
        <w:t>信息系统</w:t>
      </w:r>
      <w:r>
        <w:rPr>
          <w:rFonts w:ascii="宋体" w:hAnsi="宋体"/>
          <w:sz w:val="24"/>
          <w:szCs w:val="24"/>
        </w:rPr>
        <w:t>安全</w:t>
      </w:r>
      <w:bookmarkEnd w:id="20"/>
      <w:r>
        <w:rPr>
          <w:rFonts w:ascii="宋体" w:hAnsi="宋体"/>
          <w:sz w:val="24"/>
          <w:szCs w:val="24"/>
        </w:rPr>
        <w:t>服务</w:t>
      </w:r>
      <w:bookmarkEnd w:id="21"/>
    </w:p>
    <w:p w14:paraId="15CA9C18">
      <w:pPr>
        <w:pStyle w:val="52"/>
        <w:snapToGrid w:val="0"/>
        <w:spacing w:line="360" w:lineRule="auto"/>
        <w:ind w:firstLine="480"/>
        <w:rPr>
          <w:rFonts w:hint="eastAsia" w:hAnsi="宋体"/>
          <w:color w:val="000000"/>
          <w:sz w:val="24"/>
          <w:szCs w:val="24"/>
        </w:rPr>
      </w:pPr>
      <w:r>
        <w:rPr>
          <w:rFonts w:hAnsi="宋体"/>
          <w:color w:val="000000"/>
          <w:sz w:val="24"/>
          <w:szCs w:val="24"/>
        </w:rPr>
        <w:t>风险评估和安全加固工作贯穿于信息系统的整个生命周期的各阶段中。在运行维护阶段，要不断地实施风险评估以识别系统面临的不断变化的风险和脆弱性，并通过安全加固进行有效的安全措施干预，确保安全目标得以实现。</w:t>
      </w:r>
    </w:p>
    <w:p w14:paraId="18D3096E">
      <w:pPr>
        <w:pStyle w:val="5"/>
        <w:snapToGrid w:val="0"/>
        <w:spacing w:before="0" w:after="0" w:line="360" w:lineRule="auto"/>
        <w:rPr>
          <w:rFonts w:hint="eastAsia" w:ascii="宋体" w:hAnsi="宋体"/>
          <w:kern w:val="0"/>
          <w:szCs w:val="24"/>
        </w:rPr>
      </w:pPr>
      <w:r>
        <w:rPr>
          <w:rFonts w:hint="eastAsia" w:ascii="宋体" w:hAnsi="宋体"/>
          <w:kern w:val="0"/>
          <w:szCs w:val="24"/>
        </w:rPr>
        <w:t>3.2.1风险评估</w:t>
      </w:r>
    </w:p>
    <w:p w14:paraId="731D8A17">
      <w:pPr>
        <w:snapToGrid w:val="0"/>
        <w:spacing w:line="360" w:lineRule="auto"/>
        <w:ind w:firstLine="480" w:firstLineChars="200"/>
        <w:rPr>
          <w:color w:val="000000"/>
          <w:kern w:val="0"/>
          <w:szCs w:val="24"/>
        </w:rPr>
      </w:pPr>
      <w:r>
        <w:rPr>
          <w:color w:val="000000"/>
          <w:kern w:val="0"/>
          <w:szCs w:val="24"/>
        </w:rPr>
        <w:t>风险评估的目的是了解和控制运行过程中的信息系统安全风险，运维阶段的风险评估是一种较为全面的风险评估。评估内容包括对真实运行的信息系统、资产、威胁、脆弱性等各方面。</w:t>
      </w:r>
    </w:p>
    <w:p w14:paraId="4F4778FC">
      <w:pPr>
        <w:snapToGrid w:val="0"/>
        <w:spacing w:line="360" w:lineRule="auto"/>
        <w:ind w:firstLine="480" w:firstLineChars="200"/>
        <w:rPr>
          <w:color w:val="000000"/>
          <w:kern w:val="0"/>
          <w:szCs w:val="24"/>
        </w:rPr>
      </w:pPr>
      <w:r>
        <w:rPr>
          <w:color w:val="000000"/>
          <w:kern w:val="0"/>
          <w:szCs w:val="24"/>
        </w:rPr>
        <w:t>（1）资产评估：对真实环境下较为细致的评估，包括实施阶段采购的软硬件资产、系统运行过程中生成的信息资产、相关的人员与服务等。本阶段资产识别是前期资产识别的补充与增加；</w:t>
      </w:r>
    </w:p>
    <w:p w14:paraId="03F9334B">
      <w:pPr>
        <w:snapToGrid w:val="0"/>
        <w:spacing w:line="360" w:lineRule="auto"/>
        <w:ind w:firstLine="480" w:firstLineChars="200"/>
        <w:rPr>
          <w:color w:val="000000"/>
          <w:kern w:val="0"/>
          <w:szCs w:val="24"/>
        </w:rPr>
      </w:pPr>
      <w:r>
        <w:rPr>
          <w:color w:val="000000"/>
          <w:kern w:val="0"/>
          <w:szCs w:val="24"/>
        </w:rPr>
        <w:t>（2）威胁评估：真实环境中的威胁分析，应全面地评估威胁的可能性和影响程度。对非故意威胁产生安全事件的评估可以参照事故发生率；对故意威胁主要由评估人员就威胁的各个影响因素做出专业判断；同时考虑已有控制措施；</w:t>
      </w:r>
    </w:p>
    <w:p w14:paraId="0A316C43">
      <w:pPr>
        <w:snapToGrid w:val="0"/>
        <w:spacing w:line="360" w:lineRule="auto"/>
        <w:ind w:firstLine="480" w:firstLineChars="200"/>
        <w:rPr>
          <w:color w:val="000000"/>
          <w:kern w:val="0"/>
          <w:szCs w:val="24"/>
        </w:rPr>
      </w:pPr>
      <w:r>
        <w:rPr>
          <w:color w:val="000000"/>
          <w:kern w:val="0"/>
          <w:szCs w:val="24"/>
        </w:rPr>
        <w:t>（3）脆弱性评估：全面的脆弱性评估。包括运行环境下物理、网络、系统、应用、安全保障设备、管理的脆弱性。对于技术的脆弱性评估采取核查、扫描、案例验证、渗透性测试的方式验证脆弱性；对安全保障设备脆弱性评估时考虑安全功能的实现情况和安全措施本身的脆弱性。对于管理脆弱性采取文档、记录核查进行验证；</w:t>
      </w:r>
    </w:p>
    <w:p w14:paraId="2512F9AB">
      <w:pPr>
        <w:snapToGrid w:val="0"/>
        <w:spacing w:line="360" w:lineRule="auto"/>
        <w:ind w:firstLine="480" w:firstLineChars="200"/>
        <w:rPr>
          <w:color w:val="000000"/>
          <w:kern w:val="0"/>
          <w:szCs w:val="24"/>
        </w:rPr>
      </w:pPr>
      <w:r>
        <w:rPr>
          <w:color w:val="000000"/>
          <w:kern w:val="0"/>
          <w:szCs w:val="24"/>
        </w:rPr>
        <w:t>（4）风险计算：根据相关标准，对主要资产的风险进行定性或定量的风险分析，描述不同资产的风险高低状况。</w:t>
      </w:r>
    </w:p>
    <w:p w14:paraId="6400D8DB">
      <w:pPr>
        <w:pStyle w:val="5"/>
        <w:snapToGrid w:val="0"/>
        <w:spacing w:before="0" w:after="0" w:line="360" w:lineRule="auto"/>
        <w:rPr>
          <w:rFonts w:hint="eastAsia" w:ascii="宋体" w:hAnsi="宋体"/>
          <w:kern w:val="0"/>
          <w:szCs w:val="24"/>
        </w:rPr>
      </w:pPr>
      <w:r>
        <w:rPr>
          <w:rFonts w:hint="eastAsia" w:ascii="宋体" w:hAnsi="宋体"/>
          <w:kern w:val="0"/>
          <w:szCs w:val="24"/>
        </w:rPr>
        <w:t>3.2.2安全加固</w:t>
      </w:r>
    </w:p>
    <w:p w14:paraId="0F8C2B32">
      <w:pPr>
        <w:snapToGrid w:val="0"/>
        <w:spacing w:line="360" w:lineRule="auto"/>
        <w:ind w:firstLine="460" w:firstLineChars="192"/>
        <w:rPr>
          <w:color w:val="000000"/>
          <w:kern w:val="0"/>
          <w:szCs w:val="24"/>
        </w:rPr>
      </w:pPr>
      <w:r>
        <w:rPr>
          <w:color w:val="000000"/>
          <w:kern w:val="0"/>
          <w:szCs w:val="24"/>
        </w:rPr>
        <w:t>安全加固是指对在风险评估中发现的系统安全风险进行处理，按照级别不同，应该在相应时间内完成。安全加固的内容主要包括：</w:t>
      </w:r>
    </w:p>
    <w:p w14:paraId="0F61C448">
      <w:pPr>
        <w:snapToGrid w:val="0"/>
        <w:spacing w:line="360" w:lineRule="auto"/>
        <w:ind w:firstLine="460" w:firstLineChars="192"/>
        <w:rPr>
          <w:rFonts w:hint="eastAsia"/>
          <w:color w:val="000000"/>
          <w:szCs w:val="24"/>
        </w:rPr>
      </w:pPr>
      <w:r>
        <w:rPr>
          <w:color w:val="000000"/>
          <w:szCs w:val="24"/>
        </w:rPr>
        <w:t>（1）日常安全加固工作，主要是根据风险评估结果进行系统安全调优服务，根据系统运行需要适时调整各类设备及系统配置、合理规划系统资源、消除系统漏洞，提高系统稳定性和可靠性；</w:t>
      </w:r>
    </w:p>
    <w:p w14:paraId="34B3AA97">
      <w:pPr>
        <w:snapToGrid w:val="0"/>
        <w:spacing w:line="360" w:lineRule="auto"/>
        <w:ind w:firstLine="460" w:firstLineChars="192"/>
        <w:rPr>
          <w:rFonts w:hint="eastAsia"/>
          <w:color w:val="000000"/>
          <w:szCs w:val="24"/>
        </w:rPr>
      </w:pPr>
      <w:r>
        <w:rPr>
          <w:color w:val="000000"/>
          <w:szCs w:val="24"/>
        </w:rPr>
        <w:t>（</w:t>
      </w:r>
      <w:r>
        <w:rPr>
          <w:rFonts w:hint="eastAsia"/>
          <w:color w:val="000000"/>
          <w:szCs w:val="24"/>
        </w:rPr>
        <w:t>2</w:t>
      </w:r>
      <w:r>
        <w:rPr>
          <w:color w:val="000000"/>
          <w:szCs w:val="24"/>
        </w:rPr>
        <w:t>）主动安全加固，在未出现安全事故之前就对已经通报或者暴露出来的软件漏洞或最新病毒库更新，就主动进计划的升级和改进，从而避免出现安全事故。</w:t>
      </w:r>
    </w:p>
    <w:p w14:paraId="6BA431AD">
      <w:pPr>
        <w:snapToGrid w:val="0"/>
        <w:spacing w:line="360" w:lineRule="auto"/>
        <w:ind w:firstLine="480" w:firstLineChars="200"/>
        <w:rPr>
          <w:color w:val="000000"/>
          <w:szCs w:val="24"/>
        </w:rPr>
      </w:pPr>
      <w:r>
        <w:rPr>
          <w:rFonts w:hint="eastAsia"/>
          <w:color w:val="000000"/>
          <w:szCs w:val="24"/>
        </w:rPr>
        <w:t>具体加固内容包括但不限于：帐户策略、帐户锁定策略、审核策略、NTFS、用户权限分配、系统服务策略、补丁管理、事件日志、应用软件的更新等。</w:t>
      </w:r>
    </w:p>
    <w:p w14:paraId="1512BD5A">
      <w:pPr>
        <w:pStyle w:val="5"/>
        <w:snapToGrid w:val="0"/>
        <w:spacing w:before="0" w:after="0" w:line="360" w:lineRule="auto"/>
        <w:rPr>
          <w:rFonts w:hint="eastAsia" w:ascii="宋体" w:hAnsi="宋体"/>
          <w:kern w:val="0"/>
          <w:szCs w:val="24"/>
        </w:rPr>
      </w:pPr>
      <w:r>
        <w:rPr>
          <w:rFonts w:hint="eastAsia" w:ascii="宋体" w:hAnsi="宋体"/>
          <w:kern w:val="0"/>
          <w:szCs w:val="24"/>
        </w:rPr>
        <w:t>3.2.3应急响应</w:t>
      </w:r>
    </w:p>
    <w:p w14:paraId="0AF6D0C8">
      <w:pPr>
        <w:snapToGrid w:val="0"/>
        <w:spacing w:line="360" w:lineRule="auto"/>
        <w:ind w:firstLine="460" w:firstLineChars="192"/>
        <w:rPr>
          <w:rFonts w:hint="eastAsia"/>
          <w:color w:val="000000"/>
          <w:szCs w:val="24"/>
        </w:rPr>
      </w:pPr>
      <w:r>
        <w:rPr>
          <w:color w:val="000000"/>
          <w:szCs w:val="24"/>
        </w:rPr>
        <w:t>应急状态的安全值守、响应工作，主要是系统应急响应、重大安全故障处理，确保系统出现安全事件时快速反应、及时处理，降低系统安全问题对XX局内工作的影响。</w:t>
      </w:r>
    </w:p>
    <w:p w14:paraId="39B44D24">
      <w:pPr>
        <w:pStyle w:val="5"/>
        <w:snapToGrid w:val="0"/>
        <w:spacing w:before="0" w:after="0" w:line="360" w:lineRule="auto"/>
        <w:rPr>
          <w:rFonts w:hint="eastAsia" w:ascii="宋体" w:hAnsi="宋体"/>
          <w:kern w:val="0"/>
          <w:szCs w:val="24"/>
        </w:rPr>
      </w:pPr>
      <w:r>
        <w:rPr>
          <w:rFonts w:hint="eastAsia" w:ascii="宋体" w:hAnsi="宋体"/>
          <w:kern w:val="0"/>
          <w:szCs w:val="24"/>
        </w:rPr>
        <w:t>3.2.4安全巡检</w:t>
      </w:r>
      <w:r>
        <w:rPr>
          <w:rFonts w:ascii="宋体" w:hAnsi="宋体"/>
          <w:kern w:val="0"/>
          <w:szCs w:val="24"/>
        </w:rPr>
        <w:t xml:space="preserve"> </w:t>
      </w:r>
    </w:p>
    <w:p w14:paraId="550038AA">
      <w:pPr>
        <w:snapToGrid w:val="0"/>
        <w:spacing w:line="360" w:lineRule="auto"/>
        <w:ind w:firstLine="460" w:firstLineChars="192"/>
        <w:rPr>
          <w:color w:val="000000"/>
          <w:szCs w:val="24"/>
        </w:rPr>
      </w:pPr>
      <w:r>
        <w:rPr>
          <w:rFonts w:hint="eastAsia"/>
          <w:color w:val="000000"/>
          <w:szCs w:val="24"/>
        </w:rPr>
        <w:t>安全巡检主要是指</w:t>
      </w:r>
      <w:r>
        <w:rPr>
          <w:color w:val="000000"/>
          <w:szCs w:val="24"/>
        </w:rPr>
        <w:t>深入现场，了解情况：质检</w:t>
      </w:r>
      <w:r>
        <w:rPr>
          <w:rFonts w:hint="eastAsia"/>
          <w:color w:val="000000"/>
          <w:szCs w:val="24"/>
        </w:rPr>
        <w:t>服务内容中的各类安全设备</w:t>
      </w:r>
      <w:r>
        <w:rPr>
          <w:color w:val="000000"/>
          <w:szCs w:val="24"/>
        </w:rPr>
        <w:t>，了解</w:t>
      </w:r>
      <w:r>
        <w:rPr>
          <w:rFonts w:hint="eastAsia"/>
          <w:color w:val="000000"/>
          <w:szCs w:val="24"/>
        </w:rPr>
        <w:t>安全设备运行</w:t>
      </w:r>
      <w:r>
        <w:rPr>
          <w:color w:val="000000"/>
          <w:szCs w:val="24"/>
        </w:rPr>
        <w:t>情况，仔细观察</w:t>
      </w:r>
      <w:r>
        <w:rPr>
          <w:rFonts w:hint="eastAsia"/>
          <w:color w:val="000000"/>
          <w:szCs w:val="24"/>
        </w:rPr>
        <w:t>各个安全节点的可靠性，并综合安全巡检情况，定制安全策略。</w:t>
      </w:r>
    </w:p>
    <w:p w14:paraId="048AC2C1">
      <w:pPr>
        <w:pStyle w:val="5"/>
        <w:snapToGrid w:val="0"/>
        <w:spacing w:before="0" w:after="0" w:line="360" w:lineRule="auto"/>
        <w:rPr>
          <w:rFonts w:hint="eastAsia" w:ascii="宋体" w:hAnsi="宋体"/>
          <w:kern w:val="0"/>
          <w:szCs w:val="24"/>
        </w:rPr>
      </w:pPr>
      <w:r>
        <w:rPr>
          <w:rFonts w:hint="eastAsia" w:ascii="宋体" w:hAnsi="宋体"/>
          <w:kern w:val="0"/>
          <w:szCs w:val="24"/>
        </w:rPr>
        <w:t>3.2.5安全监控</w:t>
      </w:r>
    </w:p>
    <w:p w14:paraId="5A5E164A">
      <w:pPr>
        <w:snapToGrid w:val="0"/>
        <w:spacing w:line="360" w:lineRule="auto"/>
        <w:ind w:firstLine="460" w:firstLineChars="192"/>
        <w:rPr>
          <w:color w:val="000000"/>
          <w:szCs w:val="24"/>
        </w:rPr>
      </w:pPr>
      <w:r>
        <w:rPr>
          <w:rFonts w:hint="eastAsia"/>
          <w:color w:val="000000"/>
          <w:szCs w:val="24"/>
        </w:rPr>
        <w:t>对服务内容进行监控，在安全环境产生变化时，及时</w:t>
      </w:r>
      <w:r>
        <w:rPr>
          <w:color w:val="000000"/>
          <w:szCs w:val="24"/>
        </w:rPr>
        <w:t>更新安全策略，在现有设备和网络情况有改变的时候，快速制定，针对更新后设备环境的安全策略，并实施部署。避免因设备变更而带来的安全风险。</w:t>
      </w:r>
    </w:p>
    <w:p w14:paraId="668A0D37">
      <w:pPr>
        <w:pStyle w:val="5"/>
        <w:snapToGrid w:val="0"/>
        <w:spacing w:before="0" w:after="0" w:line="360" w:lineRule="auto"/>
        <w:rPr>
          <w:rFonts w:hint="eastAsia" w:ascii="宋体" w:hAnsi="宋体"/>
          <w:kern w:val="0"/>
          <w:szCs w:val="24"/>
        </w:rPr>
      </w:pPr>
      <w:r>
        <w:rPr>
          <w:rFonts w:hint="eastAsia" w:ascii="宋体" w:hAnsi="宋体"/>
          <w:kern w:val="0"/>
          <w:szCs w:val="24"/>
        </w:rPr>
        <w:t>3.2.7</w:t>
      </w:r>
      <w:r>
        <w:rPr>
          <w:rFonts w:ascii="宋体" w:hAnsi="宋体" w:eastAsia="宋体"/>
          <w:color w:val="000000"/>
          <w:sz w:val="24"/>
          <w:szCs w:val="24"/>
        </w:rPr>
        <w:t>安全通告</w:t>
      </w:r>
    </w:p>
    <w:p w14:paraId="5929EC3E">
      <w:pPr>
        <w:snapToGrid w:val="0"/>
        <w:spacing w:line="360" w:lineRule="auto"/>
        <w:ind w:firstLine="460" w:firstLineChars="192"/>
        <w:rPr>
          <w:color w:val="000000"/>
          <w:szCs w:val="24"/>
        </w:rPr>
      </w:pPr>
      <w:r>
        <w:rPr>
          <w:color w:val="000000"/>
          <w:szCs w:val="24"/>
        </w:rPr>
        <w:t>定期安全通告，在互联网上出现新型病毒或者新出现漏洞并且部分修补的情况下，制作安全通告及时告知相关运维人员，增强对于新型病毒和漏洞的防御力。</w:t>
      </w:r>
    </w:p>
    <w:p w14:paraId="3858EAA1">
      <w:pPr>
        <w:pStyle w:val="4"/>
        <w:snapToGrid w:val="0"/>
        <w:spacing w:before="0" w:line="360" w:lineRule="auto"/>
        <w:rPr>
          <w:rFonts w:ascii="宋体" w:hAnsi="宋体"/>
          <w:sz w:val="24"/>
          <w:szCs w:val="24"/>
          <w:lang w:eastAsia="zh-CN"/>
        </w:rPr>
      </w:pPr>
      <w:bookmarkStart w:id="22" w:name="_Toc491637481"/>
      <w:r>
        <w:rPr>
          <w:rFonts w:hint="eastAsia" w:ascii="宋体" w:hAnsi="宋体"/>
          <w:sz w:val="24"/>
          <w:szCs w:val="24"/>
          <w:lang w:eastAsia="zh-CN"/>
        </w:rPr>
        <w:t>3</w:t>
      </w:r>
      <w:r>
        <w:rPr>
          <w:rFonts w:ascii="宋体" w:hAnsi="宋体"/>
          <w:sz w:val="24"/>
          <w:szCs w:val="24"/>
          <w:lang w:eastAsia="zh-CN"/>
        </w:rPr>
        <w:t>.3系统设备维修及保养服务</w:t>
      </w:r>
      <w:bookmarkEnd w:id="22"/>
    </w:p>
    <w:p w14:paraId="462DEFBD">
      <w:pPr>
        <w:snapToGrid w:val="0"/>
        <w:spacing w:line="360" w:lineRule="auto"/>
        <w:ind w:firstLine="460" w:firstLineChars="192"/>
        <w:rPr>
          <w:color w:val="000000"/>
          <w:szCs w:val="24"/>
        </w:rPr>
      </w:pPr>
      <w:r>
        <w:rPr>
          <w:color w:val="000000"/>
          <w:szCs w:val="24"/>
        </w:rPr>
        <w:t>针对本项目中的系统硬件设备，除在4.1.1中提供的日常运维服务外，</w:t>
      </w:r>
      <w:r>
        <w:rPr>
          <w:szCs w:val="24"/>
        </w:rPr>
        <w:t>要求运维团队</w:t>
      </w:r>
      <w:r>
        <w:rPr>
          <w:color w:val="000000"/>
          <w:szCs w:val="24"/>
        </w:rPr>
        <w:t>提供设备的维修及保养服务。主要包括：</w:t>
      </w:r>
    </w:p>
    <w:p w14:paraId="6B5309E9">
      <w:pPr>
        <w:numPr>
          <w:ilvl w:val="1"/>
          <w:numId w:val="10"/>
        </w:numPr>
        <w:snapToGrid w:val="0"/>
        <w:spacing w:line="360" w:lineRule="auto"/>
        <w:jc w:val="left"/>
        <w:rPr>
          <w:szCs w:val="24"/>
        </w:rPr>
      </w:pPr>
      <w:r>
        <w:rPr>
          <w:szCs w:val="24"/>
        </w:rPr>
        <w:t>当硬件设备出现故障时，硬件设备故障部件的现场替换工作或对返修工作，具体如下：</w:t>
      </w:r>
    </w:p>
    <w:tbl>
      <w:tblPr>
        <w:tblStyle w:val="20"/>
        <w:tblW w:w="81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1"/>
        <w:gridCol w:w="900"/>
        <w:gridCol w:w="1620"/>
        <w:gridCol w:w="4320"/>
      </w:tblGrid>
      <w:tr w14:paraId="16ED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6BB03131">
            <w:pPr>
              <w:snapToGrid w:val="0"/>
              <w:spacing w:line="360" w:lineRule="auto"/>
              <w:jc w:val="center"/>
              <w:rPr>
                <w:rFonts w:hint="eastAsia"/>
              </w:rPr>
            </w:pPr>
            <w:r>
              <w:rPr>
                <w:rFonts w:hint="eastAsia"/>
              </w:rPr>
              <w:t>故障设备名称</w:t>
            </w:r>
          </w:p>
        </w:tc>
        <w:tc>
          <w:tcPr>
            <w:tcW w:w="900" w:type="dxa"/>
            <w:vAlign w:val="center"/>
          </w:tcPr>
          <w:p w14:paraId="615C2740">
            <w:pPr>
              <w:snapToGrid w:val="0"/>
              <w:spacing w:line="360" w:lineRule="auto"/>
              <w:jc w:val="center"/>
              <w:rPr>
                <w:rFonts w:hint="eastAsia"/>
              </w:rPr>
            </w:pPr>
            <w:r>
              <w:rPr>
                <w:rFonts w:hint="eastAsia"/>
              </w:rPr>
              <w:t>现场替换</w:t>
            </w:r>
          </w:p>
        </w:tc>
        <w:tc>
          <w:tcPr>
            <w:tcW w:w="1620" w:type="dxa"/>
            <w:vAlign w:val="center"/>
          </w:tcPr>
          <w:p w14:paraId="275AA53B">
            <w:pPr>
              <w:snapToGrid w:val="0"/>
              <w:spacing w:line="360" w:lineRule="auto"/>
              <w:jc w:val="center"/>
              <w:rPr>
                <w:rFonts w:hint="eastAsia"/>
              </w:rPr>
            </w:pPr>
            <w:r>
              <w:rPr>
                <w:rFonts w:hint="eastAsia"/>
              </w:rPr>
              <w:t>返修</w:t>
            </w:r>
          </w:p>
        </w:tc>
        <w:tc>
          <w:tcPr>
            <w:tcW w:w="4320" w:type="dxa"/>
            <w:vAlign w:val="center"/>
          </w:tcPr>
          <w:p w14:paraId="5B81A040">
            <w:pPr>
              <w:snapToGrid w:val="0"/>
              <w:spacing w:line="360" w:lineRule="auto"/>
              <w:jc w:val="center"/>
              <w:rPr>
                <w:rFonts w:hint="eastAsia"/>
              </w:rPr>
            </w:pPr>
            <w:r>
              <w:rPr>
                <w:rFonts w:hint="eastAsia"/>
              </w:rPr>
              <w:t>备注</w:t>
            </w:r>
          </w:p>
        </w:tc>
      </w:tr>
      <w:tr w14:paraId="0A82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323778CA">
            <w:pPr>
              <w:snapToGrid w:val="0"/>
              <w:spacing w:line="360" w:lineRule="auto"/>
              <w:jc w:val="center"/>
            </w:pPr>
            <w:r>
              <w:t>内存条</w:t>
            </w:r>
          </w:p>
        </w:tc>
        <w:tc>
          <w:tcPr>
            <w:tcW w:w="900" w:type="dxa"/>
            <w:vAlign w:val="center"/>
          </w:tcPr>
          <w:p w14:paraId="1521A17F">
            <w:pPr>
              <w:snapToGrid w:val="0"/>
              <w:spacing w:line="360" w:lineRule="auto"/>
              <w:jc w:val="center"/>
            </w:pPr>
            <w:r>
              <w:t>是</w:t>
            </w:r>
          </w:p>
        </w:tc>
        <w:tc>
          <w:tcPr>
            <w:tcW w:w="1620" w:type="dxa"/>
            <w:vAlign w:val="center"/>
          </w:tcPr>
          <w:p w14:paraId="463D3CE2">
            <w:pPr>
              <w:snapToGrid w:val="0"/>
              <w:spacing w:line="360" w:lineRule="auto"/>
              <w:jc w:val="center"/>
            </w:pPr>
          </w:p>
        </w:tc>
        <w:tc>
          <w:tcPr>
            <w:tcW w:w="4320" w:type="dxa"/>
            <w:vAlign w:val="center"/>
          </w:tcPr>
          <w:p w14:paraId="36558956">
            <w:pPr>
              <w:snapToGrid w:val="0"/>
              <w:spacing w:line="360" w:lineRule="auto"/>
            </w:pPr>
          </w:p>
        </w:tc>
      </w:tr>
      <w:tr w14:paraId="2B6B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4AFEDA39">
            <w:pPr>
              <w:snapToGrid w:val="0"/>
              <w:spacing w:line="360" w:lineRule="auto"/>
              <w:jc w:val="center"/>
            </w:pPr>
            <w:r>
              <w:t>硬盘</w:t>
            </w:r>
          </w:p>
        </w:tc>
        <w:tc>
          <w:tcPr>
            <w:tcW w:w="900" w:type="dxa"/>
            <w:vAlign w:val="center"/>
          </w:tcPr>
          <w:p w14:paraId="2E06A5E8">
            <w:pPr>
              <w:snapToGrid w:val="0"/>
              <w:spacing w:line="360" w:lineRule="auto"/>
              <w:jc w:val="center"/>
            </w:pPr>
            <w:r>
              <w:t>是</w:t>
            </w:r>
          </w:p>
        </w:tc>
        <w:tc>
          <w:tcPr>
            <w:tcW w:w="1620" w:type="dxa"/>
            <w:vAlign w:val="center"/>
          </w:tcPr>
          <w:p w14:paraId="50179005">
            <w:pPr>
              <w:snapToGrid w:val="0"/>
              <w:spacing w:line="360" w:lineRule="auto"/>
              <w:jc w:val="center"/>
            </w:pPr>
          </w:p>
        </w:tc>
        <w:tc>
          <w:tcPr>
            <w:tcW w:w="4320" w:type="dxa"/>
            <w:vAlign w:val="center"/>
          </w:tcPr>
          <w:p w14:paraId="32FCE862">
            <w:pPr>
              <w:snapToGrid w:val="0"/>
              <w:spacing w:line="360" w:lineRule="auto"/>
            </w:pPr>
          </w:p>
        </w:tc>
      </w:tr>
      <w:tr w14:paraId="3C45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609401A3">
            <w:pPr>
              <w:snapToGrid w:val="0"/>
              <w:spacing w:line="360" w:lineRule="auto"/>
              <w:jc w:val="center"/>
            </w:pPr>
            <w:r>
              <w:t>CPU</w:t>
            </w:r>
          </w:p>
        </w:tc>
        <w:tc>
          <w:tcPr>
            <w:tcW w:w="900" w:type="dxa"/>
            <w:vAlign w:val="center"/>
          </w:tcPr>
          <w:p w14:paraId="290FB870">
            <w:pPr>
              <w:snapToGrid w:val="0"/>
              <w:spacing w:line="360" w:lineRule="auto"/>
              <w:jc w:val="center"/>
            </w:pPr>
          </w:p>
        </w:tc>
        <w:tc>
          <w:tcPr>
            <w:tcW w:w="1620" w:type="dxa"/>
            <w:vAlign w:val="center"/>
          </w:tcPr>
          <w:p w14:paraId="5B235B94">
            <w:pPr>
              <w:snapToGrid w:val="0"/>
              <w:spacing w:line="360" w:lineRule="auto"/>
              <w:jc w:val="center"/>
            </w:pPr>
            <w:r>
              <w:t>是</w:t>
            </w:r>
          </w:p>
        </w:tc>
        <w:tc>
          <w:tcPr>
            <w:tcW w:w="4320" w:type="dxa"/>
            <w:vAlign w:val="center"/>
          </w:tcPr>
          <w:p w14:paraId="767D3420">
            <w:pPr>
              <w:snapToGrid w:val="0"/>
              <w:spacing w:line="360" w:lineRule="auto"/>
            </w:pPr>
            <w:r>
              <w:t>视现场情况，可提供现场更换</w:t>
            </w:r>
          </w:p>
        </w:tc>
      </w:tr>
      <w:tr w14:paraId="10DE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54BFB47E">
            <w:pPr>
              <w:snapToGrid w:val="0"/>
              <w:spacing w:line="360" w:lineRule="auto"/>
              <w:jc w:val="center"/>
            </w:pPr>
            <w:r>
              <w:t>主板</w:t>
            </w:r>
          </w:p>
        </w:tc>
        <w:tc>
          <w:tcPr>
            <w:tcW w:w="900" w:type="dxa"/>
            <w:vAlign w:val="center"/>
          </w:tcPr>
          <w:p w14:paraId="597C3484">
            <w:pPr>
              <w:snapToGrid w:val="0"/>
              <w:spacing w:line="360" w:lineRule="auto"/>
              <w:jc w:val="center"/>
            </w:pPr>
          </w:p>
        </w:tc>
        <w:tc>
          <w:tcPr>
            <w:tcW w:w="1620" w:type="dxa"/>
            <w:vAlign w:val="center"/>
          </w:tcPr>
          <w:p w14:paraId="0CF797A1">
            <w:pPr>
              <w:snapToGrid w:val="0"/>
              <w:spacing w:line="360" w:lineRule="auto"/>
              <w:jc w:val="center"/>
            </w:pPr>
            <w:r>
              <w:t>是</w:t>
            </w:r>
          </w:p>
        </w:tc>
        <w:tc>
          <w:tcPr>
            <w:tcW w:w="4320" w:type="dxa"/>
            <w:vAlign w:val="center"/>
          </w:tcPr>
          <w:p w14:paraId="1180AFA4">
            <w:pPr>
              <w:snapToGrid w:val="0"/>
              <w:spacing w:line="360" w:lineRule="auto"/>
            </w:pPr>
          </w:p>
        </w:tc>
      </w:tr>
      <w:tr w14:paraId="7D9A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52CD00D3">
            <w:pPr>
              <w:snapToGrid w:val="0"/>
              <w:spacing w:line="360" w:lineRule="auto"/>
              <w:jc w:val="center"/>
            </w:pPr>
            <w:r>
              <w:t>电源模块</w:t>
            </w:r>
          </w:p>
        </w:tc>
        <w:tc>
          <w:tcPr>
            <w:tcW w:w="900" w:type="dxa"/>
            <w:vAlign w:val="center"/>
          </w:tcPr>
          <w:p w14:paraId="1DA57040">
            <w:pPr>
              <w:snapToGrid w:val="0"/>
              <w:spacing w:line="360" w:lineRule="auto"/>
              <w:jc w:val="center"/>
            </w:pPr>
            <w:r>
              <w:t>是</w:t>
            </w:r>
          </w:p>
        </w:tc>
        <w:tc>
          <w:tcPr>
            <w:tcW w:w="1620" w:type="dxa"/>
            <w:vAlign w:val="center"/>
          </w:tcPr>
          <w:p w14:paraId="6ED019AB">
            <w:pPr>
              <w:snapToGrid w:val="0"/>
              <w:spacing w:line="360" w:lineRule="auto"/>
              <w:jc w:val="center"/>
            </w:pPr>
            <w:r>
              <w:t>是</w:t>
            </w:r>
          </w:p>
        </w:tc>
        <w:tc>
          <w:tcPr>
            <w:tcW w:w="4320" w:type="dxa"/>
            <w:vAlign w:val="center"/>
          </w:tcPr>
          <w:p w14:paraId="4075ADD5">
            <w:pPr>
              <w:snapToGrid w:val="0"/>
              <w:spacing w:line="360" w:lineRule="auto"/>
            </w:pPr>
            <w:r>
              <w:t>有冗余电源的，返修后更换；无冗余电源现场更换。</w:t>
            </w:r>
          </w:p>
        </w:tc>
      </w:tr>
      <w:tr w14:paraId="2DA80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2D8CB4D9">
            <w:pPr>
              <w:snapToGrid w:val="0"/>
              <w:spacing w:line="360" w:lineRule="auto"/>
              <w:jc w:val="center"/>
            </w:pPr>
            <w:r>
              <w:t>网卡</w:t>
            </w:r>
          </w:p>
        </w:tc>
        <w:tc>
          <w:tcPr>
            <w:tcW w:w="900" w:type="dxa"/>
            <w:vAlign w:val="center"/>
          </w:tcPr>
          <w:p w14:paraId="0A02B3FD">
            <w:pPr>
              <w:snapToGrid w:val="0"/>
              <w:spacing w:line="360" w:lineRule="auto"/>
              <w:jc w:val="center"/>
            </w:pPr>
            <w:r>
              <w:t>是</w:t>
            </w:r>
          </w:p>
        </w:tc>
        <w:tc>
          <w:tcPr>
            <w:tcW w:w="1620" w:type="dxa"/>
            <w:vAlign w:val="center"/>
          </w:tcPr>
          <w:p w14:paraId="24BFAB82">
            <w:pPr>
              <w:snapToGrid w:val="0"/>
              <w:spacing w:line="360" w:lineRule="auto"/>
              <w:jc w:val="center"/>
            </w:pPr>
          </w:p>
        </w:tc>
        <w:tc>
          <w:tcPr>
            <w:tcW w:w="4320" w:type="dxa"/>
            <w:vAlign w:val="center"/>
          </w:tcPr>
          <w:p w14:paraId="68234F59">
            <w:pPr>
              <w:snapToGrid w:val="0"/>
              <w:spacing w:line="360" w:lineRule="auto"/>
            </w:pPr>
          </w:p>
        </w:tc>
      </w:tr>
      <w:tr w14:paraId="68B46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 w:type="dxa"/>
            <w:vAlign w:val="center"/>
          </w:tcPr>
          <w:p w14:paraId="21438CCC">
            <w:pPr>
              <w:snapToGrid w:val="0"/>
              <w:spacing w:line="360" w:lineRule="auto"/>
              <w:jc w:val="center"/>
            </w:pPr>
            <w:r>
              <w:t>散热模块</w:t>
            </w:r>
          </w:p>
        </w:tc>
        <w:tc>
          <w:tcPr>
            <w:tcW w:w="900" w:type="dxa"/>
            <w:vAlign w:val="center"/>
          </w:tcPr>
          <w:p w14:paraId="377D4494">
            <w:pPr>
              <w:snapToGrid w:val="0"/>
              <w:spacing w:line="360" w:lineRule="auto"/>
              <w:jc w:val="center"/>
            </w:pPr>
          </w:p>
        </w:tc>
        <w:tc>
          <w:tcPr>
            <w:tcW w:w="1620" w:type="dxa"/>
            <w:vAlign w:val="center"/>
          </w:tcPr>
          <w:p w14:paraId="5BBCACC4">
            <w:pPr>
              <w:snapToGrid w:val="0"/>
              <w:spacing w:line="360" w:lineRule="auto"/>
              <w:jc w:val="center"/>
            </w:pPr>
            <w:r>
              <w:t>是</w:t>
            </w:r>
          </w:p>
        </w:tc>
        <w:tc>
          <w:tcPr>
            <w:tcW w:w="4320" w:type="dxa"/>
            <w:vAlign w:val="center"/>
          </w:tcPr>
          <w:p w14:paraId="703CD496">
            <w:pPr>
              <w:snapToGrid w:val="0"/>
              <w:spacing w:line="360" w:lineRule="auto"/>
            </w:pPr>
            <w:r>
              <w:t>散热模块都有冗余，可在返修后进行更换</w:t>
            </w:r>
          </w:p>
        </w:tc>
      </w:tr>
      <w:tr w14:paraId="13DE5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281" w:type="dxa"/>
            <w:vAlign w:val="center"/>
          </w:tcPr>
          <w:p w14:paraId="6B28F58D">
            <w:pPr>
              <w:snapToGrid w:val="0"/>
              <w:spacing w:line="360" w:lineRule="auto"/>
              <w:jc w:val="center"/>
            </w:pPr>
            <w:r>
              <w:t>其他设备</w:t>
            </w:r>
          </w:p>
        </w:tc>
        <w:tc>
          <w:tcPr>
            <w:tcW w:w="900" w:type="dxa"/>
            <w:vAlign w:val="center"/>
          </w:tcPr>
          <w:p w14:paraId="1D61220E">
            <w:pPr>
              <w:snapToGrid w:val="0"/>
              <w:spacing w:line="360" w:lineRule="auto"/>
              <w:jc w:val="center"/>
            </w:pPr>
          </w:p>
        </w:tc>
        <w:tc>
          <w:tcPr>
            <w:tcW w:w="1620" w:type="dxa"/>
            <w:vAlign w:val="center"/>
          </w:tcPr>
          <w:p w14:paraId="32642211">
            <w:pPr>
              <w:snapToGrid w:val="0"/>
              <w:spacing w:line="360" w:lineRule="auto"/>
              <w:jc w:val="center"/>
            </w:pPr>
            <w:r>
              <w:t>是</w:t>
            </w:r>
          </w:p>
        </w:tc>
        <w:tc>
          <w:tcPr>
            <w:tcW w:w="4320" w:type="dxa"/>
            <w:vAlign w:val="center"/>
          </w:tcPr>
          <w:p w14:paraId="467BBBBE">
            <w:pPr>
              <w:snapToGrid w:val="0"/>
              <w:spacing w:line="360" w:lineRule="auto"/>
            </w:pPr>
            <w:r>
              <w:t>其他非常规设备，只能原厂返修</w:t>
            </w:r>
          </w:p>
        </w:tc>
      </w:tr>
    </w:tbl>
    <w:p w14:paraId="530FB03F">
      <w:pPr>
        <w:numPr>
          <w:ilvl w:val="1"/>
          <w:numId w:val="10"/>
        </w:numPr>
        <w:snapToGrid w:val="0"/>
        <w:spacing w:line="360" w:lineRule="auto"/>
        <w:jc w:val="left"/>
        <w:rPr>
          <w:szCs w:val="24"/>
        </w:rPr>
      </w:pPr>
      <w:r>
        <w:rPr>
          <w:szCs w:val="24"/>
        </w:rPr>
        <w:t>非故障时期对系统硬件设备的定期现场巡检、功能性能测试等日常保养工作，具体如下：</w:t>
      </w:r>
    </w:p>
    <w:p w14:paraId="1BE94020">
      <w:pPr>
        <w:numPr>
          <w:ilvl w:val="0"/>
          <w:numId w:val="13"/>
        </w:numPr>
        <w:snapToGrid w:val="0"/>
        <w:spacing w:line="360" w:lineRule="auto"/>
        <w:jc w:val="left"/>
        <w:rPr>
          <w:szCs w:val="24"/>
        </w:rPr>
      </w:pPr>
      <w:r>
        <w:rPr>
          <w:szCs w:val="24"/>
        </w:rPr>
        <w:t>电源是否稳定；</w:t>
      </w:r>
    </w:p>
    <w:p w14:paraId="5E4DB9EE">
      <w:pPr>
        <w:numPr>
          <w:ilvl w:val="0"/>
          <w:numId w:val="13"/>
        </w:numPr>
        <w:snapToGrid w:val="0"/>
        <w:spacing w:line="360" w:lineRule="auto"/>
        <w:jc w:val="left"/>
        <w:rPr>
          <w:szCs w:val="24"/>
        </w:rPr>
      </w:pPr>
      <w:r>
        <w:rPr>
          <w:szCs w:val="24"/>
        </w:rPr>
        <w:t>散热是否正常；</w:t>
      </w:r>
    </w:p>
    <w:p w14:paraId="66E2C30A">
      <w:pPr>
        <w:numPr>
          <w:ilvl w:val="0"/>
          <w:numId w:val="13"/>
        </w:numPr>
        <w:snapToGrid w:val="0"/>
        <w:spacing w:line="360" w:lineRule="auto"/>
        <w:jc w:val="left"/>
        <w:rPr>
          <w:szCs w:val="24"/>
        </w:rPr>
      </w:pPr>
      <w:r>
        <w:rPr>
          <w:szCs w:val="24"/>
        </w:rPr>
        <w:t>检查服务器指示灯是否有故障灯亮起；</w:t>
      </w:r>
    </w:p>
    <w:p w14:paraId="24613FD6">
      <w:pPr>
        <w:numPr>
          <w:ilvl w:val="0"/>
          <w:numId w:val="13"/>
        </w:numPr>
        <w:snapToGrid w:val="0"/>
        <w:spacing w:line="360" w:lineRule="auto"/>
        <w:jc w:val="left"/>
        <w:rPr>
          <w:szCs w:val="24"/>
        </w:rPr>
      </w:pPr>
      <w:r>
        <w:rPr>
          <w:szCs w:val="24"/>
        </w:rPr>
        <w:t>定期用测试软件对服务器CPU性能进行压力测试，并给予打分；</w:t>
      </w:r>
    </w:p>
    <w:p w14:paraId="41DAA91E">
      <w:pPr>
        <w:numPr>
          <w:ilvl w:val="0"/>
          <w:numId w:val="13"/>
        </w:numPr>
        <w:snapToGrid w:val="0"/>
        <w:spacing w:line="360" w:lineRule="auto"/>
        <w:jc w:val="left"/>
        <w:rPr>
          <w:szCs w:val="24"/>
        </w:rPr>
      </w:pPr>
      <w:r>
        <w:rPr>
          <w:szCs w:val="24"/>
        </w:rPr>
        <w:t>定期用测试软件对服务器内存读取速度进行测试，并给予打分；</w:t>
      </w:r>
    </w:p>
    <w:p w14:paraId="7C96BC76">
      <w:pPr>
        <w:numPr>
          <w:ilvl w:val="0"/>
          <w:numId w:val="13"/>
        </w:numPr>
        <w:snapToGrid w:val="0"/>
        <w:spacing w:line="360" w:lineRule="auto"/>
        <w:jc w:val="left"/>
        <w:rPr>
          <w:szCs w:val="24"/>
        </w:rPr>
      </w:pPr>
      <w:r>
        <w:rPr>
          <w:szCs w:val="24"/>
        </w:rPr>
        <w:t>定期用测试软件对服务器硬盘I/O能力进行测试，并给予打分；</w:t>
      </w:r>
    </w:p>
    <w:p w14:paraId="3DC8EF88">
      <w:pPr>
        <w:snapToGrid w:val="0"/>
        <w:spacing w:line="360" w:lineRule="auto"/>
        <w:ind w:left="1146"/>
        <w:rPr>
          <w:szCs w:val="24"/>
        </w:rPr>
      </w:pPr>
      <w:r>
        <w:rPr>
          <w:szCs w:val="24"/>
        </w:rPr>
        <w:t>检查出故障的按第一条进行相应处理，无故障但是在性能测试中分数较低者，提出相应更换或者维修建议。</w:t>
      </w:r>
    </w:p>
    <w:p w14:paraId="609A0733">
      <w:pPr>
        <w:numPr>
          <w:ilvl w:val="1"/>
          <w:numId w:val="10"/>
        </w:numPr>
        <w:snapToGrid w:val="0"/>
        <w:spacing w:line="360" w:lineRule="auto"/>
        <w:jc w:val="left"/>
        <w:rPr>
          <w:szCs w:val="24"/>
        </w:rPr>
      </w:pPr>
      <w:r>
        <w:rPr>
          <w:szCs w:val="24"/>
        </w:rPr>
        <w:t>要求运维团队每年定期对服务器进行一次除尘工作，既提高服务器的散热能力，也可避免由于微尘造成的服务器线路不通、性能降低或短路等危险。</w:t>
      </w:r>
    </w:p>
    <w:p w14:paraId="101324B8">
      <w:pPr>
        <w:pStyle w:val="4"/>
        <w:snapToGrid w:val="0"/>
        <w:spacing w:before="0" w:line="360" w:lineRule="auto"/>
        <w:rPr>
          <w:rFonts w:ascii="宋体" w:hAnsi="宋体"/>
          <w:sz w:val="24"/>
          <w:szCs w:val="24"/>
          <w:lang w:eastAsia="zh-CN"/>
        </w:rPr>
      </w:pPr>
      <w:bookmarkStart w:id="23" w:name="_Toc491637482"/>
      <w:r>
        <w:rPr>
          <w:rFonts w:hint="eastAsia" w:ascii="宋体" w:hAnsi="宋体"/>
          <w:sz w:val="24"/>
          <w:szCs w:val="24"/>
          <w:lang w:eastAsia="zh-CN"/>
        </w:rPr>
        <w:t>3</w:t>
      </w:r>
      <w:r>
        <w:rPr>
          <w:rFonts w:ascii="宋体" w:hAnsi="宋体"/>
          <w:sz w:val="24"/>
          <w:szCs w:val="24"/>
          <w:lang w:eastAsia="zh-CN"/>
        </w:rPr>
        <w:t>.4软件系统升级及维保服务</w:t>
      </w:r>
      <w:bookmarkEnd w:id="23"/>
    </w:p>
    <w:p w14:paraId="49745D9E">
      <w:pPr>
        <w:snapToGrid w:val="0"/>
        <w:spacing w:line="360" w:lineRule="auto"/>
        <w:ind w:firstLine="460" w:firstLineChars="192"/>
        <w:rPr>
          <w:color w:val="000000"/>
          <w:szCs w:val="24"/>
        </w:rPr>
      </w:pPr>
      <w:r>
        <w:rPr>
          <w:color w:val="000000"/>
          <w:szCs w:val="24"/>
        </w:rPr>
        <w:t>针对本项目中的防病毒软件、公文综合管理及会议管理系统、智能文件交换系统三个较为重要的应用，除在4.1.2中提供的日常运维服务外，</w:t>
      </w:r>
      <w:r>
        <w:rPr>
          <w:szCs w:val="24"/>
        </w:rPr>
        <w:t>要求运维团队</w:t>
      </w:r>
      <w:r>
        <w:rPr>
          <w:color w:val="000000"/>
          <w:szCs w:val="24"/>
        </w:rPr>
        <w:t>提供系统的原厂升级及维保服务。主要包括：</w:t>
      </w:r>
    </w:p>
    <w:p w14:paraId="103847C6">
      <w:pPr>
        <w:snapToGrid w:val="0"/>
        <w:spacing w:line="360" w:lineRule="auto"/>
        <w:ind w:firstLine="560"/>
        <w:rPr>
          <w:szCs w:val="24"/>
        </w:rPr>
      </w:pPr>
      <w:r>
        <w:rPr>
          <w:szCs w:val="24"/>
        </w:rPr>
        <w:t>（1）</w:t>
      </w:r>
      <w:r>
        <w:rPr>
          <w:color w:val="000000"/>
          <w:szCs w:val="24"/>
        </w:rPr>
        <w:t>防病毒软件的原厂升级服务，保证杀毒引擎和病毒库随时更新</w:t>
      </w:r>
      <w:r>
        <w:rPr>
          <w:szCs w:val="24"/>
        </w:rPr>
        <w:t>；</w:t>
      </w:r>
    </w:p>
    <w:p w14:paraId="5A263472">
      <w:pPr>
        <w:snapToGrid w:val="0"/>
        <w:spacing w:line="360" w:lineRule="auto"/>
        <w:ind w:firstLine="560"/>
        <w:rPr>
          <w:szCs w:val="24"/>
        </w:rPr>
      </w:pPr>
      <w:r>
        <w:rPr>
          <w:szCs w:val="24"/>
        </w:rPr>
        <w:t>（2）</w:t>
      </w:r>
      <w:r>
        <w:rPr>
          <w:color w:val="000000"/>
          <w:szCs w:val="24"/>
        </w:rPr>
        <w:t>公文综合管理及会议管理系统的业务流程调整、简单功能调整等小开发量维保服务</w:t>
      </w:r>
      <w:r>
        <w:rPr>
          <w:szCs w:val="24"/>
        </w:rPr>
        <w:t>；</w:t>
      </w:r>
    </w:p>
    <w:p w14:paraId="06B6D821">
      <w:pPr>
        <w:snapToGrid w:val="0"/>
        <w:spacing w:line="360" w:lineRule="auto"/>
        <w:ind w:firstLine="560"/>
        <w:rPr>
          <w:szCs w:val="24"/>
        </w:rPr>
      </w:pPr>
      <w:r>
        <w:rPr>
          <w:szCs w:val="24"/>
        </w:rPr>
        <w:t>（3）</w:t>
      </w:r>
      <w:r>
        <w:rPr>
          <w:color w:val="000000"/>
          <w:szCs w:val="24"/>
        </w:rPr>
        <w:t>智能文件交换系统所包含的专用设备（文件柜、锁等）的维保服务。</w:t>
      </w:r>
    </w:p>
    <w:bookmarkEnd w:id="5"/>
    <w:bookmarkEnd w:id="6"/>
    <w:bookmarkEnd w:id="7"/>
    <w:p w14:paraId="2F8E0DE1">
      <w:pPr>
        <w:pStyle w:val="3"/>
        <w:tabs>
          <w:tab w:val="left" w:pos="576"/>
        </w:tabs>
        <w:snapToGrid w:val="0"/>
        <w:spacing w:before="0" w:after="0" w:line="360" w:lineRule="auto"/>
        <w:rPr>
          <w:rFonts w:ascii="宋体" w:hAnsi="宋体" w:eastAsia="宋体"/>
          <w:sz w:val="24"/>
          <w:szCs w:val="24"/>
        </w:rPr>
      </w:pPr>
      <w:bookmarkStart w:id="24" w:name="_Toc239471693"/>
      <w:bookmarkStart w:id="25" w:name="_Toc491637483"/>
      <w:bookmarkStart w:id="26" w:name="_Toc260834774"/>
      <w:bookmarkStart w:id="27" w:name="_Toc222755461"/>
      <w:bookmarkStart w:id="28" w:name="_Toc222755164"/>
      <w:bookmarkStart w:id="29" w:name="_Toc231812891"/>
      <w:r>
        <w:rPr>
          <w:rFonts w:hint="eastAsia" w:ascii="宋体" w:hAnsi="宋体" w:eastAsia="宋体"/>
          <w:sz w:val="24"/>
          <w:szCs w:val="24"/>
        </w:rPr>
        <w:t>4</w:t>
      </w:r>
      <w:r>
        <w:rPr>
          <w:rFonts w:ascii="宋体" w:hAnsi="宋体" w:eastAsia="宋体"/>
          <w:sz w:val="24"/>
          <w:szCs w:val="24"/>
        </w:rPr>
        <w:t>服务要求</w:t>
      </w:r>
      <w:bookmarkEnd w:id="24"/>
      <w:bookmarkEnd w:id="25"/>
    </w:p>
    <w:p w14:paraId="77B74ACD">
      <w:pPr>
        <w:snapToGrid w:val="0"/>
        <w:spacing w:line="360" w:lineRule="auto"/>
        <w:ind w:firstLine="480"/>
        <w:rPr>
          <w:szCs w:val="24"/>
        </w:rPr>
      </w:pPr>
      <w:r>
        <w:rPr>
          <w:szCs w:val="24"/>
        </w:rPr>
        <w:t>在本服务项目中，运维团队应明确自己的责任和义务，在充分了解项目所述各个系统现有环境的基础上，提供规范化、高质量的服务，并对服务质量做出可量化的承诺。</w:t>
      </w:r>
      <w:bookmarkStart w:id="30" w:name="_Toc22716329"/>
    </w:p>
    <w:bookmarkEnd w:id="30"/>
    <w:p w14:paraId="4DBD810D">
      <w:pPr>
        <w:pStyle w:val="4"/>
        <w:snapToGrid w:val="0"/>
        <w:spacing w:before="0" w:line="360" w:lineRule="auto"/>
        <w:rPr>
          <w:rFonts w:ascii="宋体" w:hAnsi="宋体"/>
          <w:sz w:val="24"/>
          <w:szCs w:val="24"/>
          <w:lang w:eastAsia="zh-CN"/>
        </w:rPr>
      </w:pPr>
      <w:bookmarkStart w:id="31" w:name="_Toc491637484"/>
      <w:bookmarkStart w:id="32" w:name="_Toc222755165"/>
      <w:bookmarkStart w:id="33" w:name="_Toc222755462"/>
      <w:bookmarkStart w:id="34" w:name="_Toc260834775"/>
      <w:bookmarkStart w:id="35" w:name="_Toc231812892"/>
      <w:r>
        <w:rPr>
          <w:rFonts w:hint="eastAsia" w:ascii="宋体" w:hAnsi="宋体"/>
          <w:sz w:val="24"/>
          <w:szCs w:val="24"/>
          <w:lang w:eastAsia="zh-CN"/>
        </w:rPr>
        <w:t>4</w:t>
      </w:r>
      <w:r>
        <w:rPr>
          <w:rFonts w:ascii="宋体" w:hAnsi="宋体"/>
          <w:sz w:val="24"/>
          <w:szCs w:val="24"/>
          <w:lang w:eastAsia="zh-CN"/>
        </w:rPr>
        <w:t>.1基本要求</w:t>
      </w:r>
      <w:bookmarkEnd w:id="31"/>
    </w:p>
    <w:p w14:paraId="7A0C9CD2">
      <w:pPr>
        <w:pStyle w:val="5"/>
        <w:widowControl/>
        <w:snapToGrid w:val="0"/>
        <w:spacing w:before="0" w:after="0" w:line="360" w:lineRule="auto"/>
        <w:rPr>
          <w:rFonts w:ascii="宋体" w:hAnsi="宋体" w:eastAsia="宋体"/>
          <w:sz w:val="24"/>
          <w:szCs w:val="24"/>
        </w:rPr>
      </w:pPr>
      <w:r>
        <w:rPr>
          <w:rFonts w:hint="eastAsia" w:ascii="宋体" w:hAnsi="宋体" w:eastAsia="宋体"/>
          <w:sz w:val="24"/>
          <w:szCs w:val="24"/>
        </w:rPr>
        <w:t>4</w:t>
      </w:r>
      <w:r>
        <w:rPr>
          <w:rFonts w:ascii="宋体" w:hAnsi="宋体" w:eastAsia="宋体"/>
          <w:sz w:val="24"/>
          <w:szCs w:val="24"/>
        </w:rPr>
        <w:t>.1.1日常运维服务</w:t>
      </w:r>
      <w:bookmarkEnd w:id="32"/>
      <w:bookmarkEnd w:id="33"/>
      <w:bookmarkEnd w:id="34"/>
      <w:bookmarkEnd w:id="35"/>
    </w:p>
    <w:p w14:paraId="50E920F8">
      <w:pPr>
        <w:snapToGrid w:val="0"/>
        <w:spacing w:line="360" w:lineRule="auto"/>
        <w:ind w:firstLine="480"/>
        <w:rPr>
          <w:szCs w:val="24"/>
        </w:rPr>
      </w:pPr>
      <w:r>
        <w:rPr>
          <w:szCs w:val="24"/>
        </w:rPr>
        <w:t>针对XX局的不定时工作日制度，为客户提供系统级的日常维护、定期巡检、性能测试、故障排查等服务。具体内容包括：</w:t>
      </w:r>
    </w:p>
    <w:p w14:paraId="1AA2AD87">
      <w:pPr>
        <w:pStyle w:val="6"/>
        <w:snapToGrid w:val="0"/>
        <w:spacing w:before="0" w:after="0" w:line="360" w:lineRule="auto"/>
        <w:rPr>
          <w:rFonts w:ascii="宋体" w:hAnsi="宋体"/>
          <w:szCs w:val="24"/>
        </w:rPr>
      </w:pPr>
      <w:bookmarkStart w:id="36" w:name="_Toc260834781"/>
      <w:bookmarkStart w:id="37" w:name="_Toc222755483"/>
      <w:bookmarkStart w:id="38" w:name="_Toc222755186"/>
      <w:bookmarkStart w:id="39" w:name="_Toc231812913"/>
      <w:bookmarkStart w:id="40" w:name="_Toc222755167"/>
      <w:bookmarkStart w:id="41" w:name="_Toc222755464"/>
      <w:bookmarkStart w:id="42" w:name="_Toc231812894"/>
      <w:r>
        <w:rPr>
          <w:rFonts w:hint="eastAsia" w:ascii="宋体" w:hAnsi="宋体"/>
          <w:szCs w:val="24"/>
        </w:rPr>
        <w:t>4</w:t>
      </w:r>
      <w:r>
        <w:rPr>
          <w:rFonts w:ascii="宋体" w:hAnsi="宋体"/>
          <w:szCs w:val="24"/>
        </w:rPr>
        <w:t>.1.1.1工作日服务</w:t>
      </w:r>
      <w:bookmarkEnd w:id="36"/>
      <w:bookmarkEnd w:id="37"/>
      <w:bookmarkEnd w:id="38"/>
      <w:bookmarkEnd w:id="39"/>
    </w:p>
    <w:p w14:paraId="6DE7C8F1">
      <w:pPr>
        <w:snapToGrid w:val="0"/>
        <w:spacing w:line="360" w:lineRule="auto"/>
        <w:ind w:firstLine="480" w:firstLineChars="200"/>
        <w:rPr>
          <w:szCs w:val="24"/>
        </w:rPr>
      </w:pPr>
      <w:bookmarkStart w:id="43" w:name="_Toc212361491"/>
      <w:r>
        <w:rPr>
          <w:szCs w:val="24"/>
        </w:rPr>
        <w:t>主要指现场值守服务，维护团队需要指派</w:t>
      </w:r>
      <w:r>
        <w:rPr>
          <w:rFonts w:hint="eastAsia"/>
          <w:szCs w:val="24"/>
        </w:rPr>
        <w:t>3</w:t>
      </w:r>
      <w:r>
        <w:rPr>
          <w:szCs w:val="24"/>
        </w:rPr>
        <w:t>名资深服务</w:t>
      </w:r>
      <w:r>
        <w:rPr>
          <w:rFonts w:hint="eastAsia"/>
          <w:szCs w:val="24"/>
        </w:rPr>
        <w:t>技术服务</w:t>
      </w:r>
      <w:r>
        <w:rPr>
          <w:szCs w:val="24"/>
        </w:rPr>
        <w:t>工程师长期值守在XX局现场，负责对现场设备运行状态进行监视、管理和维护以及工作终端的管理和维护，通过对系统运行日志的分析提前发现并排除可能发生的潜在故障，并在全部维护服务团队支持下，在1小时内排除普通故障，2小时内排除较大故障，4小时内排除重大故障，24小时内排除特大故障。</w:t>
      </w:r>
    </w:p>
    <w:p w14:paraId="7014A887">
      <w:pPr>
        <w:snapToGrid w:val="0"/>
        <w:spacing w:line="360" w:lineRule="auto"/>
        <w:ind w:firstLine="480"/>
        <w:rPr>
          <w:szCs w:val="24"/>
        </w:rPr>
      </w:pPr>
      <w:r>
        <w:rPr>
          <w:szCs w:val="24"/>
        </w:rPr>
        <w:t>维护期内提供技术人员进行现场监控服务。</w:t>
      </w:r>
    </w:p>
    <w:p w14:paraId="6392414C">
      <w:pPr>
        <w:pStyle w:val="6"/>
        <w:snapToGrid w:val="0"/>
        <w:spacing w:before="0" w:after="0" w:line="360" w:lineRule="auto"/>
        <w:rPr>
          <w:rFonts w:ascii="宋体" w:hAnsi="宋体"/>
          <w:szCs w:val="24"/>
        </w:rPr>
      </w:pPr>
      <w:bookmarkStart w:id="44" w:name="_Toc212361490"/>
      <w:r>
        <w:rPr>
          <w:rFonts w:hint="eastAsia" w:ascii="宋体" w:hAnsi="宋体"/>
          <w:szCs w:val="24"/>
        </w:rPr>
        <w:t>4</w:t>
      </w:r>
      <w:r>
        <w:rPr>
          <w:rFonts w:ascii="宋体" w:hAnsi="宋体"/>
          <w:szCs w:val="24"/>
        </w:rPr>
        <w:t xml:space="preserve">.1.1.2 </w:t>
      </w:r>
      <w:bookmarkStart w:id="45" w:name="_Toc222755188"/>
      <w:bookmarkStart w:id="46" w:name="_Toc231812915"/>
      <w:bookmarkStart w:id="47" w:name="_Toc222755485"/>
      <w:r>
        <w:rPr>
          <w:rFonts w:ascii="宋体" w:hAnsi="宋体"/>
          <w:szCs w:val="24"/>
        </w:rPr>
        <w:t>故障响应</w:t>
      </w:r>
      <w:bookmarkEnd w:id="44"/>
      <w:bookmarkEnd w:id="45"/>
      <w:bookmarkEnd w:id="46"/>
      <w:bookmarkEnd w:id="47"/>
      <w:r>
        <w:rPr>
          <w:rFonts w:ascii="宋体" w:hAnsi="宋体"/>
          <w:szCs w:val="24"/>
        </w:rPr>
        <w:t>服务</w:t>
      </w:r>
    </w:p>
    <w:p w14:paraId="7CDFDCFE">
      <w:pPr>
        <w:snapToGrid w:val="0"/>
        <w:spacing w:line="360" w:lineRule="auto"/>
        <w:ind w:firstLine="480"/>
        <w:rPr>
          <w:szCs w:val="24"/>
        </w:rPr>
      </w:pPr>
      <w:r>
        <w:rPr>
          <w:szCs w:val="24"/>
        </w:rPr>
        <w:t>除了现场值守服务方式外，同时，提供7×24小时故障响应服务具体包括：</w:t>
      </w:r>
    </w:p>
    <w:p w14:paraId="332DFB0E">
      <w:pPr>
        <w:numPr>
          <w:ilvl w:val="0"/>
          <w:numId w:val="14"/>
        </w:numPr>
        <w:snapToGrid w:val="0"/>
        <w:spacing w:line="360" w:lineRule="auto"/>
        <w:rPr>
          <w:szCs w:val="24"/>
        </w:rPr>
      </w:pPr>
      <w:r>
        <w:rPr>
          <w:szCs w:val="24"/>
        </w:rPr>
        <w:t>维护期内提供电话、传真、电子邮件等方式的咨询和支持服务。</w:t>
      </w:r>
    </w:p>
    <w:p w14:paraId="06050874">
      <w:pPr>
        <w:numPr>
          <w:ilvl w:val="0"/>
          <w:numId w:val="14"/>
        </w:numPr>
        <w:snapToGrid w:val="0"/>
        <w:spacing w:line="360" w:lineRule="auto"/>
        <w:rPr>
          <w:szCs w:val="24"/>
        </w:rPr>
      </w:pPr>
      <w:r>
        <w:rPr>
          <w:szCs w:val="24"/>
        </w:rPr>
        <w:t>主要系统设备出现故障时，15分钟内响应，当现场维护工程师或节假日值班维护工程师无法排除故障时， 1小时内中心派专业工程师赶赴现场进行故障诊断及处理，在1小时内排除普通故障，2小时内排除较大故障，4小时内排除重大故障，24小时内排除特大故障。</w:t>
      </w:r>
    </w:p>
    <w:p w14:paraId="0A21FEBE">
      <w:pPr>
        <w:numPr>
          <w:ilvl w:val="0"/>
          <w:numId w:val="14"/>
        </w:numPr>
        <w:snapToGrid w:val="0"/>
        <w:spacing w:line="360" w:lineRule="auto"/>
        <w:rPr>
          <w:szCs w:val="24"/>
        </w:rPr>
      </w:pPr>
      <w:r>
        <w:rPr>
          <w:szCs w:val="24"/>
        </w:rPr>
        <w:t>一般故障，正常工作日内响应。</w:t>
      </w:r>
    </w:p>
    <w:bookmarkEnd w:id="43"/>
    <w:p w14:paraId="55368621">
      <w:pPr>
        <w:pStyle w:val="5"/>
        <w:widowControl/>
        <w:snapToGrid w:val="0"/>
        <w:spacing w:before="0" w:after="0" w:line="360" w:lineRule="auto"/>
        <w:rPr>
          <w:rFonts w:ascii="宋体" w:hAnsi="宋体" w:eastAsia="宋体"/>
          <w:sz w:val="24"/>
          <w:szCs w:val="24"/>
        </w:rPr>
      </w:pPr>
      <w:bookmarkStart w:id="48" w:name="_Toc222755192"/>
      <w:bookmarkStart w:id="49" w:name="_Toc260834782"/>
      <w:bookmarkStart w:id="50" w:name="_Toc222755489"/>
      <w:bookmarkStart w:id="51" w:name="_Toc231812919"/>
      <w:r>
        <w:rPr>
          <w:rFonts w:hint="eastAsia" w:ascii="宋体" w:hAnsi="宋体" w:eastAsia="宋体"/>
          <w:sz w:val="24"/>
          <w:szCs w:val="24"/>
        </w:rPr>
        <w:t>4</w:t>
      </w:r>
      <w:r>
        <w:rPr>
          <w:rFonts w:ascii="宋体" w:hAnsi="宋体" w:eastAsia="宋体"/>
          <w:sz w:val="24"/>
          <w:szCs w:val="24"/>
        </w:rPr>
        <w:t>.1.2其他时间及夜间服务</w:t>
      </w:r>
      <w:bookmarkEnd w:id="48"/>
      <w:bookmarkEnd w:id="49"/>
      <w:bookmarkEnd w:id="50"/>
      <w:bookmarkEnd w:id="51"/>
    </w:p>
    <w:p w14:paraId="27C4884A">
      <w:pPr>
        <w:snapToGrid w:val="0"/>
        <w:spacing w:line="360" w:lineRule="auto"/>
        <w:ind w:firstLine="480"/>
        <w:rPr>
          <w:rFonts w:hint="eastAsia"/>
          <w:szCs w:val="24"/>
        </w:rPr>
      </w:pPr>
      <w:r>
        <w:rPr>
          <w:szCs w:val="24"/>
        </w:rPr>
        <w:t>当系统在非工作日出现异常时，维护团队现场人员将在1小时内赶赴现场并排除系统普通故障，特大故障将在24小时内处理完毕。</w:t>
      </w:r>
    </w:p>
    <w:p w14:paraId="39AD52BA">
      <w:pPr>
        <w:snapToGrid w:val="0"/>
        <w:spacing w:line="360" w:lineRule="auto"/>
        <w:ind w:firstLine="480"/>
        <w:rPr>
          <w:szCs w:val="24"/>
        </w:rPr>
      </w:pPr>
      <w:r>
        <w:rPr>
          <w:rFonts w:hint="eastAsia"/>
          <w:szCs w:val="24"/>
        </w:rPr>
        <w:t>具体联系方式包括：</w:t>
      </w:r>
      <w:r>
        <w:rPr>
          <w:szCs w:val="24"/>
        </w:rPr>
        <w:t>通过维护团队提供的7×24小时响应服务热线</w:t>
      </w:r>
      <w:r>
        <w:rPr>
          <w:rFonts w:hint="eastAsia"/>
          <w:szCs w:val="24"/>
        </w:rPr>
        <w:t>；</w:t>
      </w:r>
      <w:r>
        <w:rPr>
          <w:szCs w:val="24"/>
        </w:rPr>
        <w:t>现场维护人员通过移动通信网络（当运维管理系统具备短信故障报警通知功能时）接收到系统报警信息</w:t>
      </w:r>
      <w:r>
        <w:rPr>
          <w:rFonts w:hint="eastAsia"/>
          <w:szCs w:val="24"/>
        </w:rPr>
        <w:t>；或</w:t>
      </w:r>
      <w:r>
        <w:rPr>
          <w:szCs w:val="24"/>
        </w:rPr>
        <w:t>维护人员接到服务请求电话时</w:t>
      </w:r>
      <w:r>
        <w:rPr>
          <w:rFonts w:hint="eastAsia"/>
          <w:szCs w:val="24"/>
        </w:rPr>
        <w:t>。</w:t>
      </w:r>
    </w:p>
    <w:p w14:paraId="494B8D3A">
      <w:pPr>
        <w:pStyle w:val="5"/>
        <w:widowControl/>
        <w:snapToGrid w:val="0"/>
        <w:spacing w:before="0" w:after="0" w:line="360" w:lineRule="auto"/>
        <w:rPr>
          <w:rFonts w:ascii="宋体" w:hAnsi="宋体" w:eastAsia="宋体"/>
          <w:sz w:val="24"/>
          <w:szCs w:val="24"/>
        </w:rPr>
      </w:pPr>
      <w:bookmarkStart w:id="52" w:name="_Toc260834783"/>
      <w:r>
        <w:rPr>
          <w:rFonts w:hint="eastAsia" w:ascii="宋体" w:hAnsi="宋体" w:eastAsia="宋体"/>
          <w:sz w:val="24"/>
          <w:szCs w:val="24"/>
        </w:rPr>
        <w:t>4</w:t>
      </w:r>
      <w:r>
        <w:rPr>
          <w:rFonts w:ascii="宋体" w:hAnsi="宋体" w:eastAsia="宋体"/>
          <w:sz w:val="24"/>
          <w:szCs w:val="24"/>
        </w:rPr>
        <w:t>.1.3临时保障服务</w:t>
      </w:r>
      <w:bookmarkEnd w:id="52"/>
    </w:p>
    <w:p w14:paraId="7275B3DF">
      <w:pPr>
        <w:snapToGrid w:val="0"/>
        <w:spacing w:line="360" w:lineRule="auto"/>
        <w:ind w:firstLine="480" w:firstLineChars="200"/>
        <w:rPr>
          <w:szCs w:val="24"/>
        </w:rPr>
      </w:pPr>
      <w:r>
        <w:rPr>
          <w:szCs w:val="24"/>
        </w:rPr>
        <w:t>当遇到重大活动需要提供临时保障服务时，维护团队须在需要保障服务的前三天进驻现场，并对所有设备进行临时性安全检查，排除安全隐患，以做到万无一失。</w:t>
      </w:r>
    </w:p>
    <w:bookmarkEnd w:id="40"/>
    <w:bookmarkEnd w:id="41"/>
    <w:bookmarkEnd w:id="42"/>
    <w:p w14:paraId="28826EFE">
      <w:pPr>
        <w:pStyle w:val="5"/>
        <w:widowControl/>
        <w:snapToGrid w:val="0"/>
        <w:spacing w:before="0" w:after="0" w:line="360" w:lineRule="auto"/>
        <w:rPr>
          <w:rFonts w:ascii="宋体" w:hAnsi="宋体" w:eastAsia="宋体"/>
          <w:sz w:val="24"/>
          <w:szCs w:val="24"/>
        </w:rPr>
      </w:pPr>
      <w:bookmarkStart w:id="53" w:name="_Toc222755168"/>
      <w:bookmarkStart w:id="54" w:name="_Toc222755465"/>
      <w:bookmarkStart w:id="55" w:name="_Toc231812895"/>
      <w:r>
        <w:rPr>
          <w:rFonts w:hint="eastAsia" w:ascii="宋体" w:hAnsi="宋体" w:eastAsia="宋体"/>
          <w:sz w:val="24"/>
          <w:szCs w:val="24"/>
        </w:rPr>
        <w:t>4</w:t>
      </w:r>
      <w:r>
        <w:rPr>
          <w:rFonts w:ascii="宋体" w:hAnsi="宋体" w:eastAsia="宋体"/>
          <w:sz w:val="24"/>
          <w:szCs w:val="24"/>
        </w:rPr>
        <w:t>.1.4月度检查</w:t>
      </w:r>
      <w:bookmarkEnd w:id="53"/>
      <w:bookmarkEnd w:id="54"/>
      <w:bookmarkEnd w:id="55"/>
    </w:p>
    <w:p w14:paraId="2EE8DF37">
      <w:pPr>
        <w:snapToGrid w:val="0"/>
        <w:spacing w:line="360" w:lineRule="auto"/>
        <w:ind w:firstLine="480"/>
        <w:rPr>
          <w:szCs w:val="24"/>
        </w:rPr>
      </w:pPr>
      <w:r>
        <w:rPr>
          <w:szCs w:val="24"/>
        </w:rPr>
        <w:t>每月对各系统及设备进行检查，进行安全系统、防病毒系统检查，进行漏洞扫描，并对检查中存在的故障及安全隐患进行处理。每月第一周向用户单位提交上月的《月度巡检报告》，报请用户单位审批签署。</w:t>
      </w:r>
    </w:p>
    <w:p w14:paraId="36C80BC3">
      <w:pPr>
        <w:pStyle w:val="5"/>
        <w:widowControl/>
        <w:snapToGrid w:val="0"/>
        <w:spacing w:before="0" w:after="0" w:line="360" w:lineRule="auto"/>
        <w:rPr>
          <w:rFonts w:ascii="宋体" w:hAnsi="宋体" w:eastAsia="宋体"/>
          <w:sz w:val="24"/>
          <w:szCs w:val="24"/>
        </w:rPr>
      </w:pPr>
      <w:bookmarkStart w:id="56" w:name="_Toc231812896"/>
      <w:bookmarkStart w:id="57" w:name="_Toc222755466"/>
      <w:bookmarkStart w:id="58" w:name="_Toc222755169"/>
      <w:r>
        <w:rPr>
          <w:rFonts w:hint="eastAsia" w:ascii="宋体" w:hAnsi="宋体" w:eastAsia="宋体"/>
          <w:sz w:val="24"/>
          <w:szCs w:val="24"/>
        </w:rPr>
        <w:t>4</w:t>
      </w:r>
      <w:r>
        <w:rPr>
          <w:rFonts w:ascii="宋体" w:hAnsi="宋体" w:eastAsia="宋体"/>
          <w:sz w:val="24"/>
          <w:szCs w:val="24"/>
        </w:rPr>
        <w:t>.1.5季度检查</w:t>
      </w:r>
      <w:bookmarkEnd w:id="56"/>
      <w:bookmarkEnd w:id="57"/>
      <w:bookmarkEnd w:id="58"/>
    </w:p>
    <w:p w14:paraId="3377F5F5">
      <w:pPr>
        <w:snapToGrid w:val="0"/>
        <w:spacing w:line="360" w:lineRule="auto"/>
        <w:ind w:firstLine="480"/>
        <w:rPr>
          <w:szCs w:val="24"/>
        </w:rPr>
      </w:pPr>
      <w:r>
        <w:rPr>
          <w:szCs w:val="24"/>
        </w:rPr>
        <w:t>每季度对由维护团队的专业维护队伍对所有设备进行安全评估和风险分析，提交完整的安全状况评估报告，分析存在的安全漏洞情况，提出《整改方案和建议》。</w:t>
      </w:r>
    </w:p>
    <w:p w14:paraId="1C2381BC">
      <w:pPr>
        <w:pStyle w:val="5"/>
        <w:widowControl/>
        <w:snapToGrid w:val="0"/>
        <w:spacing w:before="0" w:after="0" w:line="360" w:lineRule="auto"/>
        <w:rPr>
          <w:rFonts w:ascii="宋体" w:hAnsi="宋体" w:eastAsia="宋体"/>
          <w:sz w:val="24"/>
          <w:szCs w:val="24"/>
        </w:rPr>
      </w:pPr>
      <w:r>
        <w:rPr>
          <w:rFonts w:hint="eastAsia" w:ascii="宋体" w:hAnsi="宋体" w:eastAsia="宋体"/>
          <w:sz w:val="24"/>
          <w:szCs w:val="24"/>
        </w:rPr>
        <w:t>4</w:t>
      </w:r>
      <w:r>
        <w:rPr>
          <w:rFonts w:ascii="宋体" w:hAnsi="宋体" w:eastAsia="宋体"/>
          <w:sz w:val="24"/>
          <w:szCs w:val="24"/>
        </w:rPr>
        <w:t>.1.6年度检查</w:t>
      </w:r>
    </w:p>
    <w:p w14:paraId="1934D8F3">
      <w:pPr>
        <w:snapToGrid w:val="0"/>
        <w:spacing w:line="360" w:lineRule="auto"/>
        <w:ind w:firstLine="480"/>
        <w:rPr>
          <w:szCs w:val="24"/>
        </w:rPr>
      </w:pPr>
      <w:r>
        <w:rPr>
          <w:szCs w:val="24"/>
        </w:rPr>
        <w:t>每年由维护团队组织相关的专家（含硬件和软件）对整个系统进行安全检查，对每个硬件设备使用状态进行风险评估，并对下一年可能存在的问题进行风险预测，对每个设备的状态出具使用报告。</w:t>
      </w:r>
    </w:p>
    <w:p w14:paraId="1B7398FA">
      <w:pPr>
        <w:pStyle w:val="4"/>
        <w:snapToGrid w:val="0"/>
        <w:spacing w:before="0" w:line="360" w:lineRule="auto"/>
        <w:rPr>
          <w:rFonts w:ascii="宋体" w:hAnsi="宋体"/>
          <w:sz w:val="24"/>
          <w:szCs w:val="24"/>
          <w:lang w:eastAsia="zh-CN"/>
        </w:rPr>
      </w:pPr>
      <w:bookmarkStart w:id="59" w:name="_Toc491637485"/>
      <w:r>
        <w:rPr>
          <w:rFonts w:hint="eastAsia" w:ascii="宋体" w:hAnsi="宋体"/>
          <w:sz w:val="24"/>
          <w:szCs w:val="24"/>
          <w:lang w:eastAsia="zh-CN"/>
        </w:rPr>
        <w:t>4</w:t>
      </w:r>
      <w:r>
        <w:rPr>
          <w:rFonts w:ascii="宋体" w:hAnsi="宋体"/>
          <w:sz w:val="24"/>
          <w:szCs w:val="24"/>
          <w:lang w:eastAsia="zh-CN"/>
        </w:rPr>
        <w:t>.2服务队伍要求</w:t>
      </w:r>
      <w:bookmarkEnd w:id="59"/>
    </w:p>
    <w:p w14:paraId="3CC0793A">
      <w:pPr>
        <w:pStyle w:val="45"/>
        <w:snapToGrid w:val="0"/>
        <w:rPr>
          <w:rFonts w:ascii="宋体" w:hAnsi="宋体" w:cs="Times New Roman"/>
          <w:szCs w:val="24"/>
        </w:rPr>
      </w:pPr>
      <w:r>
        <w:rPr>
          <w:rFonts w:ascii="宋体" w:hAnsi="宋体" w:cs="Times New Roman"/>
          <w:szCs w:val="24"/>
        </w:rPr>
        <w:t>要求维护团队拥有强大的技术支持力量，拥有稳定的专业化的技术支持服务队伍，完善的技术支持服务体系。</w:t>
      </w:r>
    </w:p>
    <w:p w14:paraId="3EF767B5">
      <w:pPr>
        <w:pStyle w:val="45"/>
        <w:snapToGrid w:val="0"/>
        <w:rPr>
          <w:rFonts w:ascii="宋体" w:hAnsi="宋体" w:cs="Times New Roman"/>
          <w:szCs w:val="24"/>
        </w:rPr>
      </w:pPr>
      <w:r>
        <w:rPr>
          <w:rFonts w:ascii="宋体" w:hAnsi="宋体" w:cs="Times New Roman"/>
          <w:szCs w:val="24"/>
        </w:rPr>
        <w:t>现场服务人员负责网络的监控、简单故障的解决，接听技术热线。</w:t>
      </w:r>
    </w:p>
    <w:p w14:paraId="34526917">
      <w:pPr>
        <w:pStyle w:val="45"/>
        <w:snapToGrid w:val="0"/>
        <w:rPr>
          <w:rFonts w:ascii="宋体" w:hAnsi="宋体" w:cs="Times New Roman"/>
          <w:szCs w:val="24"/>
        </w:rPr>
      </w:pPr>
      <w:r>
        <w:rPr>
          <w:rFonts w:ascii="宋体" w:hAnsi="宋体" w:cs="Times New Roman"/>
          <w:szCs w:val="24"/>
        </w:rPr>
        <w:t>现场服务人员按照计划对现场工作终端、楼层设备、机房及机房设备等进行例行巡检。</w:t>
      </w:r>
    </w:p>
    <w:p w14:paraId="58966521">
      <w:pPr>
        <w:pStyle w:val="45"/>
        <w:snapToGrid w:val="0"/>
        <w:rPr>
          <w:rFonts w:ascii="宋体" w:hAnsi="宋体" w:cs="Times New Roman"/>
          <w:szCs w:val="24"/>
        </w:rPr>
      </w:pPr>
      <w:r>
        <w:rPr>
          <w:rFonts w:ascii="宋体" w:hAnsi="宋体" w:cs="Times New Roman"/>
          <w:szCs w:val="24"/>
        </w:rPr>
        <w:t>技术专家负责重大故障的处理，定期对运行情况进行分析，并提出整改或优化方案和建议。</w:t>
      </w:r>
    </w:p>
    <w:p w14:paraId="1CB291A9">
      <w:pPr>
        <w:pStyle w:val="4"/>
        <w:snapToGrid w:val="0"/>
        <w:spacing w:before="0" w:line="360" w:lineRule="auto"/>
        <w:rPr>
          <w:rFonts w:ascii="宋体" w:hAnsi="宋体"/>
          <w:sz w:val="24"/>
          <w:szCs w:val="24"/>
          <w:lang w:eastAsia="zh-CN"/>
        </w:rPr>
      </w:pPr>
      <w:bookmarkStart w:id="60" w:name="_Toc491637486"/>
      <w:r>
        <w:rPr>
          <w:rFonts w:hint="eastAsia" w:ascii="宋体" w:hAnsi="宋体"/>
          <w:sz w:val="24"/>
          <w:szCs w:val="24"/>
          <w:lang w:eastAsia="zh-CN"/>
        </w:rPr>
        <w:t>4</w:t>
      </w:r>
      <w:r>
        <w:rPr>
          <w:rFonts w:ascii="宋体" w:hAnsi="宋体"/>
          <w:sz w:val="24"/>
          <w:szCs w:val="24"/>
          <w:lang w:eastAsia="zh-CN"/>
        </w:rPr>
        <w:t>.3服务流程要求</w:t>
      </w:r>
      <w:bookmarkEnd w:id="60"/>
    </w:p>
    <w:p w14:paraId="098ABEBD">
      <w:pPr>
        <w:pStyle w:val="5"/>
        <w:widowControl/>
        <w:snapToGrid w:val="0"/>
        <w:spacing w:before="0" w:after="0" w:line="360" w:lineRule="auto"/>
        <w:rPr>
          <w:rFonts w:ascii="宋体" w:hAnsi="宋体" w:eastAsia="宋体"/>
          <w:sz w:val="24"/>
          <w:szCs w:val="24"/>
        </w:rPr>
      </w:pPr>
      <w:bookmarkStart w:id="61" w:name="_Toc396531639"/>
      <w:bookmarkStart w:id="62" w:name="_Toc487627407"/>
      <w:bookmarkStart w:id="63" w:name="_Toc392023969"/>
      <w:bookmarkStart w:id="64" w:name="_Toc381495037"/>
      <w:bookmarkStart w:id="65" w:name="_Toc381168036"/>
      <w:r>
        <w:rPr>
          <w:rFonts w:hint="eastAsia" w:ascii="宋体" w:hAnsi="宋体" w:eastAsia="宋体"/>
          <w:sz w:val="24"/>
          <w:szCs w:val="24"/>
        </w:rPr>
        <w:t>4</w:t>
      </w:r>
      <w:r>
        <w:rPr>
          <w:rFonts w:ascii="宋体" w:hAnsi="宋体" w:eastAsia="宋体"/>
          <w:sz w:val="24"/>
          <w:szCs w:val="24"/>
        </w:rPr>
        <w:t>.3.1主动式服务</w:t>
      </w:r>
    </w:p>
    <w:p w14:paraId="2AC410EF">
      <w:pPr>
        <w:pStyle w:val="45"/>
        <w:snapToGrid w:val="0"/>
        <w:rPr>
          <w:rFonts w:ascii="宋体" w:hAnsi="宋体" w:cs="Times New Roman"/>
          <w:szCs w:val="24"/>
        </w:rPr>
      </w:pPr>
      <w:r>
        <w:rPr>
          <w:rFonts w:ascii="宋体" w:hAnsi="宋体" w:cs="Times New Roman"/>
          <w:szCs w:val="24"/>
        </w:rPr>
        <w:t>（1）定期预防性维护服务</w:t>
      </w:r>
    </w:p>
    <w:p w14:paraId="3ECA641C">
      <w:pPr>
        <w:pStyle w:val="45"/>
        <w:snapToGrid w:val="0"/>
        <w:rPr>
          <w:rFonts w:ascii="宋体" w:hAnsi="宋体" w:cs="Times New Roman"/>
          <w:szCs w:val="24"/>
        </w:rPr>
      </w:pPr>
      <w:r>
        <w:rPr>
          <w:rFonts w:ascii="宋体" w:hAnsi="宋体" w:cs="Times New Roman"/>
          <w:szCs w:val="24"/>
        </w:rPr>
        <w:t>维护团队根据系统维护服务计划或用户要求为用户提供定期预防性维护服务。此类服务是有计划有步骤进行的，目的是为了提高系统的可使用率和高可靠性，把系统故障的可能性降低到最低。在硬件维护方面，要求维护团队工程师每两周进行一次现场例行检查，为用户维护硬件设备，并为用户替换那些虽然能够工作但不是很正常的部件，以避免系统崩溃的情况发生，防患于未然。在系统服务方面，投标方应指定预防性服务级别，安装预防性PTF软件(补丁软件)检测系统运行状况，解决系统软件问题，使用户的系统保持良好的运行状况。</w:t>
      </w:r>
    </w:p>
    <w:p w14:paraId="756F645B">
      <w:pPr>
        <w:pStyle w:val="45"/>
        <w:snapToGrid w:val="0"/>
        <w:rPr>
          <w:rFonts w:ascii="宋体" w:hAnsi="宋体" w:cs="Times New Roman"/>
          <w:szCs w:val="24"/>
        </w:rPr>
      </w:pPr>
      <w:r>
        <w:rPr>
          <w:rFonts w:ascii="宋体" w:hAnsi="宋体" w:cs="Times New Roman"/>
          <w:szCs w:val="24"/>
        </w:rPr>
        <w:t>（2）系统运行健康检查</w:t>
      </w:r>
    </w:p>
    <w:p w14:paraId="4D69DD43">
      <w:pPr>
        <w:pStyle w:val="45"/>
        <w:snapToGrid w:val="0"/>
        <w:rPr>
          <w:rFonts w:ascii="宋体" w:hAnsi="宋体" w:cs="Times New Roman"/>
          <w:szCs w:val="24"/>
        </w:rPr>
      </w:pPr>
      <w:r>
        <w:rPr>
          <w:rFonts w:ascii="宋体" w:hAnsi="宋体" w:cs="Times New Roman"/>
          <w:szCs w:val="24"/>
        </w:rPr>
        <w:t>维护团队应提供一月一次的系统运行健康检查，按计划由专家定期对主机系统性能进行诊断，根据结果出具性能诊断报告，并征得用户同意后调整系统参数，使系统始终在最佳状态下运行。对可能出现的问题提供科学预测，并采取必要的预防和补救措施，防患于未然。</w:t>
      </w:r>
    </w:p>
    <w:p w14:paraId="715A23E3">
      <w:pPr>
        <w:pStyle w:val="45"/>
        <w:snapToGrid w:val="0"/>
        <w:rPr>
          <w:rFonts w:ascii="宋体" w:hAnsi="宋体" w:cs="Times New Roman"/>
          <w:szCs w:val="24"/>
        </w:rPr>
      </w:pPr>
      <w:r>
        <w:rPr>
          <w:rFonts w:ascii="宋体" w:hAnsi="宋体" w:cs="Times New Roman"/>
          <w:szCs w:val="24"/>
        </w:rPr>
        <w:t>（3）系统运行状况分析</w:t>
      </w:r>
    </w:p>
    <w:p w14:paraId="2A1F9F6C">
      <w:pPr>
        <w:pStyle w:val="45"/>
        <w:snapToGrid w:val="0"/>
        <w:rPr>
          <w:rFonts w:ascii="宋体" w:hAnsi="宋体" w:cs="Times New Roman"/>
          <w:szCs w:val="24"/>
        </w:rPr>
      </w:pPr>
      <w:r>
        <w:rPr>
          <w:rFonts w:ascii="宋体" w:hAnsi="宋体" w:cs="Times New Roman"/>
          <w:szCs w:val="24"/>
        </w:rPr>
        <w:t>每季一次对系统的运行状况分析。提供本项目系统设备和PC服务器设备运行状态和性能的分析、评估服务，以提高系统的可靠性、可用性和整体性能。每年一次向用户提交详细的系统可用性、安全性、运行状况分析等预防性维护策略、报告和总结。</w:t>
      </w:r>
    </w:p>
    <w:p w14:paraId="1A33B1B4">
      <w:pPr>
        <w:pStyle w:val="5"/>
        <w:widowControl/>
        <w:snapToGrid w:val="0"/>
        <w:spacing w:before="0" w:after="0" w:line="360" w:lineRule="auto"/>
        <w:rPr>
          <w:rFonts w:ascii="宋体" w:hAnsi="宋体" w:eastAsia="宋体"/>
          <w:sz w:val="24"/>
          <w:szCs w:val="24"/>
        </w:rPr>
      </w:pPr>
      <w:r>
        <w:rPr>
          <w:rFonts w:hint="eastAsia" w:ascii="宋体" w:hAnsi="宋体" w:eastAsia="宋体"/>
          <w:sz w:val="24"/>
          <w:szCs w:val="24"/>
        </w:rPr>
        <w:t>4</w:t>
      </w:r>
      <w:r>
        <w:rPr>
          <w:rFonts w:ascii="宋体" w:hAnsi="宋体" w:eastAsia="宋体"/>
          <w:sz w:val="24"/>
          <w:szCs w:val="24"/>
        </w:rPr>
        <w:t>.3.2纠错性维护/维修服务</w:t>
      </w:r>
    </w:p>
    <w:p w14:paraId="4C34F419">
      <w:pPr>
        <w:snapToGrid w:val="0"/>
        <w:spacing w:line="360" w:lineRule="auto"/>
        <w:ind w:firstLine="480" w:firstLineChars="200"/>
        <w:rPr>
          <w:szCs w:val="24"/>
        </w:rPr>
      </w:pPr>
      <w:r>
        <w:rPr>
          <w:szCs w:val="24"/>
        </w:rPr>
        <w:t>维护团队应提供电话技术支持服务或到场维修服务。在部件服务方面，维护团队应及时确认故障原因，并更换故障部件，恢复系统正常运行。解决系统软件问题，恢复系统软件正常运行，作系统备份，递交系统检查报告等。</w:t>
      </w:r>
    </w:p>
    <w:bookmarkEnd w:id="61"/>
    <w:bookmarkEnd w:id="62"/>
    <w:bookmarkEnd w:id="63"/>
    <w:bookmarkEnd w:id="64"/>
    <w:bookmarkEnd w:id="65"/>
    <w:p w14:paraId="26853548">
      <w:pPr>
        <w:pStyle w:val="4"/>
        <w:snapToGrid w:val="0"/>
        <w:spacing w:before="0" w:line="360" w:lineRule="auto"/>
        <w:rPr>
          <w:rFonts w:ascii="宋体" w:hAnsi="宋体"/>
          <w:sz w:val="24"/>
          <w:szCs w:val="24"/>
          <w:lang w:eastAsia="zh-CN"/>
        </w:rPr>
      </w:pPr>
      <w:bookmarkStart w:id="66" w:name="_Toc491637487"/>
      <w:r>
        <w:rPr>
          <w:rFonts w:hint="eastAsia" w:ascii="宋体" w:hAnsi="宋体"/>
          <w:sz w:val="24"/>
          <w:szCs w:val="24"/>
          <w:lang w:eastAsia="zh-CN"/>
        </w:rPr>
        <w:t>4</w:t>
      </w:r>
      <w:r>
        <w:rPr>
          <w:rFonts w:ascii="宋体" w:hAnsi="宋体"/>
          <w:sz w:val="24"/>
          <w:szCs w:val="24"/>
          <w:lang w:eastAsia="zh-CN"/>
        </w:rPr>
        <w:t>.4服务响应要求</w:t>
      </w:r>
      <w:bookmarkEnd w:id="66"/>
    </w:p>
    <w:p w14:paraId="5F59C899">
      <w:pPr>
        <w:pStyle w:val="5"/>
        <w:widowControl/>
        <w:snapToGrid w:val="0"/>
        <w:spacing w:before="0" w:after="0" w:line="360" w:lineRule="auto"/>
        <w:rPr>
          <w:rFonts w:ascii="宋体" w:hAnsi="宋体" w:eastAsia="宋体"/>
          <w:sz w:val="24"/>
          <w:szCs w:val="24"/>
        </w:rPr>
      </w:pPr>
      <w:bookmarkStart w:id="67" w:name="_Toc231812921"/>
      <w:bookmarkStart w:id="68" w:name="_Toc260834785"/>
      <w:bookmarkStart w:id="69" w:name="_Toc222755491"/>
      <w:bookmarkStart w:id="70" w:name="_Toc222755194"/>
      <w:bookmarkStart w:id="71" w:name="_Toc212361494"/>
      <w:r>
        <w:rPr>
          <w:rFonts w:hint="eastAsia" w:ascii="宋体" w:hAnsi="宋体" w:eastAsia="宋体"/>
          <w:sz w:val="24"/>
          <w:szCs w:val="24"/>
        </w:rPr>
        <w:t>4</w:t>
      </w:r>
      <w:r>
        <w:rPr>
          <w:rFonts w:ascii="宋体" w:hAnsi="宋体" w:eastAsia="宋体"/>
          <w:sz w:val="24"/>
          <w:szCs w:val="24"/>
        </w:rPr>
        <w:t>.4.1日常服务响应时间</w:t>
      </w:r>
      <w:bookmarkEnd w:id="67"/>
      <w:bookmarkEnd w:id="68"/>
      <w:bookmarkEnd w:id="69"/>
      <w:bookmarkEnd w:id="70"/>
      <w:bookmarkEnd w:id="71"/>
    </w:p>
    <w:p w14:paraId="12716D53">
      <w:pPr>
        <w:snapToGrid w:val="0"/>
        <w:spacing w:line="360" w:lineRule="auto"/>
        <w:ind w:firstLine="480"/>
        <w:rPr>
          <w:szCs w:val="24"/>
        </w:rPr>
      </w:pPr>
      <w:r>
        <w:rPr>
          <w:szCs w:val="24"/>
        </w:rPr>
        <w:t>由于针对本项目采用的驻留现场服务方式，维护团队需指派驻</w:t>
      </w:r>
      <w:r>
        <w:rPr>
          <w:rFonts w:hint="eastAsia"/>
          <w:szCs w:val="24"/>
        </w:rPr>
        <w:t>3</w:t>
      </w:r>
      <w:r>
        <w:rPr>
          <w:szCs w:val="24"/>
        </w:rPr>
        <w:t>名资深工程师采取同步的作息时间，因此，现场服务的响应时间为及时响应。</w:t>
      </w:r>
    </w:p>
    <w:p w14:paraId="247BD788">
      <w:pPr>
        <w:pStyle w:val="5"/>
        <w:widowControl/>
        <w:snapToGrid w:val="0"/>
        <w:spacing w:before="0" w:after="0" w:line="360" w:lineRule="auto"/>
        <w:rPr>
          <w:rFonts w:ascii="宋体" w:hAnsi="宋体" w:eastAsia="宋体"/>
          <w:sz w:val="24"/>
          <w:szCs w:val="24"/>
        </w:rPr>
      </w:pPr>
      <w:bookmarkStart w:id="72" w:name="_Toc231812922"/>
      <w:bookmarkStart w:id="73" w:name="_Toc222755195"/>
      <w:bookmarkStart w:id="74" w:name="_Toc212361495"/>
      <w:bookmarkStart w:id="75" w:name="_Toc222755492"/>
      <w:bookmarkStart w:id="76" w:name="_Toc260834786"/>
      <w:r>
        <w:rPr>
          <w:rFonts w:hint="eastAsia" w:ascii="宋体" w:hAnsi="宋体" w:eastAsia="宋体"/>
          <w:sz w:val="24"/>
          <w:szCs w:val="24"/>
        </w:rPr>
        <w:t>4</w:t>
      </w:r>
      <w:r>
        <w:rPr>
          <w:rFonts w:ascii="宋体" w:hAnsi="宋体" w:eastAsia="宋体"/>
          <w:sz w:val="24"/>
          <w:szCs w:val="24"/>
        </w:rPr>
        <w:t>.4.2事故分级响应</w:t>
      </w:r>
      <w:bookmarkEnd w:id="72"/>
      <w:bookmarkEnd w:id="73"/>
      <w:bookmarkEnd w:id="74"/>
      <w:bookmarkEnd w:id="75"/>
      <w:r>
        <w:rPr>
          <w:rFonts w:ascii="宋体" w:hAnsi="宋体" w:eastAsia="宋体"/>
          <w:sz w:val="24"/>
          <w:szCs w:val="24"/>
        </w:rPr>
        <w:t>服务时间</w:t>
      </w:r>
      <w:bookmarkEnd w:id="76"/>
    </w:p>
    <w:p w14:paraId="3E082FBC">
      <w:pPr>
        <w:snapToGrid w:val="0"/>
        <w:spacing w:line="360" w:lineRule="auto"/>
        <w:ind w:firstLine="560"/>
        <w:rPr>
          <w:color w:val="000000"/>
          <w:szCs w:val="24"/>
        </w:rPr>
      </w:pPr>
      <w:r>
        <w:rPr>
          <w:color w:val="000000"/>
          <w:szCs w:val="24"/>
        </w:rPr>
        <w:t>各级故障事件的最晚响应时间为：</w:t>
      </w:r>
    </w:p>
    <w:tbl>
      <w:tblPr>
        <w:tblStyle w:val="20"/>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1980"/>
        <w:gridCol w:w="1800"/>
        <w:gridCol w:w="1800"/>
        <w:gridCol w:w="1800"/>
      </w:tblGrid>
      <w:tr w14:paraId="63CAB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Align w:val="center"/>
          </w:tcPr>
          <w:p w14:paraId="5B1C0308">
            <w:pPr>
              <w:snapToGrid w:val="0"/>
              <w:spacing w:line="360" w:lineRule="auto"/>
              <w:jc w:val="center"/>
              <w:rPr>
                <w:rFonts w:hint="eastAsia"/>
                <w:color w:val="000000"/>
              </w:rPr>
            </w:pPr>
            <w:r>
              <w:rPr>
                <w:rFonts w:hint="eastAsia"/>
                <w:color w:val="000000"/>
              </w:rPr>
              <w:t>确认时间</w:t>
            </w:r>
          </w:p>
        </w:tc>
        <w:tc>
          <w:tcPr>
            <w:tcW w:w="1980" w:type="dxa"/>
            <w:vAlign w:val="center"/>
          </w:tcPr>
          <w:p w14:paraId="5CAD2B89">
            <w:pPr>
              <w:snapToGrid w:val="0"/>
              <w:spacing w:line="360" w:lineRule="auto"/>
              <w:jc w:val="center"/>
              <w:rPr>
                <w:rFonts w:hint="eastAsia"/>
                <w:color w:val="000000"/>
              </w:rPr>
            </w:pPr>
            <w:r>
              <w:rPr>
                <w:rFonts w:hint="eastAsia"/>
                <w:color w:val="000000"/>
              </w:rPr>
              <w:t>一级故障事件</w:t>
            </w:r>
          </w:p>
        </w:tc>
        <w:tc>
          <w:tcPr>
            <w:tcW w:w="1800" w:type="dxa"/>
            <w:vAlign w:val="center"/>
          </w:tcPr>
          <w:p w14:paraId="7A6C1A9B">
            <w:pPr>
              <w:snapToGrid w:val="0"/>
              <w:spacing w:line="360" w:lineRule="auto"/>
              <w:jc w:val="center"/>
              <w:rPr>
                <w:rFonts w:hint="eastAsia"/>
                <w:color w:val="000000"/>
              </w:rPr>
            </w:pPr>
            <w:r>
              <w:rPr>
                <w:rFonts w:hint="eastAsia"/>
                <w:color w:val="000000"/>
              </w:rPr>
              <w:t>二级故障事件</w:t>
            </w:r>
          </w:p>
        </w:tc>
        <w:tc>
          <w:tcPr>
            <w:tcW w:w="1800" w:type="dxa"/>
            <w:vAlign w:val="center"/>
          </w:tcPr>
          <w:p w14:paraId="2045A578">
            <w:pPr>
              <w:snapToGrid w:val="0"/>
              <w:spacing w:line="360" w:lineRule="auto"/>
              <w:jc w:val="center"/>
              <w:rPr>
                <w:rFonts w:hint="eastAsia"/>
                <w:color w:val="000000"/>
              </w:rPr>
            </w:pPr>
            <w:r>
              <w:rPr>
                <w:rFonts w:hint="eastAsia"/>
                <w:color w:val="000000"/>
              </w:rPr>
              <w:t>三级故障事件</w:t>
            </w:r>
          </w:p>
        </w:tc>
        <w:tc>
          <w:tcPr>
            <w:tcW w:w="1800" w:type="dxa"/>
            <w:vAlign w:val="center"/>
          </w:tcPr>
          <w:p w14:paraId="2AE9BB7F">
            <w:pPr>
              <w:snapToGrid w:val="0"/>
              <w:spacing w:line="360" w:lineRule="auto"/>
              <w:jc w:val="center"/>
              <w:rPr>
                <w:rFonts w:hint="eastAsia"/>
                <w:color w:val="000000"/>
              </w:rPr>
            </w:pPr>
            <w:r>
              <w:rPr>
                <w:rFonts w:hint="eastAsia"/>
                <w:color w:val="000000"/>
              </w:rPr>
              <w:t>四级故障事件</w:t>
            </w:r>
          </w:p>
        </w:tc>
      </w:tr>
      <w:tr w14:paraId="3981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14:paraId="7289E8FD">
            <w:pPr>
              <w:snapToGrid w:val="0"/>
              <w:spacing w:line="360" w:lineRule="auto"/>
              <w:jc w:val="center"/>
              <w:rPr>
                <w:color w:val="000000"/>
              </w:rPr>
            </w:pPr>
            <w:r>
              <w:rPr>
                <w:color w:val="000000"/>
              </w:rPr>
              <w:t>1小时</w:t>
            </w:r>
          </w:p>
        </w:tc>
        <w:tc>
          <w:tcPr>
            <w:tcW w:w="1980" w:type="dxa"/>
          </w:tcPr>
          <w:p w14:paraId="2FBC162A">
            <w:pPr>
              <w:snapToGrid w:val="0"/>
              <w:spacing w:line="360" w:lineRule="auto"/>
              <w:jc w:val="center"/>
              <w:rPr>
                <w:color w:val="000000"/>
              </w:rPr>
            </w:pPr>
            <w:r>
              <w:rPr>
                <w:color w:val="000000"/>
              </w:rPr>
              <w:t>技术服务人员</w:t>
            </w:r>
          </w:p>
        </w:tc>
        <w:tc>
          <w:tcPr>
            <w:tcW w:w="1800" w:type="dxa"/>
          </w:tcPr>
          <w:p w14:paraId="5DAB2498">
            <w:pPr>
              <w:snapToGrid w:val="0"/>
              <w:spacing w:line="360" w:lineRule="auto"/>
              <w:jc w:val="center"/>
              <w:rPr>
                <w:color w:val="000000"/>
              </w:rPr>
            </w:pPr>
          </w:p>
        </w:tc>
        <w:tc>
          <w:tcPr>
            <w:tcW w:w="1800" w:type="dxa"/>
          </w:tcPr>
          <w:p w14:paraId="09A7C52C">
            <w:pPr>
              <w:snapToGrid w:val="0"/>
              <w:spacing w:line="360" w:lineRule="auto"/>
              <w:jc w:val="center"/>
              <w:rPr>
                <w:color w:val="000000"/>
              </w:rPr>
            </w:pPr>
          </w:p>
        </w:tc>
        <w:tc>
          <w:tcPr>
            <w:tcW w:w="1800" w:type="dxa"/>
          </w:tcPr>
          <w:p w14:paraId="0443D652">
            <w:pPr>
              <w:snapToGrid w:val="0"/>
              <w:spacing w:line="360" w:lineRule="auto"/>
              <w:jc w:val="center"/>
              <w:rPr>
                <w:color w:val="000000"/>
              </w:rPr>
            </w:pPr>
          </w:p>
        </w:tc>
      </w:tr>
      <w:tr w14:paraId="3A84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14:paraId="405BD87D">
            <w:pPr>
              <w:snapToGrid w:val="0"/>
              <w:spacing w:line="360" w:lineRule="auto"/>
              <w:jc w:val="center"/>
              <w:rPr>
                <w:color w:val="000000"/>
              </w:rPr>
            </w:pPr>
            <w:r>
              <w:rPr>
                <w:color w:val="000000"/>
              </w:rPr>
              <w:t>4小时</w:t>
            </w:r>
          </w:p>
        </w:tc>
        <w:tc>
          <w:tcPr>
            <w:tcW w:w="1980" w:type="dxa"/>
          </w:tcPr>
          <w:p w14:paraId="1E8D0948">
            <w:pPr>
              <w:snapToGrid w:val="0"/>
              <w:spacing w:line="360" w:lineRule="auto"/>
              <w:jc w:val="center"/>
              <w:rPr>
                <w:color w:val="000000"/>
              </w:rPr>
            </w:pPr>
            <w:r>
              <w:rPr>
                <w:color w:val="000000"/>
              </w:rPr>
              <w:t>专业工程师</w:t>
            </w:r>
          </w:p>
        </w:tc>
        <w:tc>
          <w:tcPr>
            <w:tcW w:w="1800" w:type="dxa"/>
          </w:tcPr>
          <w:p w14:paraId="23A9C8C7">
            <w:pPr>
              <w:snapToGrid w:val="0"/>
              <w:spacing w:line="360" w:lineRule="auto"/>
              <w:jc w:val="center"/>
              <w:rPr>
                <w:color w:val="000000"/>
              </w:rPr>
            </w:pPr>
            <w:r>
              <w:rPr>
                <w:color w:val="000000"/>
              </w:rPr>
              <w:t>技术服务人员</w:t>
            </w:r>
          </w:p>
        </w:tc>
        <w:tc>
          <w:tcPr>
            <w:tcW w:w="1800" w:type="dxa"/>
          </w:tcPr>
          <w:p w14:paraId="438847EB">
            <w:pPr>
              <w:snapToGrid w:val="0"/>
              <w:spacing w:line="360" w:lineRule="auto"/>
              <w:jc w:val="center"/>
              <w:rPr>
                <w:color w:val="000000"/>
              </w:rPr>
            </w:pPr>
          </w:p>
        </w:tc>
        <w:tc>
          <w:tcPr>
            <w:tcW w:w="1800" w:type="dxa"/>
          </w:tcPr>
          <w:p w14:paraId="5E3BE31A">
            <w:pPr>
              <w:snapToGrid w:val="0"/>
              <w:spacing w:line="360" w:lineRule="auto"/>
              <w:jc w:val="center"/>
              <w:rPr>
                <w:color w:val="000000"/>
              </w:rPr>
            </w:pPr>
          </w:p>
        </w:tc>
      </w:tr>
      <w:tr w14:paraId="0B0C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14:paraId="00005F38">
            <w:pPr>
              <w:snapToGrid w:val="0"/>
              <w:spacing w:line="360" w:lineRule="auto"/>
              <w:jc w:val="center"/>
              <w:rPr>
                <w:color w:val="000000"/>
              </w:rPr>
            </w:pPr>
            <w:r>
              <w:rPr>
                <w:color w:val="000000"/>
              </w:rPr>
              <w:t>24小时</w:t>
            </w:r>
          </w:p>
        </w:tc>
        <w:tc>
          <w:tcPr>
            <w:tcW w:w="1980" w:type="dxa"/>
          </w:tcPr>
          <w:p w14:paraId="29518B50">
            <w:pPr>
              <w:snapToGrid w:val="0"/>
              <w:spacing w:line="360" w:lineRule="auto"/>
              <w:jc w:val="center"/>
              <w:rPr>
                <w:color w:val="000000"/>
              </w:rPr>
            </w:pPr>
            <w:r>
              <w:rPr>
                <w:color w:val="000000"/>
              </w:rPr>
              <w:t>技术支持专家</w:t>
            </w:r>
          </w:p>
        </w:tc>
        <w:tc>
          <w:tcPr>
            <w:tcW w:w="1800" w:type="dxa"/>
          </w:tcPr>
          <w:p w14:paraId="385A36BC">
            <w:pPr>
              <w:snapToGrid w:val="0"/>
              <w:spacing w:line="360" w:lineRule="auto"/>
              <w:jc w:val="center"/>
              <w:rPr>
                <w:color w:val="000000"/>
              </w:rPr>
            </w:pPr>
            <w:r>
              <w:rPr>
                <w:color w:val="000000"/>
              </w:rPr>
              <w:t>专业工程师</w:t>
            </w:r>
          </w:p>
        </w:tc>
        <w:tc>
          <w:tcPr>
            <w:tcW w:w="1800" w:type="dxa"/>
          </w:tcPr>
          <w:p w14:paraId="77F2942C">
            <w:pPr>
              <w:snapToGrid w:val="0"/>
              <w:spacing w:line="360" w:lineRule="auto"/>
              <w:jc w:val="center"/>
              <w:rPr>
                <w:color w:val="000000"/>
              </w:rPr>
            </w:pPr>
            <w:r>
              <w:rPr>
                <w:color w:val="000000"/>
              </w:rPr>
              <w:t>技术服务人员</w:t>
            </w:r>
          </w:p>
        </w:tc>
        <w:tc>
          <w:tcPr>
            <w:tcW w:w="1800" w:type="dxa"/>
          </w:tcPr>
          <w:p w14:paraId="302B5FEF">
            <w:pPr>
              <w:snapToGrid w:val="0"/>
              <w:spacing w:line="360" w:lineRule="auto"/>
              <w:jc w:val="center"/>
              <w:rPr>
                <w:color w:val="000000"/>
              </w:rPr>
            </w:pPr>
          </w:p>
        </w:tc>
      </w:tr>
      <w:tr w14:paraId="0CA8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14:paraId="6C82ECF6">
            <w:pPr>
              <w:snapToGrid w:val="0"/>
              <w:spacing w:line="360" w:lineRule="auto"/>
              <w:jc w:val="center"/>
              <w:rPr>
                <w:color w:val="000000"/>
              </w:rPr>
            </w:pPr>
            <w:r>
              <w:rPr>
                <w:color w:val="000000"/>
              </w:rPr>
              <w:t>48小时</w:t>
            </w:r>
          </w:p>
        </w:tc>
        <w:tc>
          <w:tcPr>
            <w:tcW w:w="1980" w:type="dxa"/>
          </w:tcPr>
          <w:p w14:paraId="75C99C90">
            <w:pPr>
              <w:snapToGrid w:val="0"/>
              <w:spacing w:line="360" w:lineRule="auto"/>
              <w:jc w:val="center"/>
              <w:rPr>
                <w:color w:val="000000"/>
              </w:rPr>
            </w:pPr>
            <w:r>
              <w:rPr>
                <w:color w:val="000000"/>
              </w:rPr>
              <w:t>服务项目经理</w:t>
            </w:r>
          </w:p>
        </w:tc>
        <w:tc>
          <w:tcPr>
            <w:tcW w:w="1800" w:type="dxa"/>
          </w:tcPr>
          <w:p w14:paraId="5288429D">
            <w:pPr>
              <w:snapToGrid w:val="0"/>
              <w:spacing w:line="360" w:lineRule="auto"/>
              <w:jc w:val="center"/>
              <w:rPr>
                <w:color w:val="000000"/>
              </w:rPr>
            </w:pPr>
            <w:r>
              <w:rPr>
                <w:color w:val="000000"/>
              </w:rPr>
              <w:t>服务项目经理</w:t>
            </w:r>
          </w:p>
        </w:tc>
        <w:tc>
          <w:tcPr>
            <w:tcW w:w="1800" w:type="dxa"/>
          </w:tcPr>
          <w:p w14:paraId="50705614">
            <w:pPr>
              <w:snapToGrid w:val="0"/>
              <w:spacing w:line="360" w:lineRule="auto"/>
              <w:jc w:val="center"/>
              <w:rPr>
                <w:color w:val="000000"/>
              </w:rPr>
            </w:pPr>
            <w:r>
              <w:rPr>
                <w:color w:val="000000"/>
              </w:rPr>
              <w:t>专业工程师</w:t>
            </w:r>
          </w:p>
        </w:tc>
        <w:tc>
          <w:tcPr>
            <w:tcW w:w="1800" w:type="dxa"/>
          </w:tcPr>
          <w:p w14:paraId="00A31D54">
            <w:pPr>
              <w:snapToGrid w:val="0"/>
              <w:spacing w:line="360" w:lineRule="auto"/>
              <w:jc w:val="center"/>
              <w:rPr>
                <w:color w:val="000000"/>
              </w:rPr>
            </w:pPr>
            <w:r>
              <w:rPr>
                <w:color w:val="000000"/>
              </w:rPr>
              <w:t>技术服务人员</w:t>
            </w:r>
          </w:p>
        </w:tc>
      </w:tr>
    </w:tbl>
    <w:p w14:paraId="42E9F500">
      <w:pPr>
        <w:snapToGrid w:val="0"/>
        <w:spacing w:line="360" w:lineRule="auto"/>
        <w:ind w:firstLine="560"/>
        <w:rPr>
          <w:color w:val="000000"/>
          <w:szCs w:val="24"/>
        </w:rPr>
      </w:pPr>
      <w:r>
        <w:rPr>
          <w:color w:val="000000"/>
          <w:szCs w:val="24"/>
        </w:rPr>
        <w:t>故障事件等级划分如下：</w:t>
      </w:r>
    </w:p>
    <w:p w14:paraId="2468D376">
      <w:pPr>
        <w:numPr>
          <w:ilvl w:val="0"/>
          <w:numId w:val="15"/>
        </w:numPr>
        <w:snapToGrid w:val="0"/>
        <w:spacing w:line="360" w:lineRule="auto"/>
        <w:rPr>
          <w:color w:val="000000"/>
          <w:szCs w:val="24"/>
        </w:rPr>
      </w:pPr>
      <w:r>
        <w:rPr>
          <w:color w:val="000000"/>
          <w:szCs w:val="24"/>
        </w:rPr>
        <w:t>一级故障事件：现有的网络或系统停机，或遭到严重攻击行为或安全事件，对信息系统的业务运作有重大影响；</w:t>
      </w:r>
    </w:p>
    <w:p w14:paraId="6485188D">
      <w:pPr>
        <w:numPr>
          <w:ilvl w:val="0"/>
          <w:numId w:val="15"/>
        </w:numPr>
        <w:snapToGrid w:val="0"/>
        <w:spacing w:line="360" w:lineRule="auto"/>
        <w:rPr>
          <w:color w:val="000000"/>
          <w:szCs w:val="24"/>
        </w:rPr>
      </w:pPr>
      <w:r>
        <w:rPr>
          <w:color w:val="000000"/>
          <w:szCs w:val="24"/>
        </w:rPr>
        <w:t>二级故障事件：现有网络或系统的操作性能严重降级，或由于网络性能失常或安全事件严重影响信息系统用户业务运作；</w:t>
      </w:r>
    </w:p>
    <w:p w14:paraId="610BCC63">
      <w:pPr>
        <w:numPr>
          <w:ilvl w:val="0"/>
          <w:numId w:val="15"/>
        </w:numPr>
        <w:snapToGrid w:val="0"/>
        <w:spacing w:line="360" w:lineRule="auto"/>
        <w:rPr>
          <w:color w:val="000000"/>
          <w:szCs w:val="24"/>
        </w:rPr>
      </w:pPr>
      <w:r>
        <w:rPr>
          <w:color w:val="000000"/>
          <w:szCs w:val="24"/>
        </w:rPr>
        <w:t>三级故障事件：网络或系统的操作性能受损，安全事件（例如病毒在小范围内发作），但大部分业务运作仍可正常工作；</w:t>
      </w:r>
    </w:p>
    <w:p w14:paraId="1CACD2C6">
      <w:pPr>
        <w:numPr>
          <w:ilvl w:val="0"/>
          <w:numId w:val="15"/>
        </w:numPr>
        <w:snapToGrid w:val="0"/>
        <w:spacing w:line="360" w:lineRule="auto"/>
        <w:rPr>
          <w:color w:val="000000"/>
          <w:szCs w:val="24"/>
        </w:rPr>
      </w:pPr>
      <w:r>
        <w:rPr>
          <w:color w:val="000000"/>
          <w:szCs w:val="24"/>
        </w:rPr>
        <w:t>四级故障事件：在网络、服务器、存储、安全设备功能、安装或配置方面需要调整或优化。本级故障事件对信息系统的业务运作几乎无影响，或影响很小。</w:t>
      </w:r>
    </w:p>
    <w:p w14:paraId="2D1EC37B">
      <w:pPr>
        <w:snapToGrid w:val="0"/>
        <w:spacing w:line="360" w:lineRule="auto"/>
        <w:ind w:firstLine="560"/>
      </w:pPr>
      <w:r>
        <w:rPr>
          <w:color w:val="000000"/>
          <w:szCs w:val="24"/>
        </w:rPr>
        <w:t>依据事故重要性和紧急性的原则</w:t>
      </w:r>
      <w:r>
        <w:rPr>
          <w:szCs w:val="24"/>
        </w:rPr>
        <w:t>，每一级事故严格定义升级时间为2小时，其中在二级事故和一级事故应急处理过程中，要及时考虑替代恢复方案，尽可能在最短的时间内恢复业务系统。其中三级事故的处理，驻场服务人员在事故响应1个小时内，如果不能快速判断问题所在，可以寻求整个服务团队的支持。在一、二级事故判断中，服务人员在监控中发现问题，一方面应迅速将问题向部门领导进行反应，一方面须快速判断问题和收集事故信息，涉及到具体产品提供商或服务商内，及时告知客户协调相关厂商现场支持。为保障业务平台的正常运行，除对突发故障的应急支持外，要充分保障日常对业务系统软硬件的应急灾备恢复预案，并通过定期的演练加强应对突发事故的意识和流程。</w:t>
      </w:r>
    </w:p>
    <w:p w14:paraId="103E1F73">
      <w:pPr>
        <w:pStyle w:val="4"/>
        <w:snapToGrid w:val="0"/>
        <w:spacing w:before="0" w:line="360" w:lineRule="auto"/>
        <w:rPr>
          <w:rFonts w:ascii="宋体" w:hAnsi="宋体"/>
          <w:sz w:val="24"/>
          <w:szCs w:val="24"/>
          <w:lang w:eastAsia="zh-CN"/>
        </w:rPr>
      </w:pPr>
      <w:bookmarkStart w:id="77" w:name="_Toc491637488"/>
      <w:r>
        <w:rPr>
          <w:rFonts w:hint="eastAsia" w:ascii="宋体" w:hAnsi="宋体"/>
          <w:sz w:val="24"/>
          <w:szCs w:val="24"/>
          <w:lang w:eastAsia="zh-CN"/>
        </w:rPr>
        <w:t>4</w:t>
      </w:r>
      <w:r>
        <w:rPr>
          <w:rFonts w:ascii="宋体" w:hAnsi="宋体"/>
          <w:sz w:val="24"/>
          <w:szCs w:val="24"/>
          <w:lang w:eastAsia="zh-CN"/>
        </w:rPr>
        <w:t>.5服务报告要求</w:t>
      </w:r>
      <w:bookmarkEnd w:id="77"/>
    </w:p>
    <w:p w14:paraId="3A49497B">
      <w:pPr>
        <w:snapToGrid w:val="0"/>
        <w:spacing w:line="360" w:lineRule="auto"/>
        <w:ind w:firstLine="480"/>
        <w:rPr>
          <w:szCs w:val="24"/>
        </w:rPr>
      </w:pPr>
      <w:r>
        <w:rPr>
          <w:szCs w:val="24"/>
        </w:rPr>
        <w:t>维护团队定期提供服务报告，服务期结束前应提供服务年报，并对每一次重大故障和问题的原因、解决方法、完成情况等形成专门报告，及时报送用户部门和服务管理部门。在运维服务过程中将产生不限于以下的记录和报告：</w:t>
      </w:r>
    </w:p>
    <w:p w14:paraId="2894D132">
      <w:pPr>
        <w:numPr>
          <w:ilvl w:val="0"/>
          <w:numId w:val="16"/>
        </w:numPr>
        <w:snapToGrid w:val="0"/>
        <w:spacing w:line="360" w:lineRule="auto"/>
        <w:rPr>
          <w:szCs w:val="24"/>
        </w:rPr>
      </w:pPr>
      <w:r>
        <w:rPr>
          <w:szCs w:val="24"/>
        </w:rPr>
        <w:t>日常维护报告</w:t>
      </w:r>
    </w:p>
    <w:p w14:paraId="702A3903">
      <w:pPr>
        <w:numPr>
          <w:ilvl w:val="0"/>
          <w:numId w:val="16"/>
        </w:numPr>
        <w:snapToGrid w:val="0"/>
        <w:spacing w:line="360" w:lineRule="auto"/>
        <w:rPr>
          <w:szCs w:val="24"/>
        </w:rPr>
      </w:pPr>
      <w:r>
        <w:rPr>
          <w:szCs w:val="24"/>
        </w:rPr>
        <w:t>系统巡检日志</w:t>
      </w:r>
    </w:p>
    <w:p w14:paraId="1EDA1DBB">
      <w:pPr>
        <w:numPr>
          <w:ilvl w:val="0"/>
          <w:numId w:val="16"/>
        </w:numPr>
        <w:snapToGrid w:val="0"/>
        <w:spacing w:line="360" w:lineRule="auto"/>
        <w:rPr>
          <w:szCs w:val="24"/>
        </w:rPr>
      </w:pPr>
      <w:r>
        <w:rPr>
          <w:szCs w:val="24"/>
        </w:rPr>
        <w:t>系统维护记录</w:t>
      </w:r>
    </w:p>
    <w:p w14:paraId="30B3494E">
      <w:pPr>
        <w:numPr>
          <w:ilvl w:val="0"/>
          <w:numId w:val="16"/>
        </w:numPr>
        <w:snapToGrid w:val="0"/>
        <w:spacing w:line="360" w:lineRule="auto"/>
        <w:rPr>
          <w:szCs w:val="24"/>
        </w:rPr>
      </w:pPr>
      <w:r>
        <w:rPr>
          <w:szCs w:val="24"/>
        </w:rPr>
        <w:t>系统优化记录</w:t>
      </w:r>
    </w:p>
    <w:p w14:paraId="690FFBEB">
      <w:pPr>
        <w:numPr>
          <w:ilvl w:val="0"/>
          <w:numId w:val="16"/>
        </w:numPr>
        <w:snapToGrid w:val="0"/>
        <w:spacing w:line="360" w:lineRule="auto"/>
        <w:rPr>
          <w:szCs w:val="24"/>
        </w:rPr>
      </w:pPr>
      <w:r>
        <w:rPr>
          <w:szCs w:val="24"/>
        </w:rPr>
        <w:t>各类优化的管理制度</w:t>
      </w:r>
    </w:p>
    <w:p w14:paraId="25404442">
      <w:pPr>
        <w:numPr>
          <w:ilvl w:val="0"/>
          <w:numId w:val="16"/>
        </w:numPr>
        <w:snapToGrid w:val="0"/>
        <w:spacing w:line="360" w:lineRule="auto"/>
        <w:rPr>
          <w:szCs w:val="24"/>
        </w:rPr>
      </w:pPr>
      <w:r>
        <w:rPr>
          <w:szCs w:val="24"/>
        </w:rPr>
        <w:t>故障分析处理记录</w:t>
      </w:r>
    </w:p>
    <w:p w14:paraId="2D87624F">
      <w:pPr>
        <w:numPr>
          <w:ilvl w:val="0"/>
          <w:numId w:val="16"/>
        </w:numPr>
        <w:snapToGrid w:val="0"/>
        <w:spacing w:line="360" w:lineRule="auto"/>
        <w:rPr>
          <w:szCs w:val="24"/>
        </w:rPr>
      </w:pPr>
      <w:r>
        <w:rPr>
          <w:szCs w:val="24"/>
        </w:rPr>
        <w:t>故障整改方案和建议</w:t>
      </w:r>
    </w:p>
    <w:p w14:paraId="3DD32B5E">
      <w:pPr>
        <w:numPr>
          <w:ilvl w:val="0"/>
          <w:numId w:val="16"/>
        </w:numPr>
        <w:snapToGrid w:val="0"/>
        <w:spacing w:line="360" w:lineRule="auto"/>
        <w:rPr>
          <w:szCs w:val="24"/>
        </w:rPr>
      </w:pPr>
      <w:r>
        <w:rPr>
          <w:szCs w:val="24"/>
        </w:rPr>
        <w:t>交接班登记表</w:t>
      </w:r>
    </w:p>
    <w:p w14:paraId="6933979A">
      <w:pPr>
        <w:numPr>
          <w:ilvl w:val="0"/>
          <w:numId w:val="16"/>
        </w:numPr>
        <w:snapToGrid w:val="0"/>
        <w:spacing w:line="360" w:lineRule="auto"/>
        <w:rPr>
          <w:szCs w:val="24"/>
        </w:rPr>
      </w:pPr>
      <w:r>
        <w:rPr>
          <w:szCs w:val="24"/>
        </w:rPr>
        <w:t>重大故障记录报告</w:t>
      </w:r>
    </w:p>
    <w:p w14:paraId="7B4BE2B5">
      <w:pPr>
        <w:pStyle w:val="4"/>
        <w:snapToGrid w:val="0"/>
        <w:spacing w:before="0" w:line="360" w:lineRule="auto"/>
        <w:rPr>
          <w:rFonts w:ascii="宋体" w:hAnsi="宋体"/>
          <w:sz w:val="24"/>
          <w:szCs w:val="24"/>
          <w:lang w:eastAsia="zh-CN"/>
        </w:rPr>
      </w:pPr>
      <w:bookmarkStart w:id="78" w:name="_Toc231812905"/>
      <w:bookmarkStart w:id="79" w:name="_Toc222755475"/>
      <w:bookmarkStart w:id="80" w:name="_Toc222755178"/>
      <w:bookmarkStart w:id="81" w:name="_Toc260834777"/>
      <w:bookmarkStart w:id="82" w:name="_Toc491637489"/>
      <w:r>
        <w:rPr>
          <w:rFonts w:hint="eastAsia" w:ascii="宋体" w:hAnsi="宋体"/>
          <w:sz w:val="24"/>
          <w:szCs w:val="24"/>
          <w:lang w:eastAsia="zh-CN"/>
        </w:rPr>
        <w:t>4</w:t>
      </w:r>
      <w:r>
        <w:rPr>
          <w:rFonts w:ascii="宋体" w:hAnsi="宋体"/>
          <w:sz w:val="24"/>
          <w:szCs w:val="24"/>
          <w:lang w:eastAsia="zh-CN"/>
        </w:rPr>
        <w:t>.6运维保障资源库</w:t>
      </w:r>
      <w:bookmarkEnd w:id="78"/>
      <w:bookmarkEnd w:id="79"/>
      <w:bookmarkEnd w:id="80"/>
      <w:bookmarkEnd w:id="81"/>
      <w:r>
        <w:rPr>
          <w:rFonts w:ascii="宋体" w:hAnsi="宋体"/>
          <w:sz w:val="24"/>
          <w:szCs w:val="24"/>
          <w:lang w:eastAsia="zh-CN"/>
        </w:rPr>
        <w:t>建设要求</w:t>
      </w:r>
      <w:bookmarkEnd w:id="82"/>
    </w:p>
    <w:p w14:paraId="29452BF2">
      <w:pPr>
        <w:snapToGrid w:val="0"/>
        <w:spacing w:line="360" w:lineRule="auto"/>
        <w:ind w:firstLine="480"/>
        <w:rPr>
          <w:szCs w:val="24"/>
        </w:rPr>
      </w:pPr>
      <w:r>
        <w:rPr>
          <w:szCs w:val="24"/>
        </w:rPr>
        <w:t>在运维工作开展前期，把有助于用户运维的相关资料进行收集整理，以确保在实际运维过程中不会由于缺少沟通或者遗漏部分环节导致的问题处理延迟，具体保障资源如下：</w:t>
      </w:r>
    </w:p>
    <w:p w14:paraId="5DB3B5DC">
      <w:pPr>
        <w:numPr>
          <w:ilvl w:val="0"/>
          <w:numId w:val="17"/>
        </w:numPr>
        <w:snapToGrid w:val="0"/>
        <w:spacing w:line="360" w:lineRule="auto"/>
        <w:rPr>
          <w:szCs w:val="24"/>
        </w:rPr>
      </w:pPr>
      <w:r>
        <w:rPr>
          <w:szCs w:val="24"/>
        </w:rPr>
        <w:t>机房设备相关资料收集：</w:t>
      </w:r>
    </w:p>
    <w:p w14:paraId="525495AF">
      <w:pPr>
        <w:snapToGrid w:val="0"/>
        <w:spacing w:line="360" w:lineRule="auto"/>
        <w:ind w:firstLine="480"/>
        <w:rPr>
          <w:szCs w:val="24"/>
        </w:rPr>
      </w:pPr>
      <w:r>
        <w:rPr>
          <w:szCs w:val="24"/>
        </w:rPr>
        <w:t>整理各设备相关管理人员联系方式、设备物理位置等，书面文档与电子文档相结合，以确保出现设备故障或需要远程支持时能在第一时间联系到具体负责人，及早完成设备故障处理工作。</w:t>
      </w:r>
    </w:p>
    <w:p w14:paraId="11FF2F79">
      <w:pPr>
        <w:numPr>
          <w:ilvl w:val="0"/>
          <w:numId w:val="17"/>
        </w:numPr>
        <w:snapToGrid w:val="0"/>
        <w:spacing w:line="360" w:lineRule="auto"/>
        <w:rPr>
          <w:szCs w:val="24"/>
        </w:rPr>
      </w:pPr>
      <w:r>
        <w:rPr>
          <w:szCs w:val="24"/>
        </w:rPr>
        <w:t>设备操作文档收集：</w:t>
      </w:r>
    </w:p>
    <w:p w14:paraId="05CCE0B8">
      <w:pPr>
        <w:snapToGrid w:val="0"/>
        <w:spacing w:line="360" w:lineRule="auto"/>
        <w:ind w:firstLine="480"/>
        <w:rPr>
          <w:szCs w:val="24"/>
        </w:rPr>
      </w:pPr>
      <w:r>
        <w:rPr>
          <w:szCs w:val="24"/>
        </w:rPr>
        <w:t>整理设备有关的操作文档，并整理成册，书面文档与电子文档相结合，辅助工程师处理相关问题。</w:t>
      </w:r>
    </w:p>
    <w:p w14:paraId="1FD5A952">
      <w:pPr>
        <w:numPr>
          <w:ilvl w:val="0"/>
          <w:numId w:val="17"/>
        </w:numPr>
        <w:snapToGrid w:val="0"/>
        <w:spacing w:line="360" w:lineRule="auto"/>
        <w:rPr>
          <w:szCs w:val="24"/>
        </w:rPr>
      </w:pPr>
      <w:r>
        <w:rPr>
          <w:szCs w:val="24"/>
        </w:rPr>
        <w:t>设备配置库整理汇总：</w:t>
      </w:r>
    </w:p>
    <w:p w14:paraId="62CD6449">
      <w:pPr>
        <w:snapToGrid w:val="0"/>
        <w:spacing w:line="360" w:lineRule="auto"/>
        <w:ind w:firstLine="480"/>
        <w:rPr>
          <w:rFonts w:hint="eastAsia"/>
          <w:szCs w:val="24"/>
        </w:rPr>
      </w:pPr>
      <w:r>
        <w:rPr>
          <w:szCs w:val="24"/>
        </w:rPr>
        <w:t>整理所有设备原始配置资料，整理入库，且在修改设备配置后及时对录入的数据进行更新，以确保设备配置的准确性及安全性。</w:t>
      </w:r>
    </w:p>
    <w:p w14:paraId="7C8D38E1">
      <w:pPr>
        <w:numPr>
          <w:ilvl w:val="0"/>
          <w:numId w:val="17"/>
        </w:numPr>
        <w:snapToGrid w:val="0"/>
        <w:spacing w:line="360" w:lineRule="auto"/>
        <w:rPr>
          <w:szCs w:val="24"/>
        </w:rPr>
      </w:pPr>
      <w:r>
        <w:rPr>
          <w:rFonts w:hint="eastAsia"/>
          <w:szCs w:val="24"/>
        </w:rPr>
        <w:t>运维知识库的建立和维护</w:t>
      </w:r>
      <w:r>
        <w:rPr>
          <w:szCs w:val="24"/>
        </w:rPr>
        <w:t>：</w:t>
      </w:r>
    </w:p>
    <w:p w14:paraId="50CC1350">
      <w:pPr>
        <w:snapToGrid w:val="0"/>
        <w:spacing w:line="360" w:lineRule="auto"/>
        <w:ind w:firstLine="480"/>
        <w:rPr>
          <w:szCs w:val="24"/>
        </w:rPr>
      </w:pPr>
      <w:r>
        <w:rPr>
          <w:rFonts w:hint="eastAsia"/>
          <w:szCs w:val="24"/>
        </w:rPr>
        <w:t>收集维护过程中出现的各类资料，进行分类整理入库，为维护工作提供知识库。</w:t>
      </w:r>
    </w:p>
    <w:p w14:paraId="400DBC67">
      <w:pPr>
        <w:pStyle w:val="4"/>
        <w:snapToGrid w:val="0"/>
        <w:spacing w:before="0" w:line="360" w:lineRule="auto"/>
        <w:rPr>
          <w:rFonts w:ascii="宋体" w:hAnsi="宋体"/>
          <w:sz w:val="24"/>
          <w:szCs w:val="24"/>
          <w:lang w:eastAsia="zh-CN"/>
        </w:rPr>
      </w:pPr>
      <w:bookmarkStart w:id="83" w:name="_Toc491637490"/>
      <w:r>
        <w:rPr>
          <w:rFonts w:hint="eastAsia" w:ascii="宋体" w:hAnsi="宋体"/>
          <w:sz w:val="24"/>
          <w:szCs w:val="24"/>
          <w:lang w:eastAsia="zh-CN"/>
        </w:rPr>
        <w:t>4</w:t>
      </w:r>
      <w:r>
        <w:rPr>
          <w:rFonts w:ascii="宋体" w:hAnsi="宋体"/>
          <w:sz w:val="24"/>
          <w:szCs w:val="24"/>
          <w:lang w:eastAsia="zh-CN"/>
        </w:rPr>
        <w:t>.7项目管理要求</w:t>
      </w:r>
      <w:bookmarkEnd w:id="83"/>
    </w:p>
    <w:p w14:paraId="6A019B2D">
      <w:pPr>
        <w:snapToGrid w:val="0"/>
        <w:spacing w:line="360" w:lineRule="auto"/>
        <w:ind w:firstLine="480" w:firstLineChars="200"/>
        <w:rPr>
          <w:szCs w:val="24"/>
        </w:rPr>
      </w:pPr>
      <w:r>
        <w:rPr>
          <w:szCs w:val="24"/>
        </w:rPr>
        <w:t>维护团队应派遣一名具有专业知识的资深管理人员负责本项目的项目管理，统筹相关工作，项目监督与情况汇报，控制工作质量和预算，执行变更和应急情况管理，并根据实际状况调整服务方人员安排，以保证此项目的正常高效运作。</w:t>
      </w:r>
    </w:p>
    <w:p w14:paraId="5AAAEC6E">
      <w:pPr>
        <w:pStyle w:val="4"/>
        <w:snapToGrid w:val="0"/>
        <w:spacing w:before="0" w:line="360" w:lineRule="auto"/>
        <w:rPr>
          <w:rFonts w:ascii="宋体" w:hAnsi="宋体"/>
          <w:sz w:val="24"/>
          <w:szCs w:val="24"/>
          <w:lang w:eastAsia="zh-CN"/>
        </w:rPr>
      </w:pPr>
      <w:bookmarkStart w:id="84" w:name="_Toc491637491"/>
      <w:r>
        <w:rPr>
          <w:rFonts w:hint="eastAsia" w:ascii="宋体" w:hAnsi="宋体"/>
          <w:sz w:val="24"/>
          <w:szCs w:val="24"/>
          <w:lang w:eastAsia="zh-CN"/>
        </w:rPr>
        <w:t>4</w:t>
      </w:r>
      <w:r>
        <w:rPr>
          <w:rFonts w:ascii="宋体" w:hAnsi="宋体"/>
          <w:sz w:val="24"/>
          <w:szCs w:val="24"/>
          <w:lang w:eastAsia="zh-CN"/>
        </w:rPr>
        <w:t>.8质量管理要求</w:t>
      </w:r>
      <w:bookmarkEnd w:id="84"/>
    </w:p>
    <w:p w14:paraId="6A3D250E">
      <w:pPr>
        <w:snapToGrid w:val="0"/>
        <w:spacing w:line="360" w:lineRule="auto"/>
        <w:ind w:firstLine="480" w:firstLineChars="200"/>
        <w:rPr>
          <w:szCs w:val="24"/>
        </w:rPr>
      </w:pPr>
      <w:r>
        <w:rPr>
          <w:szCs w:val="24"/>
        </w:rPr>
        <w:t>维护团队应根据本项目要求提出服务质量管理及监控具体措施，并对所提供的服务质量和标准做出明确可量化的承诺。</w:t>
      </w:r>
    </w:p>
    <w:p w14:paraId="46C375E8">
      <w:pPr>
        <w:pStyle w:val="4"/>
        <w:snapToGrid w:val="0"/>
        <w:spacing w:before="0" w:line="360" w:lineRule="auto"/>
        <w:rPr>
          <w:rFonts w:ascii="宋体" w:hAnsi="宋体"/>
          <w:sz w:val="24"/>
          <w:szCs w:val="24"/>
          <w:lang w:eastAsia="zh-CN"/>
        </w:rPr>
      </w:pPr>
      <w:bookmarkStart w:id="85" w:name="_Toc491637492"/>
      <w:r>
        <w:rPr>
          <w:rFonts w:hint="eastAsia" w:ascii="宋体" w:hAnsi="宋体"/>
          <w:sz w:val="24"/>
          <w:szCs w:val="24"/>
          <w:lang w:eastAsia="zh-CN"/>
        </w:rPr>
        <w:t>4</w:t>
      </w:r>
      <w:r>
        <w:rPr>
          <w:rFonts w:ascii="宋体" w:hAnsi="宋体"/>
          <w:sz w:val="24"/>
          <w:szCs w:val="24"/>
          <w:lang w:eastAsia="zh-CN"/>
        </w:rPr>
        <w:t>.9技术交流及培训</w:t>
      </w:r>
      <w:bookmarkEnd w:id="85"/>
    </w:p>
    <w:p w14:paraId="538F2DBB">
      <w:pPr>
        <w:snapToGrid w:val="0"/>
        <w:spacing w:line="360" w:lineRule="auto"/>
        <w:ind w:firstLine="480" w:firstLineChars="200"/>
        <w:rPr>
          <w:szCs w:val="24"/>
        </w:rPr>
      </w:pPr>
      <w:r>
        <w:rPr>
          <w:szCs w:val="24"/>
        </w:rPr>
        <w:t>维护团队应提供必须的服务技能培训，并对相关技术问题进行充分交流，以提高</w:t>
      </w:r>
      <w:r>
        <w:rPr>
          <w:rFonts w:hint="eastAsia"/>
          <w:szCs w:val="24"/>
        </w:rPr>
        <w:t>用户技术</w:t>
      </w:r>
      <w:r>
        <w:rPr>
          <w:szCs w:val="24"/>
        </w:rPr>
        <w:t>水平，</w:t>
      </w:r>
      <w:r>
        <w:rPr>
          <w:rFonts w:hint="eastAsia"/>
          <w:szCs w:val="24"/>
        </w:rPr>
        <w:t>使用户能熟练使用现有系统</w:t>
      </w:r>
      <w:r>
        <w:rPr>
          <w:szCs w:val="24"/>
        </w:rPr>
        <w:t>。</w:t>
      </w:r>
      <w:r>
        <w:rPr>
          <w:rFonts w:hint="eastAsia"/>
          <w:szCs w:val="24"/>
        </w:rPr>
        <w:t>培训</w:t>
      </w:r>
      <w:r>
        <w:rPr>
          <w:szCs w:val="24"/>
        </w:rPr>
        <w:t>包括不定期或面对面培训，</w:t>
      </w:r>
      <w:r>
        <w:rPr>
          <w:rFonts w:hint="eastAsia"/>
          <w:szCs w:val="24"/>
        </w:rPr>
        <w:t>并提供</w:t>
      </w:r>
      <w:r>
        <w:rPr>
          <w:szCs w:val="24"/>
        </w:rPr>
        <w:t>对部分用户简单故障排除方法培训。</w:t>
      </w:r>
      <w:bookmarkEnd w:id="26"/>
      <w:bookmarkEnd w:id="27"/>
      <w:bookmarkEnd w:id="28"/>
      <w:bookmarkEnd w:id="29"/>
    </w:p>
    <w:p w14:paraId="36DA40B7">
      <w:pPr>
        <w:pStyle w:val="3"/>
        <w:tabs>
          <w:tab w:val="left" w:pos="576"/>
        </w:tabs>
        <w:snapToGrid w:val="0"/>
        <w:spacing w:before="0" w:after="0" w:line="360" w:lineRule="auto"/>
        <w:rPr>
          <w:rFonts w:ascii="宋体" w:hAnsi="宋体" w:eastAsia="宋体"/>
          <w:sz w:val="24"/>
          <w:szCs w:val="24"/>
        </w:rPr>
      </w:pPr>
      <w:bookmarkStart w:id="86" w:name="_Toc491637493"/>
      <w:r>
        <w:rPr>
          <w:rFonts w:hint="eastAsia" w:ascii="宋体" w:hAnsi="宋体" w:eastAsia="宋体"/>
          <w:sz w:val="24"/>
          <w:szCs w:val="24"/>
        </w:rPr>
        <w:t>5</w:t>
      </w:r>
      <w:r>
        <w:rPr>
          <w:rFonts w:ascii="宋体" w:hAnsi="宋体" w:eastAsia="宋体"/>
          <w:sz w:val="24"/>
          <w:szCs w:val="24"/>
        </w:rPr>
        <w:t>经费预算</w:t>
      </w:r>
      <w:bookmarkEnd w:id="86"/>
    </w:p>
    <w:p w14:paraId="6DF187E4">
      <w:pPr>
        <w:snapToGrid w:val="0"/>
        <w:spacing w:line="360" w:lineRule="auto"/>
        <w:ind w:firstLine="480" w:firstLineChars="200"/>
        <w:rPr>
          <w:rFonts w:hint="eastAsia"/>
          <w:szCs w:val="24"/>
        </w:rPr>
      </w:pPr>
      <w:r>
        <w:rPr>
          <w:szCs w:val="24"/>
        </w:rPr>
        <w:t>项目预算金额为xx万元</w:t>
      </w:r>
      <w:r>
        <w:rPr>
          <w:rFonts w:hint="eastAsia"/>
          <w:szCs w:val="24"/>
        </w:rPr>
        <w:t>。</w:t>
      </w:r>
    </w:p>
    <w:tbl>
      <w:tblPr>
        <w:tblStyle w:val="20"/>
        <w:tblW w:w="9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841"/>
        <w:gridCol w:w="4941"/>
        <w:gridCol w:w="735"/>
        <w:gridCol w:w="2803"/>
      </w:tblGrid>
      <w:tr w14:paraId="1129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577" w:type="dxa"/>
            <w:shd w:val="clear" w:color="auto" w:fill="auto"/>
            <w:vAlign w:val="center"/>
          </w:tcPr>
          <w:p w14:paraId="65F726BE">
            <w:pPr>
              <w:widowControl/>
              <w:adjustRightInd w:val="0"/>
              <w:snapToGrid w:val="0"/>
              <w:jc w:val="center"/>
              <w:rPr>
                <w:rFonts w:hint="eastAsia"/>
                <w:bCs/>
                <w:kern w:val="0"/>
                <w:szCs w:val="24"/>
              </w:rPr>
            </w:pPr>
            <w:r>
              <w:rPr>
                <w:rFonts w:hint="eastAsia"/>
                <w:bCs/>
                <w:kern w:val="0"/>
                <w:szCs w:val="24"/>
              </w:rPr>
              <w:t>序号</w:t>
            </w:r>
          </w:p>
        </w:tc>
        <w:tc>
          <w:tcPr>
            <w:tcW w:w="841" w:type="dxa"/>
            <w:shd w:val="clear" w:color="auto" w:fill="auto"/>
            <w:vAlign w:val="center"/>
          </w:tcPr>
          <w:p w14:paraId="55963D09">
            <w:pPr>
              <w:widowControl/>
              <w:adjustRightInd w:val="0"/>
              <w:snapToGrid w:val="0"/>
              <w:jc w:val="center"/>
              <w:rPr>
                <w:rFonts w:hint="eastAsia"/>
                <w:bCs/>
                <w:kern w:val="0"/>
                <w:szCs w:val="24"/>
              </w:rPr>
            </w:pPr>
            <w:r>
              <w:rPr>
                <w:rFonts w:hint="eastAsia"/>
                <w:bCs/>
                <w:kern w:val="0"/>
                <w:szCs w:val="24"/>
              </w:rPr>
              <w:t>项目</w:t>
            </w:r>
          </w:p>
        </w:tc>
        <w:tc>
          <w:tcPr>
            <w:tcW w:w="4941" w:type="dxa"/>
            <w:shd w:val="clear" w:color="auto" w:fill="auto"/>
            <w:vAlign w:val="center"/>
          </w:tcPr>
          <w:p w14:paraId="7FB05F54">
            <w:pPr>
              <w:widowControl/>
              <w:adjustRightInd w:val="0"/>
              <w:snapToGrid w:val="0"/>
              <w:jc w:val="center"/>
              <w:rPr>
                <w:rFonts w:hint="eastAsia"/>
                <w:bCs/>
                <w:kern w:val="0"/>
                <w:szCs w:val="24"/>
              </w:rPr>
            </w:pPr>
            <w:r>
              <w:rPr>
                <w:rFonts w:hint="eastAsia"/>
                <w:bCs/>
                <w:kern w:val="0"/>
                <w:szCs w:val="24"/>
              </w:rPr>
              <w:t>内容描述</w:t>
            </w:r>
          </w:p>
        </w:tc>
        <w:tc>
          <w:tcPr>
            <w:tcW w:w="735" w:type="dxa"/>
            <w:shd w:val="clear" w:color="auto" w:fill="auto"/>
            <w:vAlign w:val="center"/>
          </w:tcPr>
          <w:p w14:paraId="2C460A49">
            <w:pPr>
              <w:widowControl/>
              <w:adjustRightInd w:val="0"/>
              <w:snapToGrid w:val="0"/>
              <w:jc w:val="center"/>
              <w:rPr>
                <w:rFonts w:hint="eastAsia"/>
                <w:bCs/>
                <w:kern w:val="0"/>
                <w:szCs w:val="24"/>
              </w:rPr>
            </w:pPr>
            <w:r>
              <w:rPr>
                <w:rFonts w:hint="eastAsia"/>
                <w:bCs/>
                <w:kern w:val="0"/>
                <w:szCs w:val="24"/>
              </w:rPr>
              <w:t>小计</w:t>
            </w:r>
          </w:p>
          <w:p w14:paraId="1605543C">
            <w:pPr>
              <w:widowControl/>
              <w:adjustRightInd w:val="0"/>
              <w:snapToGrid w:val="0"/>
              <w:jc w:val="center"/>
              <w:rPr>
                <w:rFonts w:hint="eastAsia"/>
                <w:bCs/>
                <w:kern w:val="0"/>
                <w:szCs w:val="24"/>
              </w:rPr>
            </w:pPr>
            <w:r>
              <w:rPr>
                <w:rFonts w:hint="eastAsia"/>
                <w:bCs/>
                <w:kern w:val="0"/>
                <w:szCs w:val="24"/>
              </w:rPr>
              <w:t>(万元)</w:t>
            </w:r>
          </w:p>
        </w:tc>
        <w:tc>
          <w:tcPr>
            <w:tcW w:w="2803" w:type="dxa"/>
            <w:shd w:val="clear" w:color="auto" w:fill="auto"/>
            <w:vAlign w:val="center"/>
          </w:tcPr>
          <w:p w14:paraId="657D40BC">
            <w:pPr>
              <w:widowControl/>
              <w:adjustRightInd w:val="0"/>
              <w:snapToGrid w:val="0"/>
              <w:jc w:val="center"/>
              <w:rPr>
                <w:rFonts w:hint="eastAsia"/>
                <w:bCs/>
                <w:kern w:val="0"/>
                <w:szCs w:val="24"/>
              </w:rPr>
            </w:pPr>
            <w:r>
              <w:rPr>
                <w:rFonts w:hint="eastAsia"/>
                <w:bCs/>
                <w:kern w:val="0"/>
                <w:szCs w:val="24"/>
              </w:rPr>
              <w:t>备注</w:t>
            </w:r>
          </w:p>
        </w:tc>
      </w:tr>
      <w:tr w14:paraId="0950C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restart"/>
            <w:shd w:val="clear" w:color="000000" w:fill="FFFFFF"/>
            <w:vAlign w:val="center"/>
          </w:tcPr>
          <w:p w14:paraId="7AC7581A">
            <w:pPr>
              <w:widowControl/>
              <w:numPr>
                <w:ilvl w:val="0"/>
                <w:numId w:val="18"/>
              </w:numPr>
              <w:adjustRightInd w:val="0"/>
              <w:snapToGrid w:val="0"/>
              <w:spacing w:line="360" w:lineRule="auto"/>
              <w:jc w:val="center"/>
              <w:rPr>
                <w:kern w:val="0"/>
                <w:szCs w:val="24"/>
              </w:rPr>
            </w:pPr>
          </w:p>
        </w:tc>
        <w:tc>
          <w:tcPr>
            <w:tcW w:w="841" w:type="dxa"/>
            <w:vMerge w:val="restart"/>
            <w:shd w:val="clear" w:color="000000" w:fill="FFFFFF"/>
            <w:vAlign w:val="center"/>
          </w:tcPr>
          <w:p w14:paraId="4C8BE4FD">
            <w:pPr>
              <w:widowControl/>
              <w:adjustRightInd w:val="0"/>
              <w:snapToGrid w:val="0"/>
              <w:jc w:val="center"/>
              <w:rPr>
                <w:rFonts w:hint="eastAsia"/>
                <w:kern w:val="0"/>
                <w:szCs w:val="24"/>
              </w:rPr>
            </w:pPr>
            <w:r>
              <w:rPr>
                <w:rFonts w:hint="eastAsia"/>
                <w:kern w:val="0"/>
                <w:szCs w:val="24"/>
              </w:rPr>
              <w:t>日常维护</w:t>
            </w:r>
          </w:p>
        </w:tc>
        <w:tc>
          <w:tcPr>
            <w:tcW w:w="4941" w:type="dxa"/>
            <w:shd w:val="clear" w:color="000000" w:fill="FFFFFF"/>
            <w:vAlign w:val="center"/>
          </w:tcPr>
          <w:p w14:paraId="2DDCAE61">
            <w:pPr>
              <w:widowControl/>
              <w:adjustRightInd w:val="0"/>
              <w:snapToGrid w:val="0"/>
              <w:rPr>
                <w:rFonts w:hint="eastAsia"/>
                <w:kern w:val="0"/>
                <w:szCs w:val="24"/>
              </w:rPr>
            </w:pPr>
            <w:r>
              <w:rPr>
                <w:rFonts w:hint="eastAsia"/>
                <w:kern w:val="0"/>
                <w:szCs w:val="24"/>
              </w:rPr>
              <w:t>机房管理：</w:t>
            </w:r>
            <w:r>
              <w:rPr>
                <w:kern w:val="0"/>
                <w:szCs w:val="24"/>
              </w:rPr>
              <w:t>服务器、存储、网络、安全设备及数据库软件、中间件等基础支撑软硬件设施运行监测、定期检查、故障处理、系统备份</w:t>
            </w:r>
            <w:r>
              <w:rPr>
                <w:rFonts w:hint="eastAsia"/>
                <w:kern w:val="0"/>
                <w:szCs w:val="24"/>
              </w:rPr>
              <w:t>；</w:t>
            </w:r>
          </w:p>
        </w:tc>
        <w:tc>
          <w:tcPr>
            <w:tcW w:w="735" w:type="dxa"/>
            <w:vMerge w:val="restart"/>
            <w:shd w:val="clear" w:color="000000" w:fill="FFFFFF"/>
            <w:vAlign w:val="center"/>
          </w:tcPr>
          <w:p w14:paraId="061A8B5F">
            <w:pPr>
              <w:widowControl/>
              <w:adjustRightInd w:val="0"/>
              <w:snapToGrid w:val="0"/>
              <w:jc w:val="center"/>
              <w:rPr>
                <w:kern w:val="0"/>
                <w:szCs w:val="24"/>
              </w:rPr>
            </w:pPr>
          </w:p>
        </w:tc>
        <w:tc>
          <w:tcPr>
            <w:tcW w:w="2803" w:type="dxa"/>
            <w:vMerge w:val="restart"/>
            <w:shd w:val="clear" w:color="000000" w:fill="FFFFFF"/>
            <w:vAlign w:val="center"/>
          </w:tcPr>
          <w:p w14:paraId="43615D9B">
            <w:pPr>
              <w:widowControl/>
              <w:adjustRightInd w:val="0"/>
              <w:snapToGrid w:val="0"/>
              <w:rPr>
                <w:rFonts w:hint="eastAsia"/>
                <w:b/>
                <w:kern w:val="0"/>
                <w:szCs w:val="24"/>
              </w:rPr>
            </w:pPr>
          </w:p>
        </w:tc>
      </w:tr>
      <w:tr w14:paraId="6F7F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7C3883E2">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1F285F81">
            <w:pPr>
              <w:widowControl/>
              <w:adjustRightInd w:val="0"/>
              <w:snapToGrid w:val="0"/>
              <w:jc w:val="center"/>
              <w:rPr>
                <w:rFonts w:hint="eastAsia"/>
                <w:kern w:val="0"/>
                <w:szCs w:val="24"/>
              </w:rPr>
            </w:pPr>
          </w:p>
        </w:tc>
        <w:tc>
          <w:tcPr>
            <w:tcW w:w="4941" w:type="dxa"/>
            <w:shd w:val="clear" w:color="000000" w:fill="FFFFFF"/>
            <w:vAlign w:val="center"/>
          </w:tcPr>
          <w:p w14:paraId="6AE488A4">
            <w:pPr>
              <w:widowControl/>
              <w:adjustRightInd w:val="0"/>
              <w:snapToGrid w:val="0"/>
              <w:rPr>
                <w:rFonts w:hint="eastAsia"/>
                <w:kern w:val="0"/>
                <w:szCs w:val="24"/>
              </w:rPr>
            </w:pPr>
            <w:r>
              <w:rPr>
                <w:rFonts w:hint="eastAsia"/>
                <w:kern w:val="0"/>
                <w:szCs w:val="24"/>
              </w:rPr>
              <w:t>应用系统：</w:t>
            </w:r>
            <w:r>
              <w:rPr>
                <w:kern w:val="0"/>
                <w:szCs w:val="24"/>
              </w:rPr>
              <w:t xml:space="preserve"> </w:t>
            </w:r>
          </w:p>
        </w:tc>
        <w:tc>
          <w:tcPr>
            <w:tcW w:w="735" w:type="dxa"/>
            <w:vMerge w:val="continue"/>
            <w:vAlign w:val="center"/>
          </w:tcPr>
          <w:p w14:paraId="5C5ADEEF">
            <w:pPr>
              <w:widowControl/>
              <w:adjustRightInd w:val="0"/>
              <w:snapToGrid w:val="0"/>
              <w:rPr>
                <w:kern w:val="0"/>
                <w:szCs w:val="24"/>
              </w:rPr>
            </w:pPr>
          </w:p>
        </w:tc>
        <w:tc>
          <w:tcPr>
            <w:tcW w:w="2803" w:type="dxa"/>
            <w:vMerge w:val="continue"/>
            <w:vAlign w:val="center"/>
          </w:tcPr>
          <w:p w14:paraId="25274B45">
            <w:pPr>
              <w:widowControl/>
              <w:adjustRightInd w:val="0"/>
              <w:snapToGrid w:val="0"/>
              <w:rPr>
                <w:kern w:val="0"/>
                <w:szCs w:val="24"/>
              </w:rPr>
            </w:pPr>
          </w:p>
        </w:tc>
      </w:tr>
      <w:tr w14:paraId="01467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05489C3A">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4D9E1065">
            <w:pPr>
              <w:widowControl/>
              <w:adjustRightInd w:val="0"/>
              <w:snapToGrid w:val="0"/>
              <w:jc w:val="center"/>
              <w:rPr>
                <w:rFonts w:hint="eastAsia"/>
                <w:kern w:val="0"/>
                <w:szCs w:val="24"/>
              </w:rPr>
            </w:pPr>
          </w:p>
        </w:tc>
        <w:tc>
          <w:tcPr>
            <w:tcW w:w="4941" w:type="dxa"/>
            <w:shd w:val="clear" w:color="000000" w:fill="FFFFFF"/>
            <w:vAlign w:val="center"/>
          </w:tcPr>
          <w:p w14:paraId="43E7DCCA">
            <w:pPr>
              <w:widowControl/>
              <w:adjustRightInd w:val="0"/>
              <w:snapToGrid w:val="0"/>
              <w:rPr>
                <w:rFonts w:hint="eastAsia"/>
                <w:kern w:val="0"/>
                <w:szCs w:val="24"/>
              </w:rPr>
            </w:pPr>
            <w:r>
              <w:rPr>
                <w:rFonts w:hint="eastAsia"/>
                <w:kern w:val="0"/>
                <w:szCs w:val="24"/>
              </w:rPr>
              <w:t xml:space="preserve">终端设备： </w:t>
            </w:r>
          </w:p>
        </w:tc>
        <w:tc>
          <w:tcPr>
            <w:tcW w:w="735" w:type="dxa"/>
            <w:vMerge w:val="continue"/>
            <w:vAlign w:val="center"/>
          </w:tcPr>
          <w:p w14:paraId="310E1304">
            <w:pPr>
              <w:widowControl/>
              <w:adjustRightInd w:val="0"/>
              <w:snapToGrid w:val="0"/>
              <w:rPr>
                <w:kern w:val="0"/>
                <w:szCs w:val="24"/>
              </w:rPr>
            </w:pPr>
          </w:p>
        </w:tc>
        <w:tc>
          <w:tcPr>
            <w:tcW w:w="2803" w:type="dxa"/>
            <w:vMerge w:val="continue"/>
            <w:vAlign w:val="center"/>
          </w:tcPr>
          <w:p w14:paraId="03FC4DEF">
            <w:pPr>
              <w:widowControl/>
              <w:adjustRightInd w:val="0"/>
              <w:snapToGrid w:val="0"/>
              <w:rPr>
                <w:kern w:val="0"/>
                <w:szCs w:val="24"/>
              </w:rPr>
            </w:pPr>
          </w:p>
        </w:tc>
      </w:tr>
      <w:tr w14:paraId="58052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073390CE">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6046E59C">
            <w:pPr>
              <w:widowControl/>
              <w:adjustRightInd w:val="0"/>
              <w:snapToGrid w:val="0"/>
              <w:jc w:val="center"/>
              <w:rPr>
                <w:rFonts w:hint="eastAsia"/>
                <w:kern w:val="0"/>
                <w:szCs w:val="24"/>
              </w:rPr>
            </w:pPr>
          </w:p>
        </w:tc>
        <w:tc>
          <w:tcPr>
            <w:tcW w:w="4941" w:type="dxa"/>
            <w:shd w:val="clear" w:color="000000" w:fill="FFFFFF"/>
            <w:vAlign w:val="center"/>
          </w:tcPr>
          <w:p w14:paraId="1AE36E8C">
            <w:pPr>
              <w:widowControl/>
              <w:adjustRightInd w:val="0"/>
              <w:snapToGrid w:val="0"/>
              <w:rPr>
                <w:rFonts w:hint="eastAsia"/>
                <w:kern w:val="0"/>
                <w:szCs w:val="24"/>
              </w:rPr>
            </w:pPr>
            <w:r>
              <w:rPr>
                <w:rFonts w:hint="eastAsia"/>
                <w:kern w:val="0"/>
                <w:szCs w:val="24"/>
              </w:rPr>
              <w:t>管理制度：制定运维技术管理、运行管理</w:t>
            </w:r>
            <w:r>
              <w:rPr>
                <w:kern w:val="0"/>
                <w:szCs w:val="24"/>
              </w:rPr>
              <w:t>、备品备件管理、服务质量考核等</w:t>
            </w:r>
            <w:r>
              <w:rPr>
                <w:rFonts w:hint="eastAsia"/>
                <w:kern w:val="0"/>
                <w:szCs w:val="24"/>
              </w:rPr>
              <w:t>相关制度，建立规范化标准化的运维体系。</w:t>
            </w:r>
          </w:p>
        </w:tc>
        <w:tc>
          <w:tcPr>
            <w:tcW w:w="735" w:type="dxa"/>
            <w:vMerge w:val="continue"/>
            <w:vAlign w:val="center"/>
          </w:tcPr>
          <w:p w14:paraId="2214BCFD">
            <w:pPr>
              <w:widowControl/>
              <w:adjustRightInd w:val="0"/>
              <w:snapToGrid w:val="0"/>
              <w:rPr>
                <w:kern w:val="0"/>
                <w:szCs w:val="24"/>
              </w:rPr>
            </w:pPr>
          </w:p>
        </w:tc>
        <w:tc>
          <w:tcPr>
            <w:tcW w:w="2803" w:type="dxa"/>
            <w:vMerge w:val="continue"/>
            <w:vAlign w:val="center"/>
          </w:tcPr>
          <w:p w14:paraId="10A2FE5E">
            <w:pPr>
              <w:widowControl/>
              <w:adjustRightInd w:val="0"/>
              <w:snapToGrid w:val="0"/>
              <w:rPr>
                <w:kern w:val="0"/>
                <w:szCs w:val="24"/>
              </w:rPr>
            </w:pPr>
          </w:p>
        </w:tc>
      </w:tr>
      <w:tr w14:paraId="22F80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577" w:type="dxa"/>
            <w:vMerge w:val="restart"/>
            <w:shd w:val="clear" w:color="000000" w:fill="FFFFFF"/>
            <w:vAlign w:val="center"/>
          </w:tcPr>
          <w:p w14:paraId="58ECB3FD">
            <w:pPr>
              <w:widowControl/>
              <w:numPr>
                <w:ilvl w:val="0"/>
                <w:numId w:val="18"/>
              </w:numPr>
              <w:adjustRightInd w:val="0"/>
              <w:snapToGrid w:val="0"/>
              <w:spacing w:line="360" w:lineRule="auto"/>
              <w:jc w:val="center"/>
              <w:rPr>
                <w:kern w:val="0"/>
                <w:szCs w:val="24"/>
              </w:rPr>
            </w:pPr>
          </w:p>
        </w:tc>
        <w:tc>
          <w:tcPr>
            <w:tcW w:w="841" w:type="dxa"/>
            <w:vMerge w:val="restart"/>
            <w:shd w:val="clear" w:color="000000" w:fill="FFFFFF"/>
            <w:vAlign w:val="center"/>
          </w:tcPr>
          <w:p w14:paraId="0BC1DB50">
            <w:pPr>
              <w:widowControl/>
              <w:adjustRightInd w:val="0"/>
              <w:snapToGrid w:val="0"/>
              <w:jc w:val="center"/>
              <w:rPr>
                <w:rFonts w:hint="eastAsia"/>
                <w:kern w:val="0"/>
                <w:szCs w:val="24"/>
              </w:rPr>
            </w:pPr>
            <w:r>
              <w:rPr>
                <w:rFonts w:hint="eastAsia"/>
                <w:kern w:val="0"/>
                <w:szCs w:val="24"/>
              </w:rPr>
              <w:t>专业网络安全服务</w:t>
            </w:r>
          </w:p>
        </w:tc>
        <w:tc>
          <w:tcPr>
            <w:tcW w:w="4941" w:type="dxa"/>
            <w:shd w:val="clear" w:color="000000" w:fill="FFFFFF"/>
            <w:vAlign w:val="center"/>
          </w:tcPr>
          <w:p w14:paraId="27073CD8">
            <w:pPr>
              <w:widowControl/>
              <w:adjustRightInd w:val="0"/>
              <w:snapToGrid w:val="0"/>
              <w:rPr>
                <w:rFonts w:hint="eastAsia"/>
                <w:kern w:val="0"/>
                <w:szCs w:val="24"/>
              </w:rPr>
            </w:pPr>
            <w:r>
              <w:rPr>
                <w:rFonts w:hint="eastAsia"/>
                <w:kern w:val="0"/>
                <w:szCs w:val="24"/>
              </w:rPr>
              <w:t>网络</w:t>
            </w:r>
            <w:r>
              <w:rPr>
                <w:kern w:val="0"/>
                <w:szCs w:val="24"/>
              </w:rPr>
              <w:t>安全运行监控，记录、监控相关安全事件</w:t>
            </w:r>
            <w:r>
              <w:rPr>
                <w:rFonts w:hint="eastAsia"/>
                <w:kern w:val="0"/>
                <w:szCs w:val="24"/>
              </w:rPr>
              <w:t>；</w:t>
            </w:r>
          </w:p>
        </w:tc>
        <w:tc>
          <w:tcPr>
            <w:tcW w:w="735" w:type="dxa"/>
            <w:vMerge w:val="restart"/>
            <w:shd w:val="clear" w:color="000000" w:fill="FFFFFF"/>
            <w:vAlign w:val="center"/>
          </w:tcPr>
          <w:p w14:paraId="5BB5E776">
            <w:pPr>
              <w:widowControl/>
              <w:adjustRightInd w:val="0"/>
              <w:snapToGrid w:val="0"/>
              <w:jc w:val="center"/>
              <w:rPr>
                <w:rFonts w:hint="eastAsia"/>
                <w:kern w:val="0"/>
                <w:szCs w:val="24"/>
              </w:rPr>
            </w:pPr>
          </w:p>
        </w:tc>
        <w:tc>
          <w:tcPr>
            <w:tcW w:w="2803" w:type="dxa"/>
            <w:vMerge w:val="restart"/>
            <w:shd w:val="clear" w:color="000000" w:fill="FFFFFF"/>
            <w:vAlign w:val="center"/>
          </w:tcPr>
          <w:p w14:paraId="6C7D6E29">
            <w:pPr>
              <w:widowControl/>
              <w:adjustRightInd w:val="0"/>
              <w:snapToGrid w:val="0"/>
              <w:rPr>
                <w:rFonts w:hint="eastAsia"/>
                <w:kern w:val="0"/>
                <w:szCs w:val="24"/>
              </w:rPr>
            </w:pPr>
            <w:r>
              <w:rPr>
                <w:rFonts w:hint="eastAsia"/>
                <w:kern w:val="0"/>
                <w:szCs w:val="24"/>
              </w:rPr>
              <w:t>专业技术服务工程师</w:t>
            </w:r>
            <w:r>
              <w:rPr>
                <w:kern w:val="0"/>
                <w:szCs w:val="24"/>
              </w:rPr>
              <w:t>2人定期驻场服务，4万</w:t>
            </w:r>
            <w:r>
              <w:rPr>
                <w:rFonts w:hint="eastAsia"/>
                <w:kern w:val="0"/>
                <w:szCs w:val="24"/>
              </w:rPr>
              <w:t>/人</w:t>
            </w:r>
            <w:r>
              <w:rPr>
                <w:rFonts w:hint="eastAsia"/>
                <w:szCs w:val="24"/>
              </w:rPr>
              <w:t>·</w:t>
            </w:r>
            <w:r>
              <w:rPr>
                <w:rFonts w:hint="eastAsia"/>
                <w:kern w:val="0"/>
                <w:szCs w:val="24"/>
              </w:rPr>
              <w:t>年。</w:t>
            </w:r>
          </w:p>
        </w:tc>
      </w:tr>
      <w:tr w14:paraId="1BE7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1F716B15">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5D25B721">
            <w:pPr>
              <w:widowControl/>
              <w:adjustRightInd w:val="0"/>
              <w:snapToGrid w:val="0"/>
              <w:jc w:val="center"/>
              <w:rPr>
                <w:kern w:val="0"/>
                <w:szCs w:val="24"/>
              </w:rPr>
            </w:pPr>
          </w:p>
        </w:tc>
        <w:tc>
          <w:tcPr>
            <w:tcW w:w="4941" w:type="dxa"/>
            <w:shd w:val="clear" w:color="000000" w:fill="FFFFFF"/>
            <w:vAlign w:val="center"/>
          </w:tcPr>
          <w:p w14:paraId="0AEF572A">
            <w:pPr>
              <w:widowControl/>
              <w:adjustRightInd w:val="0"/>
              <w:snapToGrid w:val="0"/>
              <w:rPr>
                <w:rFonts w:hint="eastAsia"/>
                <w:kern w:val="0"/>
                <w:szCs w:val="24"/>
              </w:rPr>
            </w:pPr>
            <w:r>
              <w:rPr>
                <w:kern w:val="0"/>
                <w:szCs w:val="24"/>
              </w:rPr>
              <w:t xml:space="preserve">系统安全巡检服务， </w:t>
            </w:r>
          </w:p>
        </w:tc>
        <w:tc>
          <w:tcPr>
            <w:tcW w:w="735" w:type="dxa"/>
            <w:vMerge w:val="continue"/>
            <w:vAlign w:val="center"/>
          </w:tcPr>
          <w:p w14:paraId="1AEFA87F">
            <w:pPr>
              <w:widowControl/>
              <w:adjustRightInd w:val="0"/>
              <w:snapToGrid w:val="0"/>
              <w:rPr>
                <w:kern w:val="0"/>
                <w:szCs w:val="24"/>
              </w:rPr>
            </w:pPr>
          </w:p>
        </w:tc>
        <w:tc>
          <w:tcPr>
            <w:tcW w:w="2803" w:type="dxa"/>
            <w:vMerge w:val="continue"/>
            <w:vAlign w:val="center"/>
          </w:tcPr>
          <w:p w14:paraId="771FD97D">
            <w:pPr>
              <w:widowControl/>
              <w:adjustRightInd w:val="0"/>
              <w:snapToGrid w:val="0"/>
              <w:rPr>
                <w:kern w:val="0"/>
                <w:szCs w:val="24"/>
              </w:rPr>
            </w:pPr>
          </w:p>
        </w:tc>
      </w:tr>
      <w:tr w14:paraId="0F16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1CA3D45F">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5416F09D">
            <w:pPr>
              <w:widowControl/>
              <w:adjustRightInd w:val="0"/>
              <w:snapToGrid w:val="0"/>
              <w:jc w:val="center"/>
              <w:rPr>
                <w:kern w:val="0"/>
                <w:szCs w:val="24"/>
              </w:rPr>
            </w:pPr>
          </w:p>
        </w:tc>
        <w:tc>
          <w:tcPr>
            <w:tcW w:w="4941" w:type="dxa"/>
            <w:shd w:val="clear" w:color="000000" w:fill="FFFFFF"/>
            <w:vAlign w:val="center"/>
          </w:tcPr>
          <w:p w14:paraId="0F19A868">
            <w:pPr>
              <w:widowControl/>
              <w:adjustRightInd w:val="0"/>
              <w:snapToGrid w:val="0"/>
              <w:rPr>
                <w:rFonts w:hint="eastAsia"/>
                <w:kern w:val="0"/>
                <w:szCs w:val="24"/>
              </w:rPr>
            </w:pPr>
            <w:r>
              <w:rPr>
                <w:kern w:val="0"/>
                <w:szCs w:val="24"/>
              </w:rPr>
              <w:t xml:space="preserve">系统安全调优服务， </w:t>
            </w:r>
          </w:p>
        </w:tc>
        <w:tc>
          <w:tcPr>
            <w:tcW w:w="735" w:type="dxa"/>
            <w:vMerge w:val="continue"/>
            <w:vAlign w:val="center"/>
          </w:tcPr>
          <w:p w14:paraId="665E4A70">
            <w:pPr>
              <w:widowControl/>
              <w:adjustRightInd w:val="0"/>
              <w:snapToGrid w:val="0"/>
              <w:rPr>
                <w:kern w:val="0"/>
                <w:szCs w:val="24"/>
              </w:rPr>
            </w:pPr>
          </w:p>
        </w:tc>
        <w:tc>
          <w:tcPr>
            <w:tcW w:w="2803" w:type="dxa"/>
            <w:vMerge w:val="continue"/>
            <w:vAlign w:val="center"/>
          </w:tcPr>
          <w:p w14:paraId="4A5A8E6B">
            <w:pPr>
              <w:widowControl/>
              <w:adjustRightInd w:val="0"/>
              <w:snapToGrid w:val="0"/>
              <w:rPr>
                <w:kern w:val="0"/>
                <w:szCs w:val="24"/>
              </w:rPr>
            </w:pPr>
          </w:p>
        </w:tc>
      </w:tr>
      <w:tr w14:paraId="78D7D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77" w:type="dxa"/>
            <w:vMerge w:val="continue"/>
            <w:vAlign w:val="center"/>
          </w:tcPr>
          <w:p w14:paraId="6AC5DF6F">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4419A501">
            <w:pPr>
              <w:widowControl/>
              <w:adjustRightInd w:val="0"/>
              <w:snapToGrid w:val="0"/>
              <w:jc w:val="center"/>
              <w:rPr>
                <w:kern w:val="0"/>
                <w:szCs w:val="24"/>
              </w:rPr>
            </w:pPr>
          </w:p>
        </w:tc>
        <w:tc>
          <w:tcPr>
            <w:tcW w:w="4941" w:type="dxa"/>
            <w:shd w:val="clear" w:color="000000" w:fill="FFFFFF"/>
            <w:vAlign w:val="center"/>
          </w:tcPr>
          <w:p w14:paraId="26DBDE9F">
            <w:pPr>
              <w:widowControl/>
              <w:adjustRightInd w:val="0"/>
              <w:snapToGrid w:val="0"/>
              <w:rPr>
                <w:rFonts w:hint="eastAsia"/>
                <w:kern w:val="0"/>
                <w:szCs w:val="24"/>
              </w:rPr>
            </w:pPr>
            <w:r>
              <w:rPr>
                <w:kern w:val="0"/>
                <w:szCs w:val="24"/>
              </w:rPr>
              <w:t>应急响应、重大安全故障处理</w:t>
            </w:r>
          </w:p>
        </w:tc>
        <w:tc>
          <w:tcPr>
            <w:tcW w:w="735" w:type="dxa"/>
            <w:vMerge w:val="continue"/>
            <w:vAlign w:val="center"/>
          </w:tcPr>
          <w:p w14:paraId="5BF849A2">
            <w:pPr>
              <w:widowControl/>
              <w:adjustRightInd w:val="0"/>
              <w:snapToGrid w:val="0"/>
              <w:rPr>
                <w:kern w:val="0"/>
                <w:szCs w:val="24"/>
              </w:rPr>
            </w:pPr>
          </w:p>
        </w:tc>
        <w:tc>
          <w:tcPr>
            <w:tcW w:w="2803" w:type="dxa"/>
            <w:vMerge w:val="continue"/>
            <w:vAlign w:val="center"/>
          </w:tcPr>
          <w:p w14:paraId="5F2DBDD1">
            <w:pPr>
              <w:widowControl/>
              <w:adjustRightInd w:val="0"/>
              <w:snapToGrid w:val="0"/>
              <w:rPr>
                <w:kern w:val="0"/>
                <w:szCs w:val="24"/>
              </w:rPr>
            </w:pPr>
          </w:p>
        </w:tc>
      </w:tr>
      <w:tr w14:paraId="60A8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77" w:type="dxa"/>
            <w:vMerge w:val="restart"/>
            <w:shd w:val="clear" w:color="000000" w:fill="FFFFFF"/>
            <w:vAlign w:val="center"/>
          </w:tcPr>
          <w:p w14:paraId="0C9F82A5">
            <w:pPr>
              <w:widowControl/>
              <w:numPr>
                <w:ilvl w:val="0"/>
                <w:numId w:val="18"/>
              </w:numPr>
              <w:adjustRightInd w:val="0"/>
              <w:snapToGrid w:val="0"/>
              <w:spacing w:line="360" w:lineRule="auto"/>
              <w:jc w:val="center"/>
              <w:rPr>
                <w:kern w:val="0"/>
                <w:szCs w:val="24"/>
              </w:rPr>
            </w:pPr>
          </w:p>
        </w:tc>
        <w:tc>
          <w:tcPr>
            <w:tcW w:w="841" w:type="dxa"/>
            <w:vMerge w:val="restart"/>
            <w:shd w:val="clear" w:color="000000" w:fill="FFFFFF"/>
            <w:vAlign w:val="center"/>
          </w:tcPr>
          <w:p w14:paraId="5E63A16C">
            <w:pPr>
              <w:widowControl/>
              <w:adjustRightInd w:val="0"/>
              <w:snapToGrid w:val="0"/>
              <w:jc w:val="center"/>
              <w:rPr>
                <w:kern w:val="0"/>
                <w:szCs w:val="24"/>
              </w:rPr>
            </w:pPr>
            <w:r>
              <w:rPr>
                <w:rFonts w:hint="eastAsia"/>
                <w:kern w:val="0"/>
                <w:szCs w:val="24"/>
              </w:rPr>
              <w:t>主要硬件</w:t>
            </w:r>
            <w:r>
              <w:rPr>
                <w:kern w:val="0"/>
                <w:szCs w:val="24"/>
              </w:rPr>
              <w:t>设备维保服务</w:t>
            </w:r>
          </w:p>
        </w:tc>
        <w:tc>
          <w:tcPr>
            <w:tcW w:w="4941" w:type="dxa"/>
            <w:shd w:val="clear" w:color="000000" w:fill="FFFFFF"/>
            <w:vAlign w:val="center"/>
          </w:tcPr>
          <w:p w14:paraId="2F348FE4">
            <w:pPr>
              <w:widowControl/>
              <w:adjustRightInd w:val="0"/>
              <w:snapToGrid w:val="0"/>
              <w:rPr>
                <w:rFonts w:hint="eastAsia"/>
                <w:kern w:val="0"/>
                <w:szCs w:val="24"/>
              </w:rPr>
            </w:pPr>
            <w:r>
              <w:rPr>
                <w:kern w:val="0"/>
                <w:szCs w:val="24"/>
              </w:rPr>
              <w:t>服务器维修保养，包括服务器的电源模块、主板、硬盘、内存、网卡等部件的维保</w:t>
            </w:r>
            <w:r>
              <w:rPr>
                <w:rFonts w:hint="eastAsia"/>
                <w:kern w:val="0"/>
                <w:szCs w:val="24"/>
              </w:rPr>
              <w:t>；</w:t>
            </w:r>
          </w:p>
        </w:tc>
        <w:tc>
          <w:tcPr>
            <w:tcW w:w="735" w:type="dxa"/>
            <w:shd w:val="clear" w:color="000000" w:fill="FFFFFF"/>
            <w:vAlign w:val="center"/>
          </w:tcPr>
          <w:p w14:paraId="0E80E7A3">
            <w:pPr>
              <w:widowControl/>
              <w:adjustRightInd w:val="0"/>
              <w:snapToGrid w:val="0"/>
              <w:jc w:val="center"/>
              <w:rPr>
                <w:rFonts w:hint="eastAsia"/>
                <w:kern w:val="0"/>
                <w:szCs w:val="24"/>
              </w:rPr>
            </w:pPr>
          </w:p>
        </w:tc>
        <w:tc>
          <w:tcPr>
            <w:tcW w:w="2803" w:type="dxa"/>
            <w:shd w:val="clear" w:color="000000" w:fill="FFFFFF"/>
            <w:vAlign w:val="center"/>
          </w:tcPr>
          <w:p w14:paraId="02430879">
            <w:pPr>
              <w:widowControl/>
              <w:adjustRightInd w:val="0"/>
              <w:snapToGrid w:val="0"/>
              <w:rPr>
                <w:rFonts w:hint="eastAsia"/>
                <w:kern w:val="0"/>
                <w:szCs w:val="24"/>
              </w:rPr>
            </w:pPr>
          </w:p>
        </w:tc>
      </w:tr>
      <w:tr w14:paraId="42CB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44559E8D">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23B05C58">
            <w:pPr>
              <w:widowControl/>
              <w:adjustRightInd w:val="0"/>
              <w:snapToGrid w:val="0"/>
              <w:jc w:val="center"/>
              <w:rPr>
                <w:kern w:val="0"/>
                <w:szCs w:val="24"/>
              </w:rPr>
            </w:pPr>
          </w:p>
        </w:tc>
        <w:tc>
          <w:tcPr>
            <w:tcW w:w="4941" w:type="dxa"/>
            <w:shd w:val="clear" w:color="000000" w:fill="FFFFFF"/>
            <w:vAlign w:val="center"/>
          </w:tcPr>
          <w:p w14:paraId="3FD35CA2">
            <w:pPr>
              <w:widowControl/>
              <w:adjustRightInd w:val="0"/>
              <w:snapToGrid w:val="0"/>
              <w:rPr>
                <w:rFonts w:hint="eastAsia"/>
                <w:kern w:val="0"/>
                <w:szCs w:val="24"/>
              </w:rPr>
            </w:pPr>
          </w:p>
        </w:tc>
        <w:tc>
          <w:tcPr>
            <w:tcW w:w="735" w:type="dxa"/>
            <w:shd w:val="clear" w:color="000000" w:fill="FFFFFF"/>
            <w:vAlign w:val="center"/>
          </w:tcPr>
          <w:p w14:paraId="2A958354">
            <w:pPr>
              <w:widowControl/>
              <w:adjustRightInd w:val="0"/>
              <w:snapToGrid w:val="0"/>
              <w:jc w:val="center"/>
              <w:rPr>
                <w:rFonts w:hint="eastAsia"/>
                <w:kern w:val="0"/>
                <w:szCs w:val="24"/>
              </w:rPr>
            </w:pPr>
          </w:p>
        </w:tc>
        <w:tc>
          <w:tcPr>
            <w:tcW w:w="2803" w:type="dxa"/>
            <w:shd w:val="clear" w:color="000000" w:fill="FFFFFF"/>
            <w:vAlign w:val="center"/>
          </w:tcPr>
          <w:p w14:paraId="44DBE423">
            <w:pPr>
              <w:widowControl/>
              <w:adjustRightInd w:val="0"/>
              <w:snapToGrid w:val="0"/>
              <w:rPr>
                <w:rFonts w:hint="eastAsia"/>
                <w:kern w:val="0"/>
                <w:szCs w:val="24"/>
              </w:rPr>
            </w:pPr>
          </w:p>
        </w:tc>
      </w:tr>
      <w:tr w14:paraId="57FA6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26A319B7">
            <w:pPr>
              <w:widowControl/>
              <w:numPr>
                <w:ilvl w:val="0"/>
                <w:numId w:val="18"/>
              </w:numPr>
              <w:adjustRightInd w:val="0"/>
              <w:snapToGrid w:val="0"/>
              <w:spacing w:line="360" w:lineRule="auto"/>
              <w:jc w:val="left"/>
              <w:rPr>
                <w:kern w:val="0"/>
                <w:szCs w:val="24"/>
              </w:rPr>
            </w:pPr>
          </w:p>
        </w:tc>
        <w:tc>
          <w:tcPr>
            <w:tcW w:w="841" w:type="dxa"/>
            <w:vMerge w:val="continue"/>
            <w:vAlign w:val="center"/>
          </w:tcPr>
          <w:p w14:paraId="5A1E3913">
            <w:pPr>
              <w:widowControl/>
              <w:adjustRightInd w:val="0"/>
              <w:snapToGrid w:val="0"/>
              <w:jc w:val="center"/>
              <w:rPr>
                <w:kern w:val="0"/>
                <w:szCs w:val="24"/>
              </w:rPr>
            </w:pPr>
          </w:p>
        </w:tc>
        <w:tc>
          <w:tcPr>
            <w:tcW w:w="4941" w:type="dxa"/>
            <w:shd w:val="clear" w:color="000000" w:fill="FFFFFF"/>
            <w:vAlign w:val="center"/>
          </w:tcPr>
          <w:p w14:paraId="54808590">
            <w:pPr>
              <w:widowControl/>
              <w:adjustRightInd w:val="0"/>
              <w:snapToGrid w:val="0"/>
              <w:rPr>
                <w:kern w:val="0"/>
                <w:szCs w:val="24"/>
              </w:rPr>
            </w:pPr>
          </w:p>
        </w:tc>
        <w:tc>
          <w:tcPr>
            <w:tcW w:w="735" w:type="dxa"/>
            <w:shd w:val="clear" w:color="000000" w:fill="FFFFFF"/>
            <w:vAlign w:val="center"/>
          </w:tcPr>
          <w:p w14:paraId="6190C239">
            <w:pPr>
              <w:widowControl/>
              <w:adjustRightInd w:val="0"/>
              <w:snapToGrid w:val="0"/>
              <w:jc w:val="center"/>
              <w:rPr>
                <w:rFonts w:hint="eastAsia"/>
                <w:kern w:val="0"/>
                <w:szCs w:val="24"/>
              </w:rPr>
            </w:pPr>
          </w:p>
        </w:tc>
        <w:tc>
          <w:tcPr>
            <w:tcW w:w="2803" w:type="dxa"/>
            <w:shd w:val="clear" w:color="000000" w:fill="FFFFFF"/>
            <w:vAlign w:val="center"/>
          </w:tcPr>
          <w:p w14:paraId="0977E78B">
            <w:pPr>
              <w:widowControl/>
              <w:adjustRightInd w:val="0"/>
              <w:snapToGrid w:val="0"/>
              <w:rPr>
                <w:kern w:val="0"/>
                <w:szCs w:val="24"/>
              </w:rPr>
            </w:pPr>
          </w:p>
        </w:tc>
      </w:tr>
      <w:tr w14:paraId="7FCB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577" w:type="dxa"/>
            <w:vMerge w:val="restart"/>
            <w:shd w:val="clear" w:color="000000" w:fill="FFFFFF"/>
            <w:vAlign w:val="center"/>
          </w:tcPr>
          <w:p w14:paraId="3BB547AD">
            <w:pPr>
              <w:widowControl/>
              <w:numPr>
                <w:ilvl w:val="0"/>
                <w:numId w:val="18"/>
              </w:numPr>
              <w:adjustRightInd w:val="0"/>
              <w:snapToGrid w:val="0"/>
              <w:spacing w:line="360" w:lineRule="auto"/>
              <w:jc w:val="center"/>
              <w:rPr>
                <w:kern w:val="0"/>
                <w:szCs w:val="24"/>
              </w:rPr>
            </w:pPr>
          </w:p>
        </w:tc>
        <w:tc>
          <w:tcPr>
            <w:tcW w:w="841" w:type="dxa"/>
            <w:vMerge w:val="restart"/>
            <w:shd w:val="clear" w:color="000000" w:fill="FFFFFF"/>
            <w:vAlign w:val="center"/>
          </w:tcPr>
          <w:p w14:paraId="348B8CAB">
            <w:pPr>
              <w:widowControl/>
              <w:adjustRightInd w:val="0"/>
              <w:snapToGrid w:val="0"/>
              <w:jc w:val="center"/>
              <w:rPr>
                <w:kern w:val="0"/>
                <w:szCs w:val="24"/>
              </w:rPr>
            </w:pPr>
            <w:r>
              <w:rPr>
                <w:rFonts w:hint="eastAsia"/>
                <w:kern w:val="0"/>
                <w:szCs w:val="24"/>
              </w:rPr>
              <w:t>主要</w:t>
            </w:r>
            <w:r>
              <w:rPr>
                <w:kern w:val="0"/>
                <w:szCs w:val="24"/>
              </w:rPr>
              <w:t>软件系统维保服务</w:t>
            </w:r>
          </w:p>
        </w:tc>
        <w:tc>
          <w:tcPr>
            <w:tcW w:w="4941" w:type="dxa"/>
            <w:shd w:val="clear" w:color="000000" w:fill="FFFFFF"/>
            <w:vAlign w:val="center"/>
          </w:tcPr>
          <w:p w14:paraId="68A04746">
            <w:pPr>
              <w:widowControl/>
              <w:adjustRightInd w:val="0"/>
              <w:snapToGrid w:val="0"/>
              <w:rPr>
                <w:rFonts w:hint="eastAsia"/>
                <w:kern w:val="0"/>
                <w:szCs w:val="24"/>
              </w:rPr>
            </w:pPr>
          </w:p>
        </w:tc>
        <w:tc>
          <w:tcPr>
            <w:tcW w:w="735" w:type="dxa"/>
            <w:shd w:val="clear" w:color="000000" w:fill="FFFFFF"/>
            <w:vAlign w:val="center"/>
          </w:tcPr>
          <w:p w14:paraId="67DB2963">
            <w:pPr>
              <w:widowControl/>
              <w:adjustRightInd w:val="0"/>
              <w:snapToGrid w:val="0"/>
              <w:jc w:val="center"/>
              <w:rPr>
                <w:rFonts w:hint="eastAsia"/>
                <w:kern w:val="0"/>
                <w:szCs w:val="24"/>
              </w:rPr>
            </w:pPr>
          </w:p>
        </w:tc>
        <w:tc>
          <w:tcPr>
            <w:tcW w:w="2803" w:type="dxa"/>
            <w:shd w:val="clear" w:color="000000" w:fill="FFFFFF"/>
            <w:vAlign w:val="center"/>
          </w:tcPr>
          <w:p w14:paraId="5DCF9673">
            <w:pPr>
              <w:widowControl/>
              <w:adjustRightInd w:val="0"/>
              <w:snapToGrid w:val="0"/>
              <w:rPr>
                <w:rFonts w:hint="eastAsia"/>
                <w:kern w:val="0"/>
                <w:szCs w:val="24"/>
              </w:rPr>
            </w:pPr>
          </w:p>
        </w:tc>
      </w:tr>
      <w:tr w14:paraId="5669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77" w:type="dxa"/>
            <w:vMerge w:val="continue"/>
            <w:vAlign w:val="center"/>
          </w:tcPr>
          <w:p w14:paraId="446B9236">
            <w:pPr>
              <w:widowControl/>
              <w:adjustRightInd w:val="0"/>
              <w:snapToGrid w:val="0"/>
              <w:rPr>
                <w:kern w:val="0"/>
                <w:szCs w:val="24"/>
              </w:rPr>
            </w:pPr>
          </w:p>
        </w:tc>
        <w:tc>
          <w:tcPr>
            <w:tcW w:w="841" w:type="dxa"/>
            <w:vMerge w:val="continue"/>
            <w:vAlign w:val="center"/>
          </w:tcPr>
          <w:p w14:paraId="6DD4F828">
            <w:pPr>
              <w:widowControl/>
              <w:adjustRightInd w:val="0"/>
              <w:snapToGrid w:val="0"/>
              <w:jc w:val="center"/>
              <w:rPr>
                <w:kern w:val="0"/>
                <w:szCs w:val="24"/>
              </w:rPr>
            </w:pPr>
          </w:p>
        </w:tc>
        <w:tc>
          <w:tcPr>
            <w:tcW w:w="4941" w:type="dxa"/>
            <w:shd w:val="clear" w:color="000000" w:fill="FFFFFF"/>
            <w:vAlign w:val="center"/>
          </w:tcPr>
          <w:p w14:paraId="1E410EDE">
            <w:pPr>
              <w:widowControl/>
              <w:adjustRightInd w:val="0"/>
              <w:snapToGrid w:val="0"/>
              <w:rPr>
                <w:kern w:val="0"/>
                <w:szCs w:val="24"/>
              </w:rPr>
            </w:pPr>
          </w:p>
        </w:tc>
        <w:tc>
          <w:tcPr>
            <w:tcW w:w="735" w:type="dxa"/>
            <w:shd w:val="clear" w:color="000000" w:fill="FFFFFF"/>
            <w:vAlign w:val="center"/>
          </w:tcPr>
          <w:p w14:paraId="40E429B3">
            <w:pPr>
              <w:widowControl/>
              <w:adjustRightInd w:val="0"/>
              <w:snapToGrid w:val="0"/>
              <w:jc w:val="center"/>
              <w:rPr>
                <w:rFonts w:hint="eastAsia"/>
                <w:kern w:val="0"/>
                <w:szCs w:val="24"/>
              </w:rPr>
            </w:pPr>
          </w:p>
        </w:tc>
        <w:tc>
          <w:tcPr>
            <w:tcW w:w="2803" w:type="dxa"/>
            <w:shd w:val="clear" w:color="000000" w:fill="FFFFFF"/>
            <w:vAlign w:val="center"/>
          </w:tcPr>
          <w:p w14:paraId="0C2083B5">
            <w:pPr>
              <w:widowControl/>
              <w:adjustRightInd w:val="0"/>
              <w:snapToGrid w:val="0"/>
              <w:rPr>
                <w:kern w:val="0"/>
                <w:szCs w:val="24"/>
              </w:rPr>
            </w:pPr>
          </w:p>
        </w:tc>
      </w:tr>
      <w:tr w14:paraId="780CF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77" w:type="dxa"/>
            <w:shd w:val="clear" w:color="auto" w:fill="FFFFFF"/>
            <w:vAlign w:val="center"/>
          </w:tcPr>
          <w:p w14:paraId="27BDCCD8">
            <w:pPr>
              <w:widowControl/>
              <w:adjustRightInd w:val="0"/>
              <w:snapToGrid w:val="0"/>
              <w:jc w:val="center"/>
              <w:rPr>
                <w:rFonts w:hint="eastAsia"/>
                <w:b/>
                <w:bCs/>
                <w:kern w:val="0"/>
                <w:szCs w:val="24"/>
              </w:rPr>
            </w:pPr>
          </w:p>
        </w:tc>
        <w:tc>
          <w:tcPr>
            <w:tcW w:w="841" w:type="dxa"/>
            <w:shd w:val="clear" w:color="auto" w:fill="FFFFFF"/>
            <w:vAlign w:val="center"/>
          </w:tcPr>
          <w:p w14:paraId="37684E9D">
            <w:pPr>
              <w:widowControl/>
              <w:adjustRightInd w:val="0"/>
              <w:snapToGrid w:val="0"/>
              <w:jc w:val="center"/>
              <w:rPr>
                <w:rFonts w:hint="eastAsia"/>
                <w:b/>
                <w:bCs/>
                <w:kern w:val="0"/>
                <w:szCs w:val="24"/>
              </w:rPr>
            </w:pPr>
          </w:p>
        </w:tc>
        <w:tc>
          <w:tcPr>
            <w:tcW w:w="4941" w:type="dxa"/>
            <w:shd w:val="clear" w:color="auto" w:fill="FFFFFF"/>
            <w:vAlign w:val="center"/>
          </w:tcPr>
          <w:p w14:paraId="379CB633">
            <w:pPr>
              <w:widowControl/>
              <w:adjustRightInd w:val="0"/>
              <w:snapToGrid w:val="0"/>
              <w:jc w:val="center"/>
              <w:rPr>
                <w:rFonts w:hint="eastAsia"/>
                <w:bCs/>
                <w:kern w:val="0"/>
                <w:szCs w:val="24"/>
              </w:rPr>
            </w:pPr>
            <w:r>
              <w:rPr>
                <w:rFonts w:hint="eastAsia"/>
                <w:bCs/>
                <w:kern w:val="0"/>
                <w:szCs w:val="24"/>
              </w:rPr>
              <w:t>小计</w:t>
            </w:r>
          </w:p>
        </w:tc>
        <w:tc>
          <w:tcPr>
            <w:tcW w:w="735" w:type="dxa"/>
            <w:shd w:val="clear" w:color="auto" w:fill="FFFFFF"/>
            <w:vAlign w:val="center"/>
          </w:tcPr>
          <w:p w14:paraId="1206A237">
            <w:pPr>
              <w:widowControl/>
              <w:adjustRightInd w:val="0"/>
              <w:snapToGrid w:val="0"/>
              <w:jc w:val="center"/>
              <w:rPr>
                <w:b/>
                <w:bCs/>
                <w:kern w:val="0"/>
                <w:szCs w:val="24"/>
              </w:rPr>
            </w:pPr>
          </w:p>
        </w:tc>
        <w:tc>
          <w:tcPr>
            <w:tcW w:w="2803" w:type="dxa"/>
            <w:shd w:val="clear" w:color="auto" w:fill="FFFFFF"/>
            <w:vAlign w:val="center"/>
          </w:tcPr>
          <w:p w14:paraId="2389C9BC">
            <w:pPr>
              <w:widowControl/>
              <w:adjustRightInd w:val="0"/>
              <w:snapToGrid w:val="0"/>
              <w:jc w:val="center"/>
              <w:rPr>
                <w:rFonts w:hint="eastAsia"/>
                <w:b/>
                <w:bCs/>
                <w:kern w:val="0"/>
                <w:szCs w:val="24"/>
              </w:rPr>
            </w:pPr>
          </w:p>
        </w:tc>
      </w:tr>
    </w:tbl>
    <w:p w14:paraId="25322941">
      <w:pPr>
        <w:spacing w:line="360" w:lineRule="auto"/>
        <w:rPr>
          <w:rFonts w:hint="eastAsia"/>
        </w:rPr>
      </w:pPr>
    </w:p>
    <w:p w14:paraId="47BEB673"/>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սΟGBK">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B5387">
    <w:pPr>
      <w:pStyle w:val="16"/>
      <w:framePr w:wrap="around" w:vAnchor="text" w:hAnchor="margin" w:xAlign="outside" w:y="1"/>
      <w:rPr>
        <w:rStyle w:val="24"/>
      </w:rPr>
    </w:pPr>
    <w:r>
      <w:rPr>
        <w:rStyle w:val="24"/>
      </w:rPr>
      <w:fldChar w:fldCharType="begin"/>
    </w:r>
    <w:r>
      <w:rPr>
        <w:rStyle w:val="24"/>
      </w:rPr>
      <w:instrText xml:space="preserve">PAGE  </w:instrText>
    </w:r>
    <w:r>
      <w:rPr>
        <w:rStyle w:val="24"/>
      </w:rPr>
      <w:fldChar w:fldCharType="separate"/>
    </w:r>
    <w:r>
      <w:rPr>
        <w:rStyle w:val="24"/>
      </w:rPr>
      <w:t>1</w:t>
    </w:r>
    <w:r>
      <w:rPr>
        <w:rStyle w:val="24"/>
      </w:rPr>
      <w:fldChar w:fldCharType="end"/>
    </w:r>
  </w:p>
  <w:p w14:paraId="10601E83">
    <w:pPr>
      <w:pStyle w:val="16"/>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4413C7"/>
    <w:multiLevelType w:val="multilevel"/>
    <w:tmpl w:val="114413C7"/>
    <w:lvl w:ilvl="0" w:tentative="0">
      <w:start w:val="1"/>
      <w:numFmt w:val="bullet"/>
      <w:lvlText w:val=""/>
      <w:lvlJc w:val="left"/>
      <w:pPr>
        <w:tabs>
          <w:tab w:val="left" w:pos="982"/>
        </w:tabs>
        <w:ind w:left="982" w:hanging="420"/>
      </w:pPr>
      <w:rPr>
        <w:rFonts w:hint="default" w:ascii="Wingdings" w:hAnsi="Wingdings"/>
      </w:rPr>
    </w:lvl>
    <w:lvl w:ilvl="1" w:tentative="0">
      <w:start w:val="1"/>
      <w:numFmt w:val="decimal"/>
      <w:lvlText w:val="（%2）"/>
      <w:lvlJc w:val="left"/>
      <w:pPr>
        <w:tabs>
          <w:tab w:val="left" w:pos="1702"/>
        </w:tabs>
        <w:ind w:left="1702" w:hanging="720"/>
      </w:pPr>
      <w:rPr>
        <w:rFonts w:hint="eastAsia"/>
        <w:u w:val="none"/>
      </w:rPr>
    </w:lvl>
    <w:lvl w:ilvl="2" w:tentative="0">
      <w:start w:val="1"/>
      <w:numFmt w:val="lowerRoman"/>
      <w:lvlText w:val="%3."/>
      <w:lvlJc w:val="right"/>
      <w:pPr>
        <w:tabs>
          <w:tab w:val="left" w:pos="1822"/>
        </w:tabs>
        <w:ind w:left="1822" w:hanging="420"/>
      </w:pPr>
    </w:lvl>
    <w:lvl w:ilvl="3" w:tentative="0">
      <w:start w:val="1"/>
      <w:numFmt w:val="decimal"/>
      <w:lvlText w:val="%4."/>
      <w:lvlJc w:val="left"/>
      <w:pPr>
        <w:tabs>
          <w:tab w:val="left" w:pos="2242"/>
        </w:tabs>
        <w:ind w:left="2242" w:hanging="420"/>
      </w:pPr>
    </w:lvl>
    <w:lvl w:ilvl="4" w:tentative="0">
      <w:start w:val="1"/>
      <w:numFmt w:val="lowerLetter"/>
      <w:lvlText w:val="%5)"/>
      <w:lvlJc w:val="left"/>
      <w:pPr>
        <w:tabs>
          <w:tab w:val="left" w:pos="2662"/>
        </w:tabs>
        <w:ind w:left="2662" w:hanging="420"/>
      </w:pPr>
    </w:lvl>
    <w:lvl w:ilvl="5" w:tentative="0">
      <w:start w:val="1"/>
      <w:numFmt w:val="lowerRoman"/>
      <w:lvlText w:val="%6."/>
      <w:lvlJc w:val="right"/>
      <w:pPr>
        <w:tabs>
          <w:tab w:val="left" w:pos="3082"/>
        </w:tabs>
        <w:ind w:left="3082" w:hanging="420"/>
      </w:pPr>
    </w:lvl>
    <w:lvl w:ilvl="6" w:tentative="0">
      <w:start w:val="1"/>
      <w:numFmt w:val="decimal"/>
      <w:lvlText w:val="%7."/>
      <w:lvlJc w:val="left"/>
      <w:pPr>
        <w:tabs>
          <w:tab w:val="left" w:pos="3502"/>
        </w:tabs>
        <w:ind w:left="3502" w:hanging="420"/>
      </w:pPr>
    </w:lvl>
    <w:lvl w:ilvl="7" w:tentative="0">
      <w:start w:val="1"/>
      <w:numFmt w:val="lowerLetter"/>
      <w:lvlText w:val="%8)"/>
      <w:lvlJc w:val="left"/>
      <w:pPr>
        <w:tabs>
          <w:tab w:val="left" w:pos="3922"/>
        </w:tabs>
        <w:ind w:left="3922" w:hanging="420"/>
      </w:pPr>
    </w:lvl>
    <w:lvl w:ilvl="8" w:tentative="0">
      <w:start w:val="1"/>
      <w:numFmt w:val="lowerRoman"/>
      <w:lvlText w:val="%9."/>
      <w:lvlJc w:val="right"/>
      <w:pPr>
        <w:tabs>
          <w:tab w:val="left" w:pos="4342"/>
        </w:tabs>
        <w:ind w:left="4342" w:hanging="420"/>
      </w:pPr>
    </w:lvl>
  </w:abstractNum>
  <w:abstractNum w:abstractNumId="1">
    <w:nsid w:val="12F50247"/>
    <w:multiLevelType w:val="multilevel"/>
    <w:tmpl w:val="12F50247"/>
    <w:lvl w:ilvl="0" w:tentative="0">
      <w:start w:val="1"/>
      <w:numFmt w:val="decimal"/>
      <w:suff w:val="space"/>
      <w:lvlText w:val="%1"/>
      <w:lvlJc w:val="left"/>
      <w:pPr>
        <w:tabs>
          <w:tab w:val="left" w:pos="425"/>
        </w:tabs>
        <w:ind w:left="0" w:firstLine="0"/>
      </w:pPr>
    </w:lvl>
    <w:lvl w:ilvl="1" w:tentative="0">
      <w:start w:val="1"/>
      <w:numFmt w:val="decimal"/>
      <w:suff w:val="space"/>
      <w:lvlText w:val="%1.%2"/>
      <w:lvlJc w:val="left"/>
      <w:pPr>
        <w:tabs>
          <w:tab w:val="left" w:pos="992"/>
        </w:tabs>
        <w:ind w:left="0" w:firstLine="0"/>
      </w:pPr>
    </w:lvl>
    <w:lvl w:ilvl="2" w:tentative="0">
      <w:start w:val="1"/>
      <w:numFmt w:val="decimal"/>
      <w:suff w:val="space"/>
      <w:lvlText w:val="%1.%2.%3"/>
      <w:lvlJc w:val="left"/>
      <w:pPr>
        <w:tabs>
          <w:tab w:val="left" w:pos="1418"/>
        </w:tabs>
        <w:ind w:left="0" w:firstLine="0"/>
      </w:pPr>
    </w:lvl>
    <w:lvl w:ilvl="3" w:tentative="0">
      <w:start w:val="1"/>
      <w:numFmt w:val="decimal"/>
      <w:suff w:val="space"/>
      <w:lvlText w:val="%1.%2.%3.%4"/>
      <w:lvlJc w:val="left"/>
      <w:pPr>
        <w:tabs>
          <w:tab w:val="left" w:pos="1984"/>
        </w:tabs>
        <w:ind w:left="0" w:firstLine="0"/>
      </w:pPr>
      <w:rPr>
        <w:rFonts w:hint="default" w:ascii="Times New Roman" w:hAnsi="Times New Roman" w:cs="Times New Roman"/>
      </w:rPr>
    </w:lvl>
    <w:lvl w:ilvl="4" w:tentative="0">
      <w:start w:val="1"/>
      <w:numFmt w:val="decimal"/>
      <w:pStyle w:val="56"/>
      <w:suff w:val="space"/>
      <w:lvlText w:val="%1.%2.%3.%4.%5"/>
      <w:lvlJc w:val="left"/>
      <w:pPr>
        <w:tabs>
          <w:tab w:val="left" w:pos="2551"/>
        </w:tabs>
        <w:ind w:left="0" w:firstLine="0"/>
      </w:pPr>
    </w:lvl>
    <w:lvl w:ilvl="5" w:tentative="0">
      <w:start w:val="1"/>
      <w:numFmt w:val="decimal"/>
      <w:pStyle w:val="57"/>
      <w:suff w:val="space"/>
      <w:lvlText w:val="%1.%2.%3.%4.%5.%6"/>
      <w:lvlJc w:val="left"/>
      <w:pPr>
        <w:tabs>
          <w:tab w:val="left" w:pos="3260"/>
        </w:tabs>
        <w:ind w:left="0" w:firstLine="0"/>
      </w:pPr>
    </w:lvl>
    <w:lvl w:ilvl="6" w:tentative="0">
      <w:start w:val="1"/>
      <w:numFmt w:val="decimal"/>
      <w:suff w:val="space"/>
      <w:lvlText w:val="%1.%2.%3.%4.%5.%6.%7"/>
      <w:lvlJc w:val="left"/>
      <w:pPr>
        <w:tabs>
          <w:tab w:val="left" w:pos="3827"/>
        </w:tabs>
        <w:ind w:left="0" w:firstLine="0"/>
      </w:pPr>
    </w:lvl>
    <w:lvl w:ilvl="7" w:tentative="0">
      <w:start w:val="1"/>
      <w:numFmt w:val="decimal"/>
      <w:pStyle w:val="58"/>
      <w:suff w:val="space"/>
      <w:lvlText w:val="%1.%2.%3.%4.%5.%6.%7.%8"/>
      <w:lvlJc w:val="left"/>
      <w:pPr>
        <w:tabs>
          <w:tab w:val="left" w:pos="4394"/>
        </w:tabs>
        <w:ind w:left="0" w:firstLine="0"/>
      </w:pPr>
    </w:lvl>
    <w:lvl w:ilvl="8" w:tentative="0">
      <w:start w:val="1"/>
      <w:numFmt w:val="decimal"/>
      <w:pStyle w:val="59"/>
      <w:suff w:val="space"/>
      <w:lvlText w:val="%1.%2.%3.%4.%5.%6.%7.%8.%9"/>
      <w:lvlJc w:val="left"/>
      <w:pPr>
        <w:tabs>
          <w:tab w:val="left" w:pos="5102"/>
        </w:tabs>
        <w:ind w:left="0" w:firstLine="0"/>
      </w:pPr>
    </w:lvl>
  </w:abstractNum>
  <w:abstractNum w:abstractNumId="2">
    <w:nsid w:val="15495109"/>
    <w:multiLevelType w:val="multilevel"/>
    <w:tmpl w:val="15495109"/>
    <w:lvl w:ilvl="0" w:tentative="0">
      <w:start w:val="1"/>
      <w:numFmt w:val="bullet"/>
      <w:lvlText w:val=""/>
      <w:lvlJc w:val="left"/>
      <w:pPr>
        <w:tabs>
          <w:tab w:val="left" w:pos="982"/>
        </w:tabs>
        <w:ind w:left="982" w:hanging="420"/>
      </w:pPr>
      <w:rPr>
        <w:rFonts w:hint="default" w:ascii="Wingdings" w:hAnsi="Wingdings"/>
        <w:kern w:val="2"/>
        <w:sz w:val="24"/>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
    <w:nsid w:val="223E6A94"/>
    <w:multiLevelType w:val="multilevel"/>
    <w:tmpl w:val="223E6A94"/>
    <w:lvl w:ilvl="0" w:tentative="0">
      <w:start w:val="1"/>
      <w:numFmt w:val="bullet"/>
      <w:lvlText w:val=""/>
      <w:lvlJc w:val="left"/>
      <w:pPr>
        <w:tabs>
          <w:tab w:val="left" w:pos="982"/>
        </w:tabs>
        <w:ind w:left="982" w:hanging="420"/>
      </w:pPr>
      <w:rPr>
        <w:rFonts w:hint="default" w:ascii="Wingdings" w:hAnsi="Wingdings"/>
      </w:rPr>
    </w:lvl>
    <w:lvl w:ilvl="1" w:tentative="0">
      <w:start w:val="1"/>
      <w:numFmt w:val="decimal"/>
      <w:lvlText w:val="（%2）"/>
      <w:lvlJc w:val="left"/>
      <w:pPr>
        <w:tabs>
          <w:tab w:val="left" w:pos="1146"/>
        </w:tabs>
        <w:ind w:left="1146" w:hanging="720"/>
      </w:pPr>
      <w:rPr>
        <w:rFonts w:hint="eastAsia"/>
        <w:u w:val="none"/>
      </w:rPr>
    </w:lvl>
    <w:lvl w:ilvl="2" w:tentative="0">
      <w:start w:val="1"/>
      <w:numFmt w:val="lowerRoman"/>
      <w:lvlText w:val="%3."/>
      <w:lvlJc w:val="right"/>
      <w:pPr>
        <w:tabs>
          <w:tab w:val="left" w:pos="1822"/>
        </w:tabs>
        <w:ind w:left="1822" w:hanging="420"/>
      </w:pPr>
    </w:lvl>
    <w:lvl w:ilvl="3" w:tentative="0">
      <w:start w:val="1"/>
      <w:numFmt w:val="decimal"/>
      <w:lvlText w:val="%4."/>
      <w:lvlJc w:val="left"/>
      <w:pPr>
        <w:tabs>
          <w:tab w:val="left" w:pos="2242"/>
        </w:tabs>
        <w:ind w:left="2242" w:hanging="420"/>
      </w:pPr>
    </w:lvl>
    <w:lvl w:ilvl="4" w:tentative="0">
      <w:start w:val="1"/>
      <w:numFmt w:val="lowerLetter"/>
      <w:lvlText w:val="%5)"/>
      <w:lvlJc w:val="left"/>
      <w:pPr>
        <w:tabs>
          <w:tab w:val="left" w:pos="2662"/>
        </w:tabs>
        <w:ind w:left="2662" w:hanging="420"/>
      </w:pPr>
    </w:lvl>
    <w:lvl w:ilvl="5" w:tentative="0">
      <w:start w:val="1"/>
      <w:numFmt w:val="lowerRoman"/>
      <w:lvlText w:val="%6."/>
      <w:lvlJc w:val="right"/>
      <w:pPr>
        <w:tabs>
          <w:tab w:val="left" w:pos="3082"/>
        </w:tabs>
        <w:ind w:left="3082" w:hanging="420"/>
      </w:pPr>
    </w:lvl>
    <w:lvl w:ilvl="6" w:tentative="0">
      <w:start w:val="1"/>
      <w:numFmt w:val="decimal"/>
      <w:lvlText w:val="%7."/>
      <w:lvlJc w:val="left"/>
      <w:pPr>
        <w:tabs>
          <w:tab w:val="left" w:pos="3502"/>
        </w:tabs>
        <w:ind w:left="3502" w:hanging="420"/>
      </w:pPr>
    </w:lvl>
    <w:lvl w:ilvl="7" w:tentative="0">
      <w:start w:val="1"/>
      <w:numFmt w:val="lowerLetter"/>
      <w:lvlText w:val="%8)"/>
      <w:lvlJc w:val="left"/>
      <w:pPr>
        <w:tabs>
          <w:tab w:val="left" w:pos="3922"/>
        </w:tabs>
        <w:ind w:left="3922" w:hanging="420"/>
      </w:pPr>
    </w:lvl>
    <w:lvl w:ilvl="8" w:tentative="0">
      <w:start w:val="1"/>
      <w:numFmt w:val="lowerRoman"/>
      <w:lvlText w:val="%9."/>
      <w:lvlJc w:val="right"/>
      <w:pPr>
        <w:tabs>
          <w:tab w:val="left" w:pos="4342"/>
        </w:tabs>
        <w:ind w:left="4342" w:hanging="420"/>
      </w:pPr>
    </w:lvl>
  </w:abstractNum>
  <w:abstractNum w:abstractNumId="4">
    <w:nsid w:val="258D469E"/>
    <w:multiLevelType w:val="multilevel"/>
    <w:tmpl w:val="258D469E"/>
    <w:lvl w:ilvl="0" w:tentative="0">
      <w:start w:val="1"/>
      <w:numFmt w:val="decimal"/>
      <w:lvlText w:val="（%1）"/>
      <w:lvlJc w:val="left"/>
      <w:pPr>
        <w:tabs>
          <w:tab w:val="left" w:pos="982"/>
        </w:tabs>
        <w:ind w:left="982" w:hanging="420"/>
      </w:pPr>
      <w:rPr>
        <w:rFonts w:ascii="Times New Roman" w:hAnsi="Times New Roman" w:eastAsia="方正仿宋简体" w:cs="Times New Roman"/>
        <w:sz w:val="28"/>
        <w:szCs w:val="28"/>
      </w:rPr>
    </w:lvl>
    <w:lvl w:ilvl="1" w:tentative="0">
      <w:start w:val="1"/>
      <w:numFmt w:val="decimal"/>
      <w:lvlText w:val="（%2）"/>
      <w:lvlJc w:val="left"/>
      <w:pPr>
        <w:tabs>
          <w:tab w:val="left" w:pos="1702"/>
        </w:tabs>
        <w:ind w:left="1702" w:hanging="720"/>
      </w:pPr>
      <w:rPr>
        <w:rFonts w:hint="eastAsia"/>
        <w:u w:val="none"/>
        <w:lang w:val="en-US"/>
      </w:rPr>
    </w:lvl>
    <w:lvl w:ilvl="2" w:tentative="0">
      <w:start w:val="1"/>
      <w:numFmt w:val="lowerRoman"/>
      <w:lvlText w:val="%3."/>
      <w:lvlJc w:val="right"/>
      <w:pPr>
        <w:tabs>
          <w:tab w:val="left" w:pos="1822"/>
        </w:tabs>
        <w:ind w:left="1822" w:hanging="420"/>
      </w:pPr>
    </w:lvl>
    <w:lvl w:ilvl="3" w:tentative="0">
      <w:start w:val="1"/>
      <w:numFmt w:val="decimal"/>
      <w:lvlText w:val="%4."/>
      <w:lvlJc w:val="left"/>
      <w:pPr>
        <w:tabs>
          <w:tab w:val="left" w:pos="2242"/>
        </w:tabs>
        <w:ind w:left="2242" w:hanging="420"/>
      </w:pPr>
    </w:lvl>
    <w:lvl w:ilvl="4" w:tentative="0">
      <w:start w:val="1"/>
      <w:numFmt w:val="lowerLetter"/>
      <w:lvlText w:val="%5)"/>
      <w:lvlJc w:val="left"/>
      <w:pPr>
        <w:tabs>
          <w:tab w:val="left" w:pos="2662"/>
        </w:tabs>
        <w:ind w:left="2662" w:hanging="420"/>
      </w:pPr>
    </w:lvl>
    <w:lvl w:ilvl="5" w:tentative="0">
      <w:start w:val="1"/>
      <w:numFmt w:val="lowerRoman"/>
      <w:lvlText w:val="%6."/>
      <w:lvlJc w:val="right"/>
      <w:pPr>
        <w:tabs>
          <w:tab w:val="left" w:pos="3082"/>
        </w:tabs>
        <w:ind w:left="3082" w:hanging="420"/>
      </w:pPr>
    </w:lvl>
    <w:lvl w:ilvl="6" w:tentative="0">
      <w:start w:val="1"/>
      <w:numFmt w:val="decimal"/>
      <w:lvlText w:val="%7."/>
      <w:lvlJc w:val="left"/>
      <w:pPr>
        <w:tabs>
          <w:tab w:val="left" w:pos="3502"/>
        </w:tabs>
        <w:ind w:left="3502" w:hanging="420"/>
      </w:pPr>
    </w:lvl>
    <w:lvl w:ilvl="7" w:tentative="0">
      <w:start w:val="1"/>
      <w:numFmt w:val="lowerLetter"/>
      <w:lvlText w:val="%8)"/>
      <w:lvlJc w:val="left"/>
      <w:pPr>
        <w:tabs>
          <w:tab w:val="left" w:pos="3922"/>
        </w:tabs>
        <w:ind w:left="3922" w:hanging="420"/>
      </w:pPr>
    </w:lvl>
    <w:lvl w:ilvl="8" w:tentative="0">
      <w:start w:val="1"/>
      <w:numFmt w:val="lowerRoman"/>
      <w:lvlText w:val="%9."/>
      <w:lvlJc w:val="right"/>
      <w:pPr>
        <w:tabs>
          <w:tab w:val="left" w:pos="4342"/>
        </w:tabs>
        <w:ind w:left="4342" w:hanging="420"/>
      </w:pPr>
    </w:lvl>
  </w:abstractNum>
  <w:abstractNum w:abstractNumId="5">
    <w:nsid w:val="28661B61"/>
    <w:multiLevelType w:val="multilevel"/>
    <w:tmpl w:val="28661B61"/>
    <w:lvl w:ilvl="0" w:tentative="0">
      <w:start w:val="1"/>
      <w:numFmt w:val="bullet"/>
      <w:lvlText w:val=""/>
      <w:lvlJc w:val="left"/>
      <w:pPr>
        <w:tabs>
          <w:tab w:val="left" w:pos="982"/>
        </w:tabs>
        <w:ind w:left="982" w:hanging="420"/>
      </w:pPr>
      <w:rPr>
        <w:rFonts w:hint="default" w:ascii="Wingdings" w:hAnsi="Wingdings"/>
        <w:kern w:val="2"/>
        <w:sz w:val="24"/>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6">
    <w:nsid w:val="28AB70EA"/>
    <w:multiLevelType w:val="multilevel"/>
    <w:tmpl w:val="28AB70EA"/>
    <w:lvl w:ilvl="0" w:tentative="0">
      <w:start w:val="1"/>
      <w:numFmt w:val="bullet"/>
      <w:lvlText w:val=""/>
      <w:lvlJc w:val="left"/>
      <w:pPr>
        <w:tabs>
          <w:tab w:val="left" w:pos="980"/>
        </w:tabs>
        <w:ind w:left="980" w:hanging="420"/>
      </w:pPr>
      <w:rPr>
        <w:rFonts w:hint="default" w:ascii="Wingdings" w:hAnsi="Wingdings"/>
      </w:rPr>
    </w:lvl>
    <w:lvl w:ilvl="1" w:tentative="0">
      <w:start w:val="1"/>
      <w:numFmt w:val="bullet"/>
      <w:lvlText w:val=""/>
      <w:lvlJc w:val="left"/>
      <w:pPr>
        <w:tabs>
          <w:tab w:val="left" w:pos="1400"/>
        </w:tabs>
        <w:ind w:left="1400" w:hanging="420"/>
      </w:pPr>
      <w:rPr>
        <w:rFonts w:hint="default" w:ascii="Wingdings" w:hAnsi="Wingdings"/>
      </w:rPr>
    </w:lvl>
    <w:lvl w:ilvl="2" w:tentative="0">
      <w:start w:val="1"/>
      <w:numFmt w:val="bullet"/>
      <w:lvlText w:val=""/>
      <w:lvlJc w:val="left"/>
      <w:pPr>
        <w:tabs>
          <w:tab w:val="left" w:pos="1820"/>
        </w:tabs>
        <w:ind w:left="1820" w:hanging="420"/>
      </w:pPr>
      <w:rPr>
        <w:rFonts w:hint="default" w:ascii="Wingdings" w:hAnsi="Wingdings"/>
      </w:rPr>
    </w:lvl>
    <w:lvl w:ilvl="3" w:tentative="0">
      <w:start w:val="1"/>
      <w:numFmt w:val="bullet"/>
      <w:lvlText w:val=""/>
      <w:lvlJc w:val="left"/>
      <w:pPr>
        <w:tabs>
          <w:tab w:val="left" w:pos="2240"/>
        </w:tabs>
        <w:ind w:left="2240" w:hanging="420"/>
      </w:pPr>
      <w:rPr>
        <w:rFonts w:hint="default" w:ascii="Wingdings" w:hAnsi="Wingdings"/>
      </w:rPr>
    </w:lvl>
    <w:lvl w:ilvl="4" w:tentative="0">
      <w:start w:val="1"/>
      <w:numFmt w:val="bullet"/>
      <w:lvlText w:val=""/>
      <w:lvlJc w:val="left"/>
      <w:pPr>
        <w:tabs>
          <w:tab w:val="left" w:pos="2660"/>
        </w:tabs>
        <w:ind w:left="2660" w:hanging="420"/>
      </w:pPr>
      <w:rPr>
        <w:rFonts w:hint="default" w:ascii="Wingdings" w:hAnsi="Wingdings"/>
      </w:rPr>
    </w:lvl>
    <w:lvl w:ilvl="5" w:tentative="0">
      <w:start w:val="1"/>
      <w:numFmt w:val="bullet"/>
      <w:lvlText w:val=""/>
      <w:lvlJc w:val="left"/>
      <w:pPr>
        <w:tabs>
          <w:tab w:val="left" w:pos="3080"/>
        </w:tabs>
        <w:ind w:left="3080" w:hanging="420"/>
      </w:pPr>
      <w:rPr>
        <w:rFonts w:hint="default" w:ascii="Wingdings" w:hAnsi="Wingdings"/>
      </w:rPr>
    </w:lvl>
    <w:lvl w:ilvl="6" w:tentative="0">
      <w:start w:val="1"/>
      <w:numFmt w:val="bullet"/>
      <w:lvlText w:val=""/>
      <w:lvlJc w:val="left"/>
      <w:pPr>
        <w:tabs>
          <w:tab w:val="left" w:pos="3500"/>
        </w:tabs>
        <w:ind w:left="3500" w:hanging="420"/>
      </w:pPr>
      <w:rPr>
        <w:rFonts w:hint="default" w:ascii="Wingdings" w:hAnsi="Wingdings"/>
      </w:rPr>
    </w:lvl>
    <w:lvl w:ilvl="7" w:tentative="0">
      <w:start w:val="1"/>
      <w:numFmt w:val="bullet"/>
      <w:lvlText w:val=""/>
      <w:lvlJc w:val="left"/>
      <w:pPr>
        <w:tabs>
          <w:tab w:val="left" w:pos="3920"/>
        </w:tabs>
        <w:ind w:left="3920" w:hanging="420"/>
      </w:pPr>
      <w:rPr>
        <w:rFonts w:hint="default" w:ascii="Wingdings" w:hAnsi="Wingdings"/>
      </w:rPr>
    </w:lvl>
    <w:lvl w:ilvl="8" w:tentative="0">
      <w:start w:val="1"/>
      <w:numFmt w:val="bullet"/>
      <w:lvlText w:val=""/>
      <w:lvlJc w:val="left"/>
      <w:pPr>
        <w:tabs>
          <w:tab w:val="left" w:pos="4340"/>
        </w:tabs>
        <w:ind w:left="4340" w:hanging="420"/>
      </w:pPr>
      <w:rPr>
        <w:rFonts w:hint="default" w:ascii="Wingdings" w:hAnsi="Wingdings"/>
      </w:rPr>
    </w:lvl>
  </w:abstractNum>
  <w:abstractNum w:abstractNumId="7">
    <w:nsid w:val="3006224F"/>
    <w:multiLevelType w:val="multilevel"/>
    <w:tmpl w:val="3006224F"/>
    <w:lvl w:ilvl="0" w:tentative="0">
      <w:start w:val="1"/>
      <w:numFmt w:val="bullet"/>
      <w:lvlText w:val=""/>
      <w:lvlJc w:val="left"/>
      <w:pPr>
        <w:tabs>
          <w:tab w:val="left" w:pos="980"/>
        </w:tabs>
        <w:ind w:left="980" w:hanging="420"/>
      </w:pPr>
      <w:rPr>
        <w:rFonts w:hint="default" w:ascii="Wingdings" w:hAnsi="Wingdings"/>
      </w:rPr>
    </w:lvl>
    <w:lvl w:ilvl="1" w:tentative="0">
      <w:start w:val="1"/>
      <w:numFmt w:val="decimal"/>
      <w:lvlText w:val="（%2）"/>
      <w:lvlJc w:val="left"/>
      <w:pPr>
        <w:tabs>
          <w:tab w:val="left" w:pos="1140"/>
        </w:tabs>
        <w:ind w:left="1140" w:hanging="720"/>
      </w:pPr>
      <w:rPr>
        <w:rFonts w:hint="eastAsia"/>
        <w:u w:val="none"/>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4785F29"/>
    <w:multiLevelType w:val="multilevel"/>
    <w:tmpl w:val="44785F29"/>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A991B65"/>
    <w:multiLevelType w:val="multilevel"/>
    <w:tmpl w:val="4A991B65"/>
    <w:lvl w:ilvl="0" w:tentative="0">
      <w:start w:val="1"/>
      <w:numFmt w:val="bullet"/>
      <w:lvlText w:val=""/>
      <w:lvlJc w:val="left"/>
      <w:pPr>
        <w:tabs>
          <w:tab w:val="left" w:pos="982"/>
        </w:tabs>
        <w:ind w:left="982" w:hanging="420"/>
      </w:pPr>
      <w:rPr>
        <w:rFonts w:hint="default" w:ascii="Wingdings" w:hAnsi="Wingdings"/>
        <w:kern w:val="2"/>
        <w:sz w:val="24"/>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0">
    <w:nsid w:val="4D027B2A"/>
    <w:multiLevelType w:val="multilevel"/>
    <w:tmpl w:val="4D027B2A"/>
    <w:lvl w:ilvl="0" w:tentative="0">
      <w:start w:val="1"/>
      <w:numFmt w:val="bullet"/>
      <w:lvlText w:val=""/>
      <w:lvlJc w:val="left"/>
      <w:pPr>
        <w:tabs>
          <w:tab w:val="left" w:pos="980"/>
        </w:tabs>
        <w:ind w:left="980" w:hanging="420"/>
      </w:pPr>
      <w:rPr>
        <w:rFonts w:hint="default" w:ascii="Wingdings" w:hAnsi="Wingdings"/>
      </w:rPr>
    </w:lvl>
    <w:lvl w:ilvl="1" w:tentative="0">
      <w:start w:val="1"/>
      <w:numFmt w:val="decimal"/>
      <w:lvlText w:val="（%2）"/>
      <w:lvlJc w:val="left"/>
      <w:pPr>
        <w:tabs>
          <w:tab w:val="left" w:pos="1140"/>
        </w:tabs>
        <w:ind w:left="1140" w:hanging="720"/>
      </w:pPr>
      <w:rPr>
        <w:rFonts w:hint="eastAsia"/>
        <w:u w:val="none"/>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4D7C5703"/>
    <w:multiLevelType w:val="multilevel"/>
    <w:tmpl w:val="4D7C5703"/>
    <w:lvl w:ilvl="0" w:tentative="0">
      <w:start w:val="1"/>
      <w:numFmt w:val="decimal"/>
      <w:lvlText w:val="（%1）"/>
      <w:lvlJc w:val="left"/>
      <w:pPr>
        <w:tabs>
          <w:tab w:val="left" w:pos="1140"/>
        </w:tabs>
        <w:ind w:left="1140" w:hanging="720"/>
      </w:pPr>
      <w:rPr>
        <w:rFonts w:hint="eastAsia"/>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4E1D7FE6"/>
    <w:multiLevelType w:val="multilevel"/>
    <w:tmpl w:val="4E1D7FE6"/>
    <w:lvl w:ilvl="0" w:tentative="0">
      <w:start w:val="1"/>
      <w:numFmt w:val="bullet"/>
      <w:lvlText w:val=""/>
      <w:lvlJc w:val="left"/>
      <w:pPr>
        <w:tabs>
          <w:tab w:val="left" w:pos="980"/>
        </w:tabs>
        <w:ind w:left="980" w:hanging="420"/>
      </w:pPr>
      <w:rPr>
        <w:rFonts w:hint="default" w:ascii="Wingdings" w:hAnsi="Wingdings"/>
      </w:rPr>
    </w:lvl>
    <w:lvl w:ilvl="1" w:tentative="0">
      <w:start w:val="1"/>
      <w:numFmt w:val="decimal"/>
      <w:lvlText w:val="（%2）"/>
      <w:lvlJc w:val="left"/>
      <w:pPr>
        <w:tabs>
          <w:tab w:val="left" w:pos="1287"/>
        </w:tabs>
        <w:ind w:left="1287" w:hanging="720"/>
      </w:pPr>
      <w:rPr>
        <w:rFonts w:hint="eastAsia"/>
        <w:u w:val="none"/>
        <w:lang w:val="en-US"/>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3">
    <w:nsid w:val="53663F54"/>
    <w:multiLevelType w:val="multilevel"/>
    <w:tmpl w:val="53663F54"/>
    <w:lvl w:ilvl="0" w:tentative="0">
      <w:start w:val="1"/>
      <w:numFmt w:val="decimal"/>
      <w:lvlText w:val="%1."/>
      <w:lvlJc w:val="left"/>
      <w:pPr>
        <w:ind w:left="1566" w:hanging="420"/>
      </w:pPr>
    </w:lvl>
    <w:lvl w:ilvl="1" w:tentative="0">
      <w:start w:val="1"/>
      <w:numFmt w:val="lowerLetter"/>
      <w:lvlText w:val="%2)"/>
      <w:lvlJc w:val="left"/>
      <w:pPr>
        <w:ind w:left="1986" w:hanging="420"/>
      </w:pPr>
    </w:lvl>
    <w:lvl w:ilvl="2" w:tentative="0">
      <w:start w:val="1"/>
      <w:numFmt w:val="lowerRoman"/>
      <w:lvlText w:val="%3."/>
      <w:lvlJc w:val="right"/>
      <w:pPr>
        <w:ind w:left="2406" w:hanging="420"/>
      </w:pPr>
    </w:lvl>
    <w:lvl w:ilvl="3" w:tentative="0">
      <w:start w:val="1"/>
      <w:numFmt w:val="decimal"/>
      <w:lvlText w:val="%4."/>
      <w:lvlJc w:val="left"/>
      <w:pPr>
        <w:ind w:left="2826" w:hanging="420"/>
      </w:pPr>
    </w:lvl>
    <w:lvl w:ilvl="4" w:tentative="0">
      <w:start w:val="1"/>
      <w:numFmt w:val="lowerLetter"/>
      <w:lvlText w:val="%5)"/>
      <w:lvlJc w:val="left"/>
      <w:pPr>
        <w:ind w:left="3246" w:hanging="420"/>
      </w:pPr>
    </w:lvl>
    <w:lvl w:ilvl="5" w:tentative="0">
      <w:start w:val="1"/>
      <w:numFmt w:val="lowerRoman"/>
      <w:lvlText w:val="%6."/>
      <w:lvlJc w:val="right"/>
      <w:pPr>
        <w:ind w:left="3666" w:hanging="420"/>
      </w:pPr>
    </w:lvl>
    <w:lvl w:ilvl="6" w:tentative="0">
      <w:start w:val="1"/>
      <w:numFmt w:val="decimal"/>
      <w:lvlText w:val="%7."/>
      <w:lvlJc w:val="left"/>
      <w:pPr>
        <w:ind w:left="4086" w:hanging="420"/>
      </w:pPr>
    </w:lvl>
    <w:lvl w:ilvl="7" w:tentative="0">
      <w:start w:val="1"/>
      <w:numFmt w:val="lowerLetter"/>
      <w:lvlText w:val="%8)"/>
      <w:lvlJc w:val="left"/>
      <w:pPr>
        <w:ind w:left="4506" w:hanging="420"/>
      </w:pPr>
    </w:lvl>
    <w:lvl w:ilvl="8" w:tentative="0">
      <w:start w:val="1"/>
      <w:numFmt w:val="lowerRoman"/>
      <w:lvlText w:val="%9."/>
      <w:lvlJc w:val="right"/>
      <w:pPr>
        <w:ind w:left="4926" w:hanging="420"/>
      </w:pPr>
    </w:lvl>
  </w:abstractNum>
  <w:abstractNum w:abstractNumId="14">
    <w:nsid w:val="55E163A0"/>
    <w:multiLevelType w:val="multilevel"/>
    <w:tmpl w:val="55E163A0"/>
    <w:lvl w:ilvl="0" w:tentative="0">
      <w:start w:val="1"/>
      <w:numFmt w:val="bullet"/>
      <w:lvlText w:val=""/>
      <w:lvlJc w:val="left"/>
      <w:pPr>
        <w:tabs>
          <w:tab w:val="left" w:pos="980"/>
        </w:tabs>
        <w:ind w:left="980" w:hanging="420"/>
      </w:pPr>
      <w:rPr>
        <w:rFonts w:hint="default" w:ascii="Wingdings" w:hAnsi="Wingdings"/>
      </w:rPr>
    </w:lvl>
    <w:lvl w:ilvl="1" w:tentative="0">
      <w:start w:val="1"/>
      <w:numFmt w:val="bullet"/>
      <w:lvlText w:val=""/>
      <w:lvlJc w:val="left"/>
      <w:pPr>
        <w:tabs>
          <w:tab w:val="left" w:pos="1400"/>
        </w:tabs>
        <w:ind w:left="1400" w:hanging="420"/>
      </w:pPr>
      <w:rPr>
        <w:rFonts w:hint="default" w:ascii="Wingdings" w:hAnsi="Wingdings"/>
      </w:rPr>
    </w:lvl>
    <w:lvl w:ilvl="2" w:tentative="0">
      <w:start w:val="1"/>
      <w:numFmt w:val="bullet"/>
      <w:lvlText w:val=""/>
      <w:lvlJc w:val="left"/>
      <w:pPr>
        <w:tabs>
          <w:tab w:val="left" w:pos="1820"/>
        </w:tabs>
        <w:ind w:left="1820" w:hanging="420"/>
      </w:pPr>
      <w:rPr>
        <w:rFonts w:hint="default" w:ascii="Wingdings" w:hAnsi="Wingdings"/>
      </w:rPr>
    </w:lvl>
    <w:lvl w:ilvl="3" w:tentative="0">
      <w:start w:val="1"/>
      <w:numFmt w:val="bullet"/>
      <w:lvlText w:val=""/>
      <w:lvlJc w:val="left"/>
      <w:pPr>
        <w:tabs>
          <w:tab w:val="left" w:pos="2240"/>
        </w:tabs>
        <w:ind w:left="2240" w:hanging="420"/>
      </w:pPr>
      <w:rPr>
        <w:rFonts w:hint="default" w:ascii="Wingdings" w:hAnsi="Wingdings"/>
      </w:rPr>
    </w:lvl>
    <w:lvl w:ilvl="4" w:tentative="0">
      <w:start w:val="1"/>
      <w:numFmt w:val="bullet"/>
      <w:lvlText w:val=""/>
      <w:lvlJc w:val="left"/>
      <w:pPr>
        <w:tabs>
          <w:tab w:val="left" w:pos="2660"/>
        </w:tabs>
        <w:ind w:left="2660" w:hanging="420"/>
      </w:pPr>
      <w:rPr>
        <w:rFonts w:hint="default" w:ascii="Wingdings" w:hAnsi="Wingdings"/>
      </w:rPr>
    </w:lvl>
    <w:lvl w:ilvl="5" w:tentative="0">
      <w:start w:val="1"/>
      <w:numFmt w:val="bullet"/>
      <w:lvlText w:val=""/>
      <w:lvlJc w:val="left"/>
      <w:pPr>
        <w:tabs>
          <w:tab w:val="left" w:pos="3080"/>
        </w:tabs>
        <w:ind w:left="3080" w:hanging="420"/>
      </w:pPr>
      <w:rPr>
        <w:rFonts w:hint="default" w:ascii="Wingdings" w:hAnsi="Wingdings"/>
      </w:rPr>
    </w:lvl>
    <w:lvl w:ilvl="6" w:tentative="0">
      <w:start w:val="1"/>
      <w:numFmt w:val="bullet"/>
      <w:lvlText w:val=""/>
      <w:lvlJc w:val="left"/>
      <w:pPr>
        <w:tabs>
          <w:tab w:val="left" w:pos="3500"/>
        </w:tabs>
        <w:ind w:left="3500" w:hanging="420"/>
      </w:pPr>
      <w:rPr>
        <w:rFonts w:hint="default" w:ascii="Wingdings" w:hAnsi="Wingdings"/>
      </w:rPr>
    </w:lvl>
    <w:lvl w:ilvl="7" w:tentative="0">
      <w:start w:val="1"/>
      <w:numFmt w:val="bullet"/>
      <w:lvlText w:val=""/>
      <w:lvlJc w:val="left"/>
      <w:pPr>
        <w:tabs>
          <w:tab w:val="left" w:pos="3920"/>
        </w:tabs>
        <w:ind w:left="3920" w:hanging="420"/>
      </w:pPr>
      <w:rPr>
        <w:rFonts w:hint="default" w:ascii="Wingdings" w:hAnsi="Wingdings"/>
      </w:rPr>
    </w:lvl>
    <w:lvl w:ilvl="8" w:tentative="0">
      <w:start w:val="1"/>
      <w:numFmt w:val="bullet"/>
      <w:lvlText w:val=""/>
      <w:lvlJc w:val="left"/>
      <w:pPr>
        <w:tabs>
          <w:tab w:val="left" w:pos="4340"/>
        </w:tabs>
        <w:ind w:left="4340" w:hanging="420"/>
      </w:pPr>
      <w:rPr>
        <w:rFonts w:hint="default" w:ascii="Wingdings" w:hAnsi="Wingdings"/>
      </w:rPr>
    </w:lvl>
  </w:abstractNum>
  <w:abstractNum w:abstractNumId="15">
    <w:nsid w:val="605A2422"/>
    <w:multiLevelType w:val="multilevel"/>
    <w:tmpl w:val="605A2422"/>
    <w:lvl w:ilvl="0" w:tentative="0">
      <w:start w:val="1"/>
      <w:numFmt w:val="decimal"/>
      <w:lvlText w:val="%1."/>
      <w:lvlJc w:val="left"/>
      <w:pPr>
        <w:tabs>
          <w:tab w:val="left" w:pos="980"/>
        </w:tabs>
        <w:ind w:left="980" w:hanging="420"/>
      </w:pPr>
    </w:lvl>
    <w:lvl w:ilvl="1" w:tentative="0">
      <w:start w:val="1"/>
      <w:numFmt w:val="decimal"/>
      <w:lvlText w:val="（%2）"/>
      <w:lvlJc w:val="left"/>
      <w:pPr>
        <w:tabs>
          <w:tab w:val="left" w:pos="1700"/>
        </w:tabs>
        <w:ind w:left="1700" w:hanging="720"/>
      </w:pPr>
      <w:rPr>
        <w:rFonts w:hint="eastAsia"/>
        <w:u w:val="none"/>
      </w:rPr>
    </w:lvl>
    <w:lvl w:ilvl="2" w:tentative="0">
      <w:start w:val="1"/>
      <w:numFmt w:val="lowerRoman"/>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6">
    <w:nsid w:val="61BA5BC6"/>
    <w:multiLevelType w:val="multilevel"/>
    <w:tmpl w:val="61BA5BC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676436E3"/>
    <w:multiLevelType w:val="multilevel"/>
    <w:tmpl w:val="676436E3"/>
    <w:lvl w:ilvl="0" w:tentative="0">
      <w:start w:val="1"/>
      <w:numFmt w:val="decimal"/>
      <w:pStyle w:val="37"/>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7"/>
  </w:num>
  <w:num w:numId="2">
    <w:abstractNumId w:val="1"/>
  </w:num>
  <w:num w:numId="3">
    <w:abstractNumId w:val="6"/>
  </w:num>
  <w:num w:numId="4">
    <w:abstractNumId w:val="8"/>
  </w:num>
  <w:num w:numId="5">
    <w:abstractNumId w:val="11"/>
  </w:num>
  <w:num w:numId="6">
    <w:abstractNumId w:val="7"/>
  </w:num>
  <w:num w:numId="7">
    <w:abstractNumId w:val="15"/>
  </w:num>
  <w:num w:numId="8">
    <w:abstractNumId w:val="12"/>
  </w:num>
  <w:num w:numId="9">
    <w:abstractNumId w:val="10"/>
  </w:num>
  <w:num w:numId="10">
    <w:abstractNumId w:val="3"/>
  </w:num>
  <w:num w:numId="11">
    <w:abstractNumId w:val="4"/>
  </w:num>
  <w:num w:numId="12">
    <w:abstractNumId w:val="0"/>
  </w:num>
  <w:num w:numId="13">
    <w:abstractNumId w:val="13"/>
  </w:num>
  <w:num w:numId="14">
    <w:abstractNumId w:val="9"/>
  </w:num>
  <w:num w:numId="15">
    <w:abstractNumId w:val="14"/>
  </w:num>
  <w:num w:numId="16">
    <w:abstractNumId w:val="5"/>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0B1"/>
    <w:rsid w:val="00031152"/>
    <w:rsid w:val="000D0E65"/>
    <w:rsid w:val="00170633"/>
    <w:rsid w:val="00234D3F"/>
    <w:rsid w:val="00276C55"/>
    <w:rsid w:val="00523426"/>
    <w:rsid w:val="00614870"/>
    <w:rsid w:val="00632BEC"/>
    <w:rsid w:val="00652DF5"/>
    <w:rsid w:val="007060B6"/>
    <w:rsid w:val="007D05ED"/>
    <w:rsid w:val="007F7536"/>
    <w:rsid w:val="00810EA9"/>
    <w:rsid w:val="008F70B1"/>
    <w:rsid w:val="00920440"/>
    <w:rsid w:val="00B070AB"/>
    <w:rsid w:val="00C53895"/>
    <w:rsid w:val="00F37015"/>
    <w:rsid w:val="05450789"/>
    <w:rsid w:val="12850CD4"/>
    <w:rsid w:val="2E775D62"/>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宋体" w:hAnsi="宋体" w:eastAsia="宋体" w:cstheme="maj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heme="majorBidi"/>
      <w:kern w:val="2"/>
      <w:sz w:val="24"/>
      <w:szCs w:val="32"/>
      <w:lang w:val="en-US" w:eastAsia="zh-CN" w:bidi="ar-SA"/>
    </w:rPr>
  </w:style>
  <w:style w:type="paragraph" w:styleId="2">
    <w:name w:val="heading 1"/>
    <w:next w:val="1"/>
    <w:link w:val="39"/>
    <w:qFormat/>
    <w:uiPriority w:val="0"/>
    <w:pPr>
      <w:keepNext/>
      <w:keepLines/>
      <w:pageBreakBefore/>
      <w:spacing w:before="480" w:after="330" w:line="578" w:lineRule="auto"/>
      <w:jc w:val="center"/>
      <w:outlineLvl w:val="0"/>
    </w:pPr>
    <w:rPr>
      <w:rFonts w:ascii="Times New Roman" w:hAnsi="Times New Roman" w:eastAsia="黑体" w:cs="Times New Roman"/>
      <w:b/>
      <w:bCs/>
      <w:kern w:val="44"/>
      <w:sz w:val="32"/>
      <w:szCs w:val="44"/>
      <w:lang w:val="en-US" w:eastAsia="zh-CN" w:bidi="ar-SA"/>
    </w:rPr>
  </w:style>
  <w:style w:type="paragraph" w:styleId="3">
    <w:name w:val="heading 2"/>
    <w:basedOn w:val="1"/>
    <w:next w:val="1"/>
    <w:link w:val="38"/>
    <w:unhideWhenUsed/>
    <w:qFormat/>
    <w:uiPriority w:val="0"/>
    <w:pPr>
      <w:keepNext/>
      <w:keepLines/>
      <w:spacing w:before="260" w:after="260" w:line="416" w:lineRule="auto"/>
      <w:outlineLvl w:val="1"/>
    </w:pPr>
    <w:rPr>
      <w:rFonts w:asciiTheme="majorHAnsi" w:hAnsiTheme="majorHAnsi" w:eastAsiaTheme="majorEastAsia"/>
      <w:b/>
      <w:bCs/>
      <w:sz w:val="32"/>
    </w:rPr>
  </w:style>
  <w:style w:type="paragraph" w:styleId="4">
    <w:name w:val="heading 3"/>
    <w:basedOn w:val="1"/>
    <w:next w:val="1"/>
    <w:link w:val="26"/>
    <w:unhideWhenUsed/>
    <w:qFormat/>
    <w:uiPriority w:val="0"/>
    <w:pPr>
      <w:keepNext/>
      <w:keepLines/>
      <w:widowControl/>
      <w:spacing w:before="200" w:line="276" w:lineRule="auto"/>
      <w:jc w:val="left"/>
      <w:outlineLvl w:val="2"/>
    </w:pPr>
    <w:rPr>
      <w:rFonts w:ascii="Cambria" w:hAnsi="Cambria" w:cs="Times New Roman"/>
      <w:b/>
      <w:color w:val="4F81BD"/>
      <w:kern w:val="0"/>
      <w:sz w:val="22"/>
      <w:szCs w:val="22"/>
      <w:lang w:eastAsia="en-US" w:bidi="en-US"/>
    </w:rPr>
  </w:style>
  <w:style w:type="paragraph" w:styleId="5">
    <w:name w:val="heading 4"/>
    <w:basedOn w:val="1"/>
    <w:next w:val="1"/>
    <w:link w:val="27"/>
    <w:unhideWhenUsed/>
    <w:qFormat/>
    <w:uiPriority w:val="0"/>
    <w:pPr>
      <w:keepNext/>
      <w:keepLines/>
      <w:spacing w:before="280" w:after="290" w:line="374" w:lineRule="auto"/>
      <w:outlineLvl w:val="3"/>
    </w:pPr>
    <w:rPr>
      <w:rFonts w:cs="Times New Roman" w:asciiTheme="majorHAnsi" w:hAnsiTheme="majorHAnsi" w:eastAsiaTheme="majorEastAsia"/>
      <w:b/>
      <w:bCs/>
      <w:sz w:val="28"/>
      <w:szCs w:val="28"/>
    </w:rPr>
  </w:style>
  <w:style w:type="paragraph" w:styleId="6">
    <w:name w:val="heading 5"/>
    <w:basedOn w:val="1"/>
    <w:next w:val="1"/>
    <w:link w:val="28"/>
    <w:unhideWhenUsed/>
    <w:qFormat/>
    <w:uiPriority w:val="0"/>
    <w:pPr>
      <w:keepNext/>
      <w:keepLines/>
      <w:spacing w:before="280" w:after="290" w:line="374" w:lineRule="auto"/>
      <w:outlineLvl w:val="4"/>
    </w:pPr>
    <w:rPr>
      <w:rFonts w:cs="Times New Roman" w:asciiTheme="minorHAnsi" w:hAnsiTheme="minorHAnsi"/>
      <w:b/>
      <w:bCs/>
      <w:sz w:val="28"/>
      <w:szCs w:val="28"/>
    </w:rPr>
  </w:style>
  <w:style w:type="paragraph" w:styleId="7">
    <w:name w:val="heading 6"/>
    <w:basedOn w:val="1"/>
    <w:next w:val="1"/>
    <w:link w:val="40"/>
    <w:qFormat/>
    <w:uiPriority w:val="0"/>
    <w:pPr>
      <w:keepNext/>
      <w:keepLines/>
      <w:spacing w:before="240" w:after="64" w:line="320" w:lineRule="auto"/>
      <w:jc w:val="left"/>
      <w:outlineLvl w:val="5"/>
    </w:pPr>
    <w:rPr>
      <w:rFonts w:ascii="Arial" w:hAnsi="Arial" w:eastAsia="黑体" w:cs="Times New Roman"/>
      <w:b/>
      <w:bCs/>
      <w:szCs w:val="24"/>
    </w:rPr>
  </w:style>
  <w:style w:type="paragraph" w:styleId="8">
    <w:name w:val="heading 7"/>
    <w:basedOn w:val="1"/>
    <w:next w:val="1"/>
    <w:link w:val="41"/>
    <w:qFormat/>
    <w:uiPriority w:val="0"/>
    <w:pPr>
      <w:keepNext/>
      <w:keepLines/>
      <w:spacing w:before="240" w:after="64" w:line="320" w:lineRule="auto"/>
      <w:jc w:val="left"/>
      <w:outlineLvl w:val="6"/>
    </w:pPr>
    <w:rPr>
      <w:rFonts w:ascii="Times New Roman" w:hAnsi="Times New Roman" w:cs="Times New Roman"/>
      <w:b/>
      <w:bCs/>
      <w:szCs w:val="24"/>
    </w:rPr>
  </w:style>
  <w:style w:type="paragraph" w:styleId="9">
    <w:name w:val="heading 8"/>
    <w:basedOn w:val="1"/>
    <w:next w:val="1"/>
    <w:link w:val="42"/>
    <w:qFormat/>
    <w:uiPriority w:val="0"/>
    <w:pPr>
      <w:keepNext/>
      <w:keepLines/>
      <w:spacing w:before="240" w:after="64" w:line="320" w:lineRule="auto"/>
      <w:jc w:val="left"/>
      <w:outlineLvl w:val="7"/>
    </w:pPr>
    <w:rPr>
      <w:rFonts w:ascii="Arial" w:hAnsi="Arial" w:eastAsia="黑体" w:cs="Times New Roman"/>
      <w:szCs w:val="24"/>
    </w:rPr>
  </w:style>
  <w:style w:type="paragraph" w:styleId="10">
    <w:name w:val="heading 9"/>
    <w:basedOn w:val="1"/>
    <w:next w:val="1"/>
    <w:link w:val="43"/>
    <w:qFormat/>
    <w:uiPriority w:val="0"/>
    <w:pPr>
      <w:keepNext/>
      <w:keepLines/>
      <w:spacing w:before="240" w:after="64" w:line="320" w:lineRule="auto"/>
      <w:jc w:val="left"/>
      <w:outlineLvl w:val="8"/>
    </w:pPr>
    <w:rPr>
      <w:rFonts w:ascii="Arial" w:hAnsi="Arial" w:eastAsia="黑体" w:cs="Times New Roman"/>
      <w:sz w:val="21"/>
      <w:szCs w:val="21"/>
    </w:rPr>
  </w:style>
  <w:style w:type="character" w:default="1" w:styleId="23">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spacing w:before="156" w:beforeLines="50" w:line="360" w:lineRule="auto"/>
      <w:ind w:firstLine="480" w:firstLineChars="200"/>
    </w:pPr>
    <w:rPr>
      <w:rFonts w:ascii="Arial" w:hAnsi="Arial" w:cs="Times New Roman"/>
      <w:szCs w:val="24"/>
    </w:rPr>
  </w:style>
  <w:style w:type="paragraph" w:styleId="12">
    <w:name w:val="Document Map"/>
    <w:basedOn w:val="1"/>
    <w:link w:val="36"/>
    <w:semiHidden/>
    <w:unhideWhenUsed/>
    <w:qFormat/>
    <w:uiPriority w:val="99"/>
    <w:rPr>
      <w:szCs w:val="24"/>
    </w:rPr>
  </w:style>
  <w:style w:type="paragraph" w:styleId="13">
    <w:name w:val="Body Text Indent"/>
    <w:basedOn w:val="1"/>
    <w:link w:val="29"/>
    <w:qFormat/>
    <w:uiPriority w:val="0"/>
    <w:pPr>
      <w:widowControl/>
      <w:spacing w:after="200" w:line="500" w:lineRule="exact"/>
      <w:ind w:left="1588" w:leftChars="832" w:firstLine="433" w:firstLineChars="196"/>
      <w:jc w:val="left"/>
    </w:pPr>
    <w:rPr>
      <w:rFonts w:ascii="宋体" w:hAnsi="宋体" w:eastAsia="宋体"/>
      <w:bCs/>
      <w:szCs w:val="24"/>
    </w:rPr>
  </w:style>
  <w:style w:type="paragraph" w:styleId="14">
    <w:name w:val="toc 3"/>
    <w:basedOn w:val="1"/>
    <w:next w:val="1"/>
    <w:autoRedefine/>
    <w:unhideWhenUsed/>
    <w:qFormat/>
    <w:uiPriority w:val="39"/>
    <w:pPr>
      <w:spacing w:line="360" w:lineRule="auto"/>
      <w:ind w:left="840" w:leftChars="400"/>
      <w:jc w:val="left"/>
    </w:pPr>
    <w:rPr>
      <w:rFonts w:ascii="Times New Roman" w:hAnsi="Times New Roman" w:cs="Times New Roman"/>
      <w:szCs w:val="24"/>
    </w:rPr>
  </w:style>
  <w:style w:type="paragraph" w:styleId="15">
    <w:name w:val="Balloon Text"/>
    <w:basedOn w:val="1"/>
    <w:link w:val="49"/>
    <w:semiHidden/>
    <w:uiPriority w:val="0"/>
    <w:pPr>
      <w:spacing w:line="360" w:lineRule="auto"/>
      <w:jc w:val="left"/>
    </w:pPr>
    <w:rPr>
      <w:rFonts w:ascii="Times New Roman" w:hAnsi="Times New Roman" w:cs="Times New Roman"/>
      <w:sz w:val="18"/>
      <w:szCs w:val="18"/>
    </w:rPr>
  </w:style>
  <w:style w:type="paragraph" w:styleId="16">
    <w:name w:val="footer"/>
    <w:basedOn w:val="1"/>
    <w:link w:val="51"/>
    <w:unhideWhenUsed/>
    <w:uiPriority w:val="99"/>
    <w:pPr>
      <w:tabs>
        <w:tab w:val="center" w:pos="4153"/>
        <w:tab w:val="right" w:pos="8306"/>
      </w:tabs>
      <w:snapToGrid w:val="0"/>
      <w:jc w:val="left"/>
    </w:pPr>
    <w:rPr>
      <w:rFonts w:ascii="Times New Roman" w:hAnsi="Times New Roman" w:cs="Times New Roman"/>
      <w:sz w:val="18"/>
      <w:szCs w:val="18"/>
    </w:rPr>
  </w:style>
  <w:style w:type="paragraph" w:styleId="17">
    <w:name w:val="header"/>
    <w:basedOn w:val="1"/>
    <w:link w:val="50"/>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18">
    <w:name w:val="toc 2"/>
    <w:basedOn w:val="1"/>
    <w:next w:val="1"/>
    <w:autoRedefine/>
    <w:unhideWhenUsed/>
    <w:uiPriority w:val="39"/>
    <w:pPr>
      <w:spacing w:line="360" w:lineRule="auto"/>
      <w:ind w:left="420" w:leftChars="200"/>
      <w:jc w:val="left"/>
    </w:pPr>
    <w:rPr>
      <w:rFonts w:ascii="Times New Roman" w:hAnsi="Times New Roman" w:cs="Times New Roman"/>
      <w:szCs w:val="24"/>
    </w:rPr>
  </w:style>
  <w:style w:type="paragraph" w:styleId="19">
    <w:name w:val="Title"/>
    <w:basedOn w:val="1"/>
    <w:next w:val="1"/>
    <w:link w:val="48"/>
    <w:qFormat/>
    <w:uiPriority w:val="10"/>
    <w:pPr>
      <w:spacing w:before="240" w:after="60" w:line="360" w:lineRule="auto"/>
      <w:jc w:val="center"/>
      <w:outlineLvl w:val="0"/>
    </w:pPr>
    <w:rPr>
      <w:rFonts w:ascii="Cambria" w:hAnsi="Cambria" w:cs="Times New Roman"/>
      <w:b/>
      <w:bCs/>
      <w:sz w:val="32"/>
    </w:rPr>
  </w:style>
  <w:style w:type="table" w:styleId="21">
    <w:name w:val="Table Grid"/>
    <w:basedOn w:val="20"/>
    <w:qFormat/>
    <w:uiPriority w:val="5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22">
    <w:name w:val="Table Elegant"/>
    <w:basedOn w:val="20"/>
    <w:qFormat/>
    <w:uiPriority w:val="0"/>
    <w:pPr>
      <w:widowControl w:val="0"/>
      <w:spacing w:line="360" w:lineRule="auto"/>
      <w:ind w:firstLine="200" w:firstLineChars="200"/>
    </w:pPr>
    <w:rPr>
      <w:rFonts w:ascii="Times New Roman" w:hAnsi="Times New Roman" w:eastAsia="宋体" w:cs="Times New Roman"/>
      <w:kern w:val="0"/>
      <w:sz w:val="20"/>
      <w:szCs w:val="20"/>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character" w:styleId="24">
    <w:name w:val="page number"/>
    <w:basedOn w:val="23"/>
    <w:uiPriority w:val="0"/>
  </w:style>
  <w:style w:type="character" w:styleId="25">
    <w:name w:val="Hyperlink"/>
    <w:unhideWhenUsed/>
    <w:uiPriority w:val="99"/>
    <w:rPr>
      <w:color w:val="0000FF"/>
      <w:u w:val="single"/>
    </w:rPr>
  </w:style>
  <w:style w:type="character" w:customStyle="1" w:styleId="26">
    <w:name w:val="标题 3字符"/>
    <w:basedOn w:val="23"/>
    <w:link w:val="4"/>
    <w:uiPriority w:val="0"/>
    <w:rPr>
      <w:rFonts w:ascii="Cambria" w:hAnsi="Cambria" w:eastAsia="宋体" w:cs="Times New Roman"/>
      <w:b/>
      <w:color w:val="4F81BD"/>
      <w:kern w:val="0"/>
      <w:sz w:val="22"/>
      <w:szCs w:val="22"/>
      <w:lang w:eastAsia="en-US" w:bidi="en-US"/>
    </w:rPr>
  </w:style>
  <w:style w:type="character" w:customStyle="1" w:styleId="27">
    <w:name w:val="标题 4字符"/>
    <w:basedOn w:val="23"/>
    <w:link w:val="5"/>
    <w:qFormat/>
    <w:uiPriority w:val="0"/>
    <w:rPr>
      <w:rFonts w:cs="Times New Roman" w:asciiTheme="majorHAnsi" w:hAnsiTheme="majorHAnsi" w:eastAsiaTheme="majorEastAsia"/>
      <w:b/>
      <w:sz w:val="28"/>
      <w:szCs w:val="28"/>
    </w:rPr>
  </w:style>
  <w:style w:type="character" w:customStyle="1" w:styleId="28">
    <w:name w:val="标题 5字符"/>
    <w:basedOn w:val="23"/>
    <w:link w:val="6"/>
    <w:qFormat/>
    <w:uiPriority w:val="0"/>
    <w:rPr>
      <w:rFonts w:eastAsia="宋体" w:cs="Times New Roman" w:asciiTheme="minorHAnsi" w:hAnsiTheme="minorHAnsi"/>
      <w:b/>
      <w:sz w:val="28"/>
      <w:szCs w:val="28"/>
    </w:rPr>
  </w:style>
  <w:style w:type="character" w:customStyle="1" w:styleId="29">
    <w:name w:val="正文文本缩进字符"/>
    <w:link w:val="13"/>
    <w:qFormat/>
    <w:uiPriority w:val="0"/>
    <w:rPr>
      <w:szCs w:val="24"/>
    </w:rPr>
  </w:style>
  <w:style w:type="character" w:customStyle="1" w:styleId="30">
    <w:name w:val="正文文本缩进字符1"/>
    <w:basedOn w:val="23"/>
    <w:semiHidden/>
    <w:qFormat/>
    <w:uiPriority w:val="99"/>
    <w:rPr>
      <w:rFonts w:ascii="宋体" w:hAnsi="宋体" w:eastAsia="宋体"/>
    </w:rPr>
  </w:style>
  <w:style w:type="paragraph" w:styleId="31">
    <w:name w:val="List Paragraph"/>
    <w:basedOn w:val="1"/>
    <w:qFormat/>
    <w:uiPriority w:val="34"/>
    <w:pPr>
      <w:widowControl/>
      <w:spacing w:after="200" w:line="276" w:lineRule="auto"/>
      <w:ind w:left="720"/>
      <w:contextualSpacing/>
      <w:jc w:val="left"/>
    </w:pPr>
    <w:rPr>
      <w:rFonts w:ascii="Calibri" w:hAnsi="Calibri" w:cs="Times New Roman"/>
      <w:bCs/>
      <w:kern w:val="0"/>
      <w:sz w:val="22"/>
      <w:szCs w:val="22"/>
      <w:lang w:eastAsia="en-US" w:bidi="en-US"/>
    </w:rPr>
  </w:style>
  <w:style w:type="paragraph" w:customStyle="1" w:styleId="32">
    <w:name w:val="IBM 正文"/>
    <w:basedOn w:val="1"/>
    <w:qFormat/>
    <w:uiPriority w:val="0"/>
    <w:pPr>
      <w:spacing w:line="360" w:lineRule="exact"/>
    </w:pPr>
    <w:rPr>
      <w:rFonts w:ascii="Times New Roman" w:hAnsi="Times New Roman" w:cs="Times New Roman"/>
      <w:bCs/>
      <w:szCs w:val="20"/>
    </w:rPr>
  </w:style>
  <w:style w:type="paragraph" w:customStyle="1" w:styleId="33">
    <w:name w:val="Default Text"/>
    <w:basedOn w:val="1"/>
    <w:uiPriority w:val="0"/>
    <w:pPr>
      <w:widowControl/>
      <w:jc w:val="left"/>
    </w:pPr>
    <w:rPr>
      <w:rFonts w:ascii="Times New Roman" w:hAnsi="Times New Roman" w:cs="Times New Roman"/>
      <w:bCs/>
      <w:snapToGrid w:val="0"/>
      <w:kern w:val="0"/>
      <w:szCs w:val="20"/>
      <w:lang w:eastAsia="en-US"/>
    </w:rPr>
  </w:style>
  <w:style w:type="paragraph" w:customStyle="1" w:styleId="34">
    <w:name w:val="KS表格"/>
    <w:basedOn w:val="1"/>
    <w:link w:val="35"/>
    <w:qFormat/>
    <w:uiPriority w:val="0"/>
    <w:pPr>
      <w:spacing w:line="300" w:lineRule="auto"/>
    </w:pPr>
    <w:rPr>
      <w:rFonts w:ascii="Times New Roman" w:hAnsi="Times New Roman" w:cs="Times New Roman"/>
      <w:sz w:val="21"/>
      <w:szCs w:val="22"/>
      <w:lang w:val="zh-CN" w:eastAsia="zh-CN"/>
    </w:rPr>
  </w:style>
  <w:style w:type="character" w:customStyle="1" w:styleId="35">
    <w:name w:val="KS表格 Char"/>
    <w:link w:val="34"/>
    <w:qFormat/>
    <w:uiPriority w:val="0"/>
    <w:rPr>
      <w:rFonts w:ascii="Times New Roman" w:hAnsi="Times New Roman" w:eastAsia="宋体" w:cs="Times New Roman"/>
      <w:sz w:val="21"/>
      <w:szCs w:val="22"/>
      <w:lang w:val="zh-CN" w:eastAsia="zh-CN"/>
    </w:rPr>
  </w:style>
  <w:style w:type="character" w:customStyle="1" w:styleId="36">
    <w:name w:val="文档结构图字符"/>
    <w:basedOn w:val="23"/>
    <w:link w:val="12"/>
    <w:semiHidden/>
    <w:uiPriority w:val="99"/>
    <w:rPr>
      <w:rFonts w:ascii="宋体" w:hAnsi="宋体" w:eastAsia="宋体"/>
      <w:szCs w:val="24"/>
    </w:rPr>
  </w:style>
  <w:style w:type="paragraph" w:customStyle="1" w:styleId="37">
    <w:name w:val="正文 标书 1小节"/>
    <w:basedOn w:val="1"/>
    <w:uiPriority w:val="0"/>
    <w:pPr>
      <w:widowControl/>
      <w:numPr>
        <w:ilvl w:val="0"/>
        <w:numId w:val="1"/>
      </w:numPr>
      <w:spacing w:before="50" w:beforeLines="50" w:after="50" w:afterLines="50" w:line="460" w:lineRule="atLeast"/>
      <w:jc w:val="left"/>
    </w:pPr>
    <w:rPr>
      <w:rFonts w:ascii="Arial" w:hAnsi="Arial" w:cs="宋体"/>
      <w:bCs/>
      <w:kern w:val="0"/>
      <w:sz w:val="21"/>
      <w:szCs w:val="20"/>
      <w:lang w:val="en-GB" w:eastAsia="en-US"/>
    </w:rPr>
  </w:style>
  <w:style w:type="character" w:customStyle="1" w:styleId="38">
    <w:name w:val="标题 2字符"/>
    <w:basedOn w:val="23"/>
    <w:link w:val="3"/>
    <w:qFormat/>
    <w:uiPriority w:val="0"/>
    <w:rPr>
      <w:rFonts w:asciiTheme="majorHAnsi" w:hAnsiTheme="majorHAnsi" w:eastAsiaTheme="majorEastAsia"/>
      <w:b/>
      <w:sz w:val="32"/>
    </w:rPr>
  </w:style>
  <w:style w:type="character" w:customStyle="1" w:styleId="39">
    <w:name w:val="标题 1字符"/>
    <w:basedOn w:val="23"/>
    <w:link w:val="2"/>
    <w:qFormat/>
    <w:uiPriority w:val="0"/>
    <w:rPr>
      <w:rFonts w:ascii="Times New Roman" w:hAnsi="Times New Roman" w:eastAsia="黑体" w:cs="Times New Roman"/>
      <w:b/>
      <w:kern w:val="44"/>
      <w:sz w:val="32"/>
      <w:szCs w:val="44"/>
    </w:rPr>
  </w:style>
  <w:style w:type="character" w:customStyle="1" w:styleId="40">
    <w:name w:val="标题 6字符"/>
    <w:basedOn w:val="23"/>
    <w:link w:val="7"/>
    <w:qFormat/>
    <w:uiPriority w:val="0"/>
    <w:rPr>
      <w:rFonts w:ascii="Arial" w:hAnsi="Arial" w:eastAsia="黑体" w:cs="Times New Roman"/>
      <w:b/>
      <w:szCs w:val="24"/>
    </w:rPr>
  </w:style>
  <w:style w:type="character" w:customStyle="1" w:styleId="41">
    <w:name w:val="标题 7字符"/>
    <w:basedOn w:val="23"/>
    <w:link w:val="8"/>
    <w:uiPriority w:val="0"/>
    <w:rPr>
      <w:rFonts w:ascii="Times New Roman" w:hAnsi="Times New Roman" w:eastAsia="宋体" w:cs="Times New Roman"/>
      <w:b/>
      <w:szCs w:val="24"/>
    </w:rPr>
  </w:style>
  <w:style w:type="character" w:customStyle="1" w:styleId="42">
    <w:name w:val="标题 8字符"/>
    <w:basedOn w:val="23"/>
    <w:link w:val="9"/>
    <w:qFormat/>
    <w:uiPriority w:val="0"/>
    <w:rPr>
      <w:rFonts w:ascii="Arial" w:hAnsi="Arial" w:eastAsia="黑体" w:cs="Times New Roman"/>
      <w:szCs w:val="24"/>
    </w:rPr>
  </w:style>
  <w:style w:type="character" w:customStyle="1" w:styleId="43">
    <w:name w:val="标题 9字符"/>
    <w:basedOn w:val="23"/>
    <w:link w:val="10"/>
    <w:uiPriority w:val="0"/>
    <w:rPr>
      <w:rFonts w:ascii="Arial" w:hAnsi="Arial" w:eastAsia="黑体" w:cs="Times New Roman"/>
      <w:sz w:val="21"/>
      <w:szCs w:val="21"/>
    </w:rPr>
  </w:style>
  <w:style w:type="character" w:customStyle="1" w:styleId="44">
    <w:name w:val="标题 4 Char"/>
    <w:semiHidden/>
    <w:qFormat/>
    <w:uiPriority w:val="9"/>
    <w:rPr>
      <w:rFonts w:ascii="Cambria" w:hAnsi="Cambria" w:eastAsia="宋体" w:cs="Times New Roman"/>
      <w:b/>
      <w:sz w:val="28"/>
      <w:szCs w:val="28"/>
    </w:rPr>
  </w:style>
  <w:style w:type="paragraph" w:customStyle="1" w:styleId="45">
    <w:name w:val="样式 首行缩进:  2 字符"/>
    <w:basedOn w:val="1"/>
    <w:link w:val="47"/>
    <w:qFormat/>
    <w:uiPriority w:val="0"/>
    <w:pPr>
      <w:spacing w:line="360" w:lineRule="auto"/>
      <w:ind w:firstLine="480" w:firstLineChars="200"/>
    </w:pPr>
    <w:rPr>
      <w:rFonts w:ascii="Times New Roman" w:hAnsi="Times New Roman" w:cs="宋体"/>
      <w:szCs w:val="20"/>
    </w:rPr>
  </w:style>
  <w:style w:type="paragraph" w:customStyle="1" w:styleId="46">
    <w:name w:val="表格"/>
    <w:next w:val="1"/>
    <w:autoRedefine/>
    <w:uiPriority w:val="0"/>
    <w:pPr>
      <w:widowControl w:val="0"/>
      <w:jc w:val="both"/>
    </w:pPr>
    <w:rPr>
      <w:rFonts w:ascii="Times New Roman" w:hAnsi="Times New Roman" w:eastAsia="宋体" w:cs="Times New Roman"/>
      <w:kern w:val="2"/>
      <w:sz w:val="24"/>
      <w:szCs w:val="24"/>
      <w:lang w:val="en-US" w:eastAsia="zh-CN" w:bidi="ar-SA"/>
    </w:rPr>
  </w:style>
  <w:style w:type="character" w:customStyle="1" w:styleId="47">
    <w:name w:val="样式 首行缩进:  2 字符 Char"/>
    <w:link w:val="45"/>
    <w:qFormat/>
    <w:uiPriority w:val="0"/>
    <w:rPr>
      <w:rFonts w:ascii="Times New Roman" w:hAnsi="Times New Roman" w:eastAsia="宋体" w:cs="宋体"/>
      <w:szCs w:val="20"/>
    </w:rPr>
  </w:style>
  <w:style w:type="character" w:customStyle="1" w:styleId="48">
    <w:name w:val="标题字符"/>
    <w:basedOn w:val="23"/>
    <w:link w:val="19"/>
    <w:uiPriority w:val="10"/>
    <w:rPr>
      <w:rFonts w:ascii="Cambria" w:hAnsi="Cambria" w:eastAsia="宋体" w:cs="Times New Roman"/>
      <w:b/>
      <w:sz w:val="32"/>
    </w:rPr>
  </w:style>
  <w:style w:type="character" w:customStyle="1" w:styleId="49">
    <w:name w:val="批注框文本字符"/>
    <w:basedOn w:val="23"/>
    <w:link w:val="15"/>
    <w:semiHidden/>
    <w:uiPriority w:val="0"/>
    <w:rPr>
      <w:rFonts w:ascii="Times New Roman" w:hAnsi="Times New Roman" w:eastAsia="宋体" w:cs="Times New Roman"/>
      <w:sz w:val="18"/>
      <w:szCs w:val="18"/>
    </w:rPr>
  </w:style>
  <w:style w:type="character" w:customStyle="1" w:styleId="50">
    <w:name w:val="页眉字符"/>
    <w:basedOn w:val="23"/>
    <w:link w:val="17"/>
    <w:qFormat/>
    <w:uiPriority w:val="99"/>
    <w:rPr>
      <w:rFonts w:ascii="Times New Roman" w:hAnsi="Times New Roman" w:eastAsia="宋体" w:cs="Times New Roman"/>
      <w:sz w:val="18"/>
      <w:szCs w:val="18"/>
    </w:rPr>
  </w:style>
  <w:style w:type="character" w:customStyle="1" w:styleId="51">
    <w:name w:val="页脚字符"/>
    <w:basedOn w:val="23"/>
    <w:link w:val="16"/>
    <w:qFormat/>
    <w:uiPriority w:val="99"/>
    <w:rPr>
      <w:rFonts w:ascii="Times New Roman" w:hAnsi="Times New Roman" w:eastAsia="宋体" w:cs="Times New Roman"/>
      <w:sz w:val="18"/>
      <w:szCs w:val="18"/>
    </w:rPr>
  </w:style>
  <w:style w:type="paragraph" w:customStyle="1" w:styleId="52">
    <w:name w:val="段"/>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character" w:customStyle="1" w:styleId="53">
    <w:name w:val="样式 首行缩进:  2 字符 Char Char1"/>
    <w:qFormat/>
    <w:uiPriority w:val="0"/>
    <w:rPr>
      <w:rFonts w:eastAsia="宋体" w:cs="宋体"/>
      <w:kern w:val="2"/>
      <w:sz w:val="21"/>
      <w:szCs w:val="21"/>
      <w:lang w:val="en-US" w:eastAsia="zh-CN" w:bidi="ar-SA"/>
    </w:rPr>
  </w:style>
  <w:style w:type="paragraph" w:customStyle="1" w:styleId="54">
    <w:name w:val="文章正文"/>
    <w:basedOn w:val="1"/>
    <w:link w:val="55"/>
    <w:uiPriority w:val="0"/>
    <w:pPr>
      <w:spacing w:line="360" w:lineRule="auto"/>
      <w:ind w:firstLine="420"/>
    </w:pPr>
    <w:rPr>
      <w:rFonts w:ascii="Times New Roman" w:hAnsi="Times New Roman" w:cs="Times New Roman"/>
      <w:szCs w:val="24"/>
      <w:lang w:val="zh-CN" w:eastAsia="zh-CN"/>
    </w:rPr>
  </w:style>
  <w:style w:type="character" w:customStyle="1" w:styleId="55">
    <w:name w:val="文章正文 Char"/>
    <w:link w:val="54"/>
    <w:uiPriority w:val="0"/>
    <w:rPr>
      <w:rFonts w:ascii="Times New Roman" w:hAnsi="Times New Roman" w:eastAsia="宋体" w:cs="Times New Roman"/>
      <w:szCs w:val="24"/>
      <w:lang w:val="zh-CN" w:eastAsia="zh-CN"/>
    </w:rPr>
  </w:style>
  <w:style w:type="paragraph" w:customStyle="1" w:styleId="56">
    <w:name w:val="MM Topic 2"/>
    <w:basedOn w:val="3"/>
    <w:qFormat/>
    <w:uiPriority w:val="0"/>
    <w:pPr>
      <w:numPr>
        <w:ilvl w:val="4"/>
        <w:numId w:val="2"/>
      </w:numPr>
      <w:tabs>
        <w:tab w:val="left" w:pos="992"/>
        <w:tab w:val="clear" w:pos="2551"/>
      </w:tabs>
    </w:pPr>
    <w:rPr>
      <w:rFonts w:ascii="Arial" w:hAnsi="Arial" w:eastAsia="黑体" w:cs="Times New Roman"/>
    </w:rPr>
  </w:style>
  <w:style w:type="paragraph" w:customStyle="1" w:styleId="57">
    <w:name w:val="MM Topic 3"/>
    <w:basedOn w:val="4"/>
    <w:uiPriority w:val="0"/>
    <w:pPr>
      <w:widowControl w:val="0"/>
      <w:numPr>
        <w:ilvl w:val="5"/>
        <w:numId w:val="2"/>
      </w:numPr>
      <w:tabs>
        <w:tab w:val="left" w:pos="1418"/>
        <w:tab w:val="clear" w:pos="3260"/>
      </w:tabs>
      <w:spacing w:before="260" w:after="260" w:line="416" w:lineRule="auto"/>
      <w:jc w:val="both"/>
    </w:pPr>
    <w:rPr>
      <w:rFonts w:ascii="Times New Roman" w:hAnsi="Times New Roman"/>
      <w:bCs/>
      <w:color w:val="auto"/>
      <w:kern w:val="2"/>
      <w:sz w:val="32"/>
      <w:szCs w:val="32"/>
      <w:lang w:eastAsia="zh-CN" w:bidi="ar-SA"/>
    </w:rPr>
  </w:style>
  <w:style w:type="paragraph" w:customStyle="1" w:styleId="58">
    <w:name w:val="MM Topic 4"/>
    <w:basedOn w:val="5"/>
    <w:uiPriority w:val="0"/>
    <w:pPr>
      <w:numPr>
        <w:ilvl w:val="7"/>
        <w:numId w:val="2"/>
      </w:numPr>
      <w:tabs>
        <w:tab w:val="left" w:pos="1984"/>
        <w:tab w:val="clear" w:pos="4394"/>
      </w:tabs>
      <w:spacing w:line="376" w:lineRule="auto"/>
    </w:pPr>
    <w:rPr>
      <w:rFonts w:ascii="Arial" w:hAnsi="Arial" w:eastAsia="黑体"/>
    </w:rPr>
  </w:style>
  <w:style w:type="paragraph" w:customStyle="1" w:styleId="59">
    <w:name w:val="MM Topic 5"/>
    <w:basedOn w:val="6"/>
    <w:qFormat/>
    <w:uiPriority w:val="0"/>
    <w:pPr>
      <w:numPr>
        <w:ilvl w:val="8"/>
        <w:numId w:val="2"/>
      </w:numPr>
      <w:tabs>
        <w:tab w:val="clear" w:pos="5102"/>
      </w:tabs>
      <w:spacing w:line="376" w:lineRule="auto"/>
    </w:pPr>
    <w:rPr>
      <w:rFonts w:ascii="Times New Roman" w:hAnsi="Times New Roman"/>
    </w:rPr>
  </w:style>
  <w:style w:type="paragraph" w:customStyle="1" w:styleId="60">
    <w:name w:val="Բ㕽΄"/>
    <w:basedOn w:val="1"/>
    <w:autoRedefine/>
    <w:uiPriority w:val="0"/>
    <w:pPr>
      <w:adjustRightInd w:val="0"/>
      <w:snapToGrid w:val="0"/>
      <w:spacing w:beforeLines="50" w:afterLines="50" w:line="319" w:lineRule="auto"/>
      <w:ind w:firstLine="580" w:firstLineChars="200"/>
    </w:pPr>
    <w:rPr>
      <w:rFonts w:ascii="Times New Roman" w:hAnsi="Times New Roman" w:eastAsia="սΟGBK" w:cs="Times New Roman"/>
      <w:szCs w:val="22"/>
    </w:rPr>
  </w:style>
  <w:style w:type="paragraph" w:customStyle="1" w:styleId="61">
    <w:name w:val="文档正文"/>
    <w:basedOn w:val="1"/>
    <w:uiPriority w:val="0"/>
    <w:pPr>
      <w:spacing w:before="156" w:after="156" w:line="264" w:lineRule="auto"/>
      <w:ind w:firstLine="480" w:firstLineChars="200"/>
    </w:pPr>
    <w:rPr>
      <w:rFonts w:ascii="Times New Roman" w:hAnsi="Times New Roman" w:eastAsia="仿宋_GB2312" w:cs="宋体"/>
      <w:szCs w:val="20"/>
    </w:rPr>
  </w:style>
  <w:style w:type="paragraph" w:customStyle="1" w:styleId="62">
    <w:name w:val="TOC Heading"/>
    <w:basedOn w:val="2"/>
    <w:next w:val="1"/>
    <w:qFormat/>
    <w:uiPriority w:val="39"/>
    <w:pPr>
      <w:pageBreakBefore w:val="0"/>
      <w:spacing w:after="0" w:line="276" w:lineRule="auto"/>
      <w:jc w:val="left"/>
      <w:outlineLvl w:val="9"/>
    </w:pPr>
    <w:rPr>
      <w:rFonts w:ascii="Cambria" w:hAnsi="Cambria" w:eastAsia="宋体"/>
      <w:color w:val="365F91"/>
      <w:kern w:val="0"/>
      <w:sz w:val="28"/>
      <w:szCs w:val="28"/>
    </w:rPr>
  </w:style>
  <w:style w:type="paragraph" w:customStyle="1" w:styleId="63">
    <w:name w:val="样式 标题 2市检方案标题2第一层条h22章标题节标题第一章 标题 2Heading 2 HiddenHead..."/>
    <w:basedOn w:val="3"/>
    <w:uiPriority w:val="0"/>
    <w:pPr>
      <w:widowControl/>
      <w:spacing w:before="0" w:after="0" w:line="312" w:lineRule="auto"/>
      <w:jc w:val="left"/>
    </w:pPr>
    <w:rPr>
      <w:rFonts w:ascii="Times New Roman" w:hAnsi="Times New Roman" w:eastAsia="方正仿宋简体" w:cs="宋体"/>
      <w:sz w:val="30"/>
      <w:szCs w:val="20"/>
    </w:rPr>
  </w:style>
  <w:style w:type="paragraph" w:customStyle="1" w:styleId="64">
    <w:name w:val="样式 标题 5第四层条dashdsdddash1ds1dd1第四层条1第四层条2第四层条3H5h5Se..."/>
    <w:basedOn w:val="6"/>
    <w:uiPriority w:val="0"/>
    <w:pPr>
      <w:spacing w:before="0" w:after="0" w:line="312" w:lineRule="auto"/>
      <w:jc w:val="left"/>
    </w:pPr>
    <w:rPr>
      <w:rFonts w:ascii="Times New Roman" w:hAnsi="Times New Roman" w:eastAsia="方正仿宋简体" w:cs="宋体"/>
      <w:szCs w:val="20"/>
    </w:rPr>
  </w:style>
  <w:style w:type="paragraph" w:customStyle="1" w:styleId="65">
    <w:name w:val="Revision"/>
    <w:hidden/>
    <w:semiHidden/>
    <w:uiPriority w:val="99"/>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2779</Words>
  <Characters>2973</Characters>
  <Lines>87</Lines>
  <Paragraphs>24</Paragraphs>
  <TotalTime>1</TotalTime>
  <ScaleCrop>false</ScaleCrop>
  <LinksUpToDate>false</LinksUpToDate>
  <CharactersWithSpaces>3021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2017-08-27T14:50:00Z</dcterms:created>
  <dc:creator>xy soul</dc:creator>
  <cp:lastModifiedBy>申伶</cp:lastModifiedBy>
  <dcterms:modified xsi:type="dcterms:W3CDTF">2025-01-06T05:20:23Z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82018B9E15BB45AC85D960ABAB062125_12</vt:lpwstr>
  </property>
</Properties>
</file>