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7029C">
      <w:pPr>
        <w:jc w:val="center"/>
        <w:rPr>
          <w:rFonts w:ascii="黑体" w:hAnsi="黑体" w:eastAsia="黑体"/>
          <w:b/>
          <w:bCs/>
          <w:color w:val="000000"/>
          <w:sz w:val="52"/>
          <w:szCs w:val="52"/>
        </w:rPr>
      </w:pPr>
      <w:r>
        <w:rPr>
          <w:rFonts w:ascii="黑体" w:hAnsi="黑体" w:eastAsia="黑体"/>
          <w:b/>
          <w:bCs/>
          <w:color w:val="000000"/>
          <w:sz w:val="52"/>
          <w:szCs w:val="52"/>
        </w:rPr>
        <w:pict>
          <v:shape id="文本框 2" o:spid="_x0000_s1029"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241204D3">
                  <w:pPr>
                    <w:pStyle w:val="56"/>
                    <w:ind w:left="0" w:right="35"/>
                    <w:jc w:val="right"/>
                    <w:rPr>
                      <w:rFonts w:ascii="宋体" w:hAnsi="宋体" w:eastAsia="宋体"/>
                      <w:b/>
                      <w:sz w:val="21"/>
                      <w:szCs w:val="21"/>
                    </w:rPr>
                  </w:pPr>
                  <w:r>
                    <w:rPr>
                      <w:rFonts w:hint="eastAsia" w:ascii="宋体" w:hAnsi="宋体" w:eastAsia="宋体"/>
                      <w:b/>
                      <w:sz w:val="21"/>
                      <w:szCs w:val="21"/>
                    </w:rPr>
                    <w:t>密级分类：</w:t>
                  </w:r>
                </w:p>
                <w:p w14:paraId="4FA620A9"/>
              </w:txbxContent>
            </v:textbox>
          </v:shape>
        </w:pict>
      </w:r>
    </w:p>
    <w:p w14:paraId="75584CBF">
      <w:pPr>
        <w:jc w:val="center"/>
        <w:rPr>
          <w:rFonts w:hint="eastAsia" w:ascii="黑体" w:hAnsi="黑体" w:eastAsia="黑体"/>
          <w:b/>
          <w:bCs/>
          <w:color w:val="000000"/>
          <w:sz w:val="52"/>
          <w:szCs w:val="52"/>
          <w:lang w:eastAsia="zh-CN"/>
        </w:rPr>
      </w:pPr>
      <w:bookmarkStart w:id="26" w:name="_GoBack"/>
      <w:r>
        <w:rPr>
          <w:rFonts w:hint="eastAsia" w:ascii="黑体" w:hAnsi="黑体" w:eastAsia="黑体"/>
          <w:b/>
          <w:bCs/>
          <w:color w:val="000000"/>
          <w:sz w:val="52"/>
          <w:szCs w:val="52"/>
          <w:lang w:eastAsia="zh-CN"/>
        </w:rPr>
        <w:drawing>
          <wp:inline distT="0" distB="0" distL="114300" distR="114300">
            <wp:extent cx="5751830" cy="2856230"/>
            <wp:effectExtent l="0" t="0" r="8890" b="889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1"/>
                    <a:stretch>
                      <a:fillRect/>
                    </a:stretch>
                  </pic:blipFill>
                  <pic:spPr>
                    <a:xfrm>
                      <a:off x="0" y="0"/>
                      <a:ext cx="5751830" cy="2856230"/>
                    </a:xfrm>
                    <a:prstGeom prst="rect">
                      <a:avLst/>
                    </a:prstGeom>
                  </pic:spPr>
                </pic:pic>
              </a:graphicData>
            </a:graphic>
          </wp:inline>
        </w:drawing>
      </w:r>
      <w:bookmarkEnd w:id="26"/>
    </w:p>
    <w:p w14:paraId="3CE0AAB7">
      <w:pPr>
        <w:jc w:val="center"/>
        <w:rPr>
          <w:rFonts w:ascii="黑体" w:hAnsi="黑体" w:eastAsia="黑体"/>
          <w:b/>
          <w:bCs/>
          <w:color w:val="000000"/>
          <w:sz w:val="52"/>
          <w:szCs w:val="52"/>
        </w:rPr>
      </w:pPr>
    </w:p>
    <w:p w14:paraId="71DC46B6">
      <w:pPr>
        <w:jc w:val="center"/>
        <w:rPr>
          <w:rFonts w:ascii="黑体" w:hAnsi="黑体" w:eastAsia="黑体"/>
          <w:b/>
          <w:color w:val="000000"/>
          <w:sz w:val="52"/>
          <w:szCs w:val="52"/>
        </w:rPr>
      </w:pPr>
      <w:r>
        <w:rPr>
          <w:rFonts w:hint="eastAsia" w:ascii="黑体" w:hAnsi="黑体" w:eastAsia="黑体"/>
          <w:b/>
          <w:bCs/>
          <w:color w:val="000000"/>
          <w:sz w:val="52"/>
          <w:szCs w:val="52"/>
        </w:rPr>
        <w:t>公司</w:t>
      </w:r>
      <w:r>
        <w:rPr>
          <w:rFonts w:hint="eastAsia" w:ascii="黑体" w:hAnsi="黑体" w:eastAsia="黑体"/>
          <w:b/>
          <w:color w:val="000000"/>
          <w:sz w:val="52"/>
          <w:szCs w:val="52"/>
        </w:rPr>
        <w:t>文件</w:t>
      </w:r>
    </w:p>
    <w:p w14:paraId="77F02259">
      <w:pPr>
        <w:pStyle w:val="56"/>
        <w:ind w:left="0" w:right="0"/>
        <w:rPr>
          <w:rFonts w:ascii="仿宋" w:hAnsi="仿宋" w:eastAsia="仿宋"/>
          <w:b/>
          <w:bCs/>
          <w:color w:val="000000"/>
          <w:spacing w:val="0"/>
          <w:sz w:val="72"/>
          <w:szCs w:val="72"/>
        </w:rPr>
      </w:pPr>
      <w:r>
        <w:rPr>
          <w:rFonts w:hAnsi="黑体"/>
          <w:color w:val="000000"/>
        </w:rPr>
        <w:pict>
          <v:line id="直线 3" o:spid="_x0000_s1028"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00BD6C13">
      <w:pPr>
        <w:pStyle w:val="57"/>
        <w:tabs>
          <w:tab w:val="left" w:pos="8730"/>
        </w:tabs>
        <w:spacing w:line="360" w:lineRule="auto"/>
        <w:ind w:left="-2" w:hanging="141"/>
        <w:rPr>
          <w:rFonts w:ascii="仿宋" w:hAnsi="仿宋" w:eastAsia="仿宋"/>
          <w:color w:val="000000"/>
          <w:sz w:val="21"/>
          <w:szCs w:val="21"/>
        </w:rPr>
      </w:pPr>
    </w:p>
    <w:p w14:paraId="29C9080C">
      <w:pPr>
        <w:jc w:val="center"/>
        <w:rPr>
          <w:rFonts w:ascii="黑体" w:hAnsi="黑体" w:eastAsia="黑体"/>
          <w:sz w:val="52"/>
          <w:szCs w:val="52"/>
        </w:rPr>
      </w:pPr>
      <w:r>
        <w:rPr>
          <w:rFonts w:hint="eastAsia" w:ascii="黑体" w:hAnsi="黑体" w:eastAsia="黑体"/>
          <w:sz w:val="52"/>
          <w:szCs w:val="52"/>
        </w:rPr>
        <w:t>变更</w:t>
      </w:r>
      <w:r>
        <w:rPr>
          <w:rFonts w:ascii="黑体" w:hAnsi="黑体" w:eastAsia="黑体"/>
          <w:sz w:val="52"/>
          <w:szCs w:val="52"/>
        </w:rPr>
        <w:t>管理流程手册</w:t>
      </w:r>
    </w:p>
    <w:p w14:paraId="33EA8120">
      <w:pPr>
        <w:pStyle w:val="58"/>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7E21DA00">
      <w:pPr>
        <w:pStyle w:val="59"/>
        <w:numPr>
          <w:ilvl w:val="0"/>
          <w:numId w:val="0"/>
        </w:numPr>
        <w:ind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234CD63F">
      <w:pPr>
        <w:rPr>
          <w:rFonts w:ascii="仿宋" w:hAnsi="仿宋" w:eastAsia="仿宋"/>
          <w:color w:val="000000"/>
        </w:rPr>
      </w:pPr>
    </w:p>
    <w:p w14:paraId="7868FB4E">
      <w:pPr>
        <w:rPr>
          <w:rFonts w:ascii="仿宋" w:hAnsi="仿宋" w:eastAsia="仿宋"/>
          <w:color w:val="000000"/>
        </w:rPr>
      </w:pPr>
    </w:p>
    <w:p w14:paraId="5CC94579">
      <w:pPr>
        <w:rPr>
          <w:rFonts w:ascii="仿宋" w:hAnsi="仿宋" w:eastAsia="仿宋"/>
          <w:color w:val="000000"/>
        </w:rPr>
      </w:pPr>
    </w:p>
    <w:p w14:paraId="6301ED7C">
      <w:pPr>
        <w:rPr>
          <w:rFonts w:ascii="仿宋" w:hAnsi="仿宋" w:eastAsia="仿宋"/>
          <w:color w:val="000000"/>
        </w:rPr>
      </w:pPr>
    </w:p>
    <w:p w14:paraId="6085FC1A">
      <w:pPr>
        <w:rPr>
          <w:rFonts w:ascii="仿宋" w:hAnsi="仿宋" w:eastAsia="仿宋"/>
          <w:color w:val="000000"/>
        </w:rPr>
      </w:pPr>
    </w:p>
    <w:p w14:paraId="3E7AAB15">
      <w:pPr>
        <w:rPr>
          <w:rFonts w:ascii="仿宋" w:hAnsi="仿宋" w:eastAsia="仿宋"/>
          <w:color w:val="000000"/>
        </w:rPr>
      </w:pPr>
    </w:p>
    <w:p w14:paraId="549E5943">
      <w:pPr>
        <w:pStyle w:val="7"/>
        <w:spacing w:line="360" w:lineRule="auto"/>
        <w:rPr>
          <w:rFonts w:ascii="仿宋" w:hAnsi="仿宋" w:eastAsia="仿宋"/>
          <w:color w:val="000000"/>
          <w:sz w:val="28"/>
          <w:szCs w:val="28"/>
        </w:rPr>
      </w:pPr>
      <w:r>
        <w:rPr>
          <w:rFonts w:ascii="仿宋" w:hAnsi="仿宋" w:eastAsia="仿宋"/>
          <w:color w:val="000000"/>
        </w:rPr>
        <w:pict>
          <v:line id="直线 6" o:spid="_x0000_s1033" o:spt="20" style="position:absolute;left:0pt;flip:y;margin-left:190.75pt;margin-top:25.95pt;height:0.25pt;width:189pt;z-index:251664384;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1031" o:spt="202" type="#_x0000_t202" style="position:absolute;left:0pt;margin-left:37.5pt;margin-top:8.85pt;height:104.15pt;width:412.5pt;mso-wrap-distance-bottom:0pt;mso-wrap-distance-left:9pt;mso-wrap-distance-right:9pt;mso-wrap-distance-top:0pt;z-index:251662336;mso-width-relative:page;mso-height-relative:page;" filled="f" stroked="f" coordsize="21600,21600">
            <v:path/>
            <v:fill on="f" focussize="0,0"/>
            <v:stroke on="f" joinstyle="miter"/>
            <v:imagedata o:title=""/>
            <o:lock v:ext="edit"/>
            <v:textbox>
              <w:txbxContent>
                <w:p w14:paraId="6D0AB12C">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编制/日期：   </w:t>
                  </w:r>
                  <w:r>
                    <w:rPr>
                      <w:rFonts w:hint="eastAsia" w:ascii="仿宋" w:hAnsi="仿宋" w:eastAsia="仿宋"/>
                      <w:b/>
                      <w:sz w:val="28"/>
                      <w:szCs w:val="28"/>
                      <w:highlight w:val="yellow"/>
                    </w:rPr>
                    <w:t>X</w:t>
                  </w:r>
                  <w:r>
                    <w:rPr>
                      <w:rFonts w:ascii="仿宋" w:hAnsi="仿宋" w:eastAsia="仿宋"/>
                      <w:b/>
                      <w:sz w:val="28"/>
                      <w:szCs w:val="28"/>
                      <w:highlight w:val="yellow"/>
                    </w:rPr>
                    <w:t xml:space="preserve">XX   </w:t>
                  </w:r>
                  <w:r>
                    <w:rPr>
                      <w:rFonts w:hint="eastAsia" w:ascii="仿宋" w:hAnsi="仿宋" w:eastAsia="仿宋"/>
                      <w:b/>
                      <w:sz w:val="28"/>
                      <w:szCs w:val="28"/>
                      <w:highlight w:val="yellow"/>
                    </w:rPr>
                    <w:t xml:space="preserve">   /201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4EA89D68">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审核/日期：            </w:t>
                  </w:r>
                  <w:r>
                    <w:rPr>
                      <w:rFonts w:hint="eastAsia" w:ascii="仿宋" w:hAnsi="仿宋" w:eastAsia="仿宋"/>
                      <w:b/>
                      <w:sz w:val="28"/>
                      <w:szCs w:val="28"/>
                      <w:highlight w:val="yellow"/>
                    </w:rPr>
                    <w:t>/201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5A1451F7">
                  <w:pPr>
                    <w:spacing w:line="360" w:lineRule="auto"/>
                    <w:ind w:firstLine="1120" w:firstLineChars="400"/>
                    <w:rPr>
                      <w:sz w:val="28"/>
                      <w:szCs w:val="28"/>
                    </w:rPr>
                  </w:pPr>
                  <w:r>
                    <w:rPr>
                      <w:rFonts w:hint="eastAsia"/>
                      <w:sz w:val="28"/>
                      <w:szCs w:val="28"/>
                    </w:rPr>
                    <w:t xml:space="preserve"> </w:t>
                  </w:r>
                </w:p>
              </w:txbxContent>
            </v:textbox>
            <w10:wrap type="square"/>
          </v:shape>
        </w:pict>
      </w:r>
    </w:p>
    <w:p w14:paraId="3F606BE6">
      <w:pPr>
        <w:pStyle w:val="60"/>
        <w:jc w:val="both"/>
        <w:rPr>
          <w:rFonts w:ascii="仿宋" w:hAnsi="仿宋" w:eastAsia="仿宋"/>
          <w:color w:val="000000"/>
          <w:sz w:val="28"/>
          <w:szCs w:val="28"/>
        </w:rPr>
      </w:pPr>
      <w:r>
        <w:rPr>
          <w:rFonts w:ascii="仿宋" w:hAnsi="仿宋" w:eastAsia="仿宋"/>
          <w:color w:val="000000"/>
          <w:sz w:val="28"/>
          <w:szCs w:val="28"/>
        </w:rPr>
        <w:pict>
          <v:line id="直线 5" o:spid="_x0000_s1032" o:spt="20" style="position:absolute;left:0pt;flip:y;margin-left:189pt;margin-top:8.85pt;height:0.25pt;width:189pt;z-index:251663360;mso-width-relative:page;mso-height-relative:page;" coordsize="21600,21600">
            <v:path arrowok="t"/>
            <v:fill focussize="0,0"/>
            <v:stroke/>
            <v:imagedata o:title=""/>
            <o:lock v:ext="edit"/>
          </v:line>
        </w:pict>
      </w:r>
    </w:p>
    <w:p w14:paraId="4643D24F">
      <w:pPr>
        <w:pStyle w:val="60"/>
        <w:rPr>
          <w:rFonts w:ascii="仿宋" w:hAnsi="仿宋" w:eastAsia="仿宋"/>
          <w:color w:val="000000"/>
        </w:rPr>
      </w:pPr>
    </w:p>
    <w:p w14:paraId="61A4C92B">
      <w:pPr>
        <w:pStyle w:val="60"/>
        <w:rPr>
          <w:rFonts w:ascii="仿宋" w:hAnsi="仿宋" w:eastAsia="仿宋"/>
          <w:color w:val="000000"/>
        </w:rPr>
      </w:pPr>
    </w:p>
    <w:p w14:paraId="7CEE44FC">
      <w:pPr>
        <w:pStyle w:val="60"/>
        <w:rPr>
          <w:rFonts w:ascii="仿宋" w:hAnsi="仿宋" w:eastAsia="仿宋"/>
          <w:color w:val="000000"/>
        </w:rPr>
      </w:pPr>
    </w:p>
    <w:p w14:paraId="6BC07E5B">
      <w:pPr>
        <w:pStyle w:val="60"/>
        <w:rPr>
          <w:rFonts w:ascii="仿宋" w:hAnsi="仿宋" w:eastAsia="仿宋"/>
          <w:color w:val="000000"/>
        </w:rPr>
      </w:pPr>
      <w:r>
        <w:rPr>
          <w:rFonts w:ascii="仿宋" w:hAnsi="仿宋" w:eastAsia="仿宋"/>
          <w:color w:val="000000"/>
          <w:highlight w:val="yellow"/>
        </w:rPr>
        <w:pict>
          <v:line id="直线 8" o:spid="_x0000_s1030" o:spt="20" style="position:absolute;left:0pt;margin-left:0pt;margin-top:40.3pt;height:0pt;width:472.5pt;mso-wrap-distance-bottom:0pt;mso-wrap-distance-top:0pt;z-index:251661312;mso-width-relative:page;mso-height-relative:page;" coordsize="21600,21600">
            <v:path arrowok="t"/>
            <v:fill focussize="0,0"/>
            <v:stroke weight="1pt"/>
            <v:imagedata o:title=""/>
            <o:lock v:ext="edit"/>
            <w10:wrap type="topAndBottom"/>
          </v:line>
        </w:pict>
      </w:r>
      <w:r>
        <w:rPr>
          <w:rFonts w:hint="eastAsia" w:ascii="仿宋" w:hAnsi="仿宋" w:eastAsia="仿宋"/>
          <w:highlight w:val="yellow"/>
        </w:rPr>
        <w:t>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颁布                     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实施</w:t>
      </w:r>
      <w:r>
        <w:rPr>
          <w:rFonts w:hint="eastAsia" w:ascii="仿宋" w:hAnsi="仿宋" w:eastAsia="仿宋"/>
          <w:color w:val="000000"/>
        </w:rPr>
        <w:t xml:space="preserve">  </w:t>
      </w:r>
    </w:p>
    <w:p w14:paraId="22815A3A">
      <w:pPr>
        <w:widowControl/>
        <w:jc w:val="left"/>
        <w:rPr>
          <w:rFonts w:asciiTheme="majorEastAsia" w:hAnsiTheme="majorEastAsia"/>
          <w:b/>
          <w:sz w:val="40"/>
          <w:szCs w:val="40"/>
        </w:rPr>
      </w:pPr>
    </w:p>
    <w:p w14:paraId="3956A8A9">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37A5C9B9">
      <w:pPr>
        <w:spacing w:line="360" w:lineRule="auto"/>
        <w:rPr>
          <w:rFonts w:asciiTheme="minorEastAsia" w:hAnsiTheme="minorEastAsia" w:eastAsiaTheme="minorEastAsia"/>
          <w:szCs w:val="21"/>
        </w:rPr>
      </w:pPr>
    </w:p>
    <w:tbl>
      <w:tblPr>
        <w:tblStyle w:val="24"/>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312"/>
        <w:gridCol w:w="991"/>
        <w:gridCol w:w="969"/>
        <w:gridCol w:w="1091"/>
        <w:gridCol w:w="3994"/>
      </w:tblGrid>
      <w:tr w14:paraId="30D7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3" w:type="dxa"/>
            <w:tcBorders>
              <w:bottom w:val="single" w:color="auto" w:sz="4" w:space="0"/>
            </w:tcBorders>
            <w:shd w:val="clear" w:color="auto" w:fill="FFFFFF"/>
            <w:vAlign w:val="center"/>
          </w:tcPr>
          <w:p w14:paraId="7673129B">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312" w:type="dxa"/>
            <w:tcBorders>
              <w:bottom w:val="single" w:color="auto" w:sz="4" w:space="0"/>
            </w:tcBorders>
            <w:shd w:val="clear" w:color="auto" w:fill="FFFFFF"/>
            <w:vAlign w:val="center"/>
          </w:tcPr>
          <w:p w14:paraId="4EB61392">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991" w:type="dxa"/>
            <w:tcBorders>
              <w:bottom w:val="single" w:color="auto" w:sz="4" w:space="0"/>
            </w:tcBorders>
            <w:shd w:val="clear" w:color="auto" w:fill="FFFFFF"/>
            <w:vAlign w:val="center"/>
          </w:tcPr>
          <w:p w14:paraId="5B506F60">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969" w:type="dxa"/>
            <w:tcBorders>
              <w:bottom w:val="single" w:color="auto" w:sz="4" w:space="0"/>
            </w:tcBorders>
            <w:shd w:val="clear" w:color="auto" w:fill="FFFFFF"/>
          </w:tcPr>
          <w:p w14:paraId="0B9FC49D">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091" w:type="dxa"/>
            <w:tcBorders>
              <w:bottom w:val="single" w:color="auto" w:sz="4" w:space="0"/>
            </w:tcBorders>
            <w:shd w:val="clear" w:color="auto" w:fill="FFFFFF"/>
            <w:vAlign w:val="center"/>
          </w:tcPr>
          <w:p w14:paraId="056393A8">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3994" w:type="dxa"/>
            <w:tcBorders>
              <w:bottom w:val="single" w:color="auto" w:sz="4" w:space="0"/>
            </w:tcBorders>
            <w:shd w:val="clear" w:color="auto" w:fill="FFFFFF"/>
            <w:vAlign w:val="center"/>
          </w:tcPr>
          <w:p w14:paraId="7198215E">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07859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3" w:type="dxa"/>
            <w:shd w:val="clear" w:color="auto" w:fill="FFFFFF"/>
          </w:tcPr>
          <w:p w14:paraId="6749DFC6">
            <w:pPr>
              <w:spacing w:line="360" w:lineRule="auto"/>
              <w:rPr>
                <w:rFonts w:asciiTheme="minorEastAsia" w:hAnsiTheme="minorEastAsia" w:eastAsiaTheme="minorEastAsia"/>
                <w:szCs w:val="21"/>
              </w:rPr>
            </w:pPr>
          </w:p>
        </w:tc>
        <w:tc>
          <w:tcPr>
            <w:tcW w:w="1312" w:type="dxa"/>
            <w:shd w:val="clear" w:color="auto" w:fill="FFFFFF"/>
          </w:tcPr>
          <w:p w14:paraId="41790D03">
            <w:pPr>
              <w:spacing w:line="360" w:lineRule="auto"/>
              <w:rPr>
                <w:rFonts w:asciiTheme="minorEastAsia" w:hAnsiTheme="minorEastAsia" w:eastAsiaTheme="minorEastAsia"/>
                <w:szCs w:val="21"/>
              </w:rPr>
            </w:pPr>
          </w:p>
        </w:tc>
        <w:tc>
          <w:tcPr>
            <w:tcW w:w="991" w:type="dxa"/>
            <w:shd w:val="clear" w:color="auto" w:fill="FFFFFF"/>
          </w:tcPr>
          <w:p w14:paraId="22BF7776">
            <w:pPr>
              <w:spacing w:line="360" w:lineRule="auto"/>
              <w:rPr>
                <w:rFonts w:asciiTheme="minorEastAsia" w:hAnsiTheme="minorEastAsia" w:eastAsiaTheme="minorEastAsia"/>
                <w:szCs w:val="21"/>
              </w:rPr>
            </w:pPr>
          </w:p>
        </w:tc>
        <w:tc>
          <w:tcPr>
            <w:tcW w:w="969" w:type="dxa"/>
            <w:shd w:val="clear" w:color="auto" w:fill="FFFFFF"/>
          </w:tcPr>
          <w:p w14:paraId="7946EB07">
            <w:pPr>
              <w:spacing w:line="360" w:lineRule="auto"/>
              <w:rPr>
                <w:rFonts w:asciiTheme="minorEastAsia" w:hAnsiTheme="minorEastAsia" w:eastAsiaTheme="minorEastAsia"/>
                <w:szCs w:val="21"/>
              </w:rPr>
            </w:pPr>
          </w:p>
        </w:tc>
        <w:tc>
          <w:tcPr>
            <w:tcW w:w="1091" w:type="dxa"/>
            <w:shd w:val="clear" w:color="auto" w:fill="FFFFFF"/>
          </w:tcPr>
          <w:p w14:paraId="2DB0D0CA">
            <w:pPr>
              <w:spacing w:line="360" w:lineRule="auto"/>
              <w:rPr>
                <w:rFonts w:asciiTheme="minorEastAsia" w:hAnsiTheme="minorEastAsia" w:eastAsiaTheme="minorEastAsia"/>
                <w:szCs w:val="21"/>
              </w:rPr>
            </w:pPr>
          </w:p>
        </w:tc>
        <w:tc>
          <w:tcPr>
            <w:tcW w:w="3994" w:type="dxa"/>
            <w:shd w:val="clear" w:color="auto" w:fill="FFFFFF"/>
          </w:tcPr>
          <w:p w14:paraId="6BE68817">
            <w:pPr>
              <w:spacing w:line="360" w:lineRule="auto"/>
              <w:rPr>
                <w:rFonts w:asciiTheme="minorEastAsia" w:hAnsiTheme="minorEastAsia" w:eastAsiaTheme="minorEastAsia"/>
                <w:szCs w:val="21"/>
              </w:rPr>
            </w:pPr>
          </w:p>
        </w:tc>
      </w:tr>
      <w:tr w14:paraId="2C7B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3" w:type="dxa"/>
            <w:shd w:val="clear" w:color="auto" w:fill="FFFFFF"/>
            <w:vAlign w:val="center"/>
          </w:tcPr>
          <w:p w14:paraId="5BEFC888">
            <w:pPr>
              <w:spacing w:line="360" w:lineRule="auto"/>
              <w:rPr>
                <w:rFonts w:cs="Arial" w:asciiTheme="minorEastAsia" w:hAnsiTheme="minorEastAsia" w:eastAsiaTheme="minorEastAsia"/>
                <w:szCs w:val="21"/>
              </w:rPr>
            </w:pPr>
          </w:p>
        </w:tc>
        <w:tc>
          <w:tcPr>
            <w:tcW w:w="1312" w:type="dxa"/>
            <w:shd w:val="clear" w:color="auto" w:fill="FFFFFF"/>
            <w:vAlign w:val="center"/>
          </w:tcPr>
          <w:p w14:paraId="4B42564E">
            <w:pPr>
              <w:spacing w:line="360" w:lineRule="auto"/>
              <w:rPr>
                <w:rFonts w:cs="Arial" w:asciiTheme="minorEastAsia" w:hAnsiTheme="minorEastAsia" w:eastAsiaTheme="minorEastAsia"/>
                <w:szCs w:val="21"/>
              </w:rPr>
            </w:pPr>
          </w:p>
        </w:tc>
        <w:tc>
          <w:tcPr>
            <w:tcW w:w="991" w:type="dxa"/>
            <w:shd w:val="clear" w:color="auto" w:fill="FFFFFF"/>
            <w:vAlign w:val="center"/>
          </w:tcPr>
          <w:p w14:paraId="59D4CFFF">
            <w:pPr>
              <w:spacing w:line="360" w:lineRule="auto"/>
              <w:rPr>
                <w:rFonts w:cs="Arial" w:asciiTheme="minorEastAsia" w:hAnsiTheme="minorEastAsia" w:eastAsiaTheme="minorEastAsia"/>
                <w:szCs w:val="21"/>
              </w:rPr>
            </w:pPr>
          </w:p>
        </w:tc>
        <w:tc>
          <w:tcPr>
            <w:tcW w:w="969" w:type="dxa"/>
            <w:shd w:val="clear" w:color="auto" w:fill="FFFFFF"/>
          </w:tcPr>
          <w:p w14:paraId="67F2BFE8">
            <w:pPr>
              <w:spacing w:line="360" w:lineRule="auto"/>
              <w:rPr>
                <w:rFonts w:cs="Arial" w:asciiTheme="minorEastAsia" w:hAnsiTheme="minorEastAsia" w:eastAsiaTheme="minorEastAsia"/>
                <w:color w:val="000000"/>
                <w:szCs w:val="21"/>
              </w:rPr>
            </w:pPr>
          </w:p>
        </w:tc>
        <w:tc>
          <w:tcPr>
            <w:tcW w:w="1091" w:type="dxa"/>
            <w:shd w:val="clear" w:color="auto" w:fill="FFFFFF"/>
            <w:vAlign w:val="center"/>
          </w:tcPr>
          <w:p w14:paraId="12BC7ADD">
            <w:pPr>
              <w:spacing w:line="360" w:lineRule="auto"/>
              <w:rPr>
                <w:rFonts w:cs="Arial" w:asciiTheme="minorEastAsia" w:hAnsiTheme="minorEastAsia" w:eastAsiaTheme="minorEastAsia"/>
                <w:color w:val="000000"/>
                <w:szCs w:val="21"/>
              </w:rPr>
            </w:pPr>
          </w:p>
        </w:tc>
        <w:tc>
          <w:tcPr>
            <w:tcW w:w="3994" w:type="dxa"/>
            <w:shd w:val="clear" w:color="auto" w:fill="FFFFFF"/>
            <w:vAlign w:val="center"/>
          </w:tcPr>
          <w:p w14:paraId="607DFBC2">
            <w:pPr>
              <w:spacing w:line="360" w:lineRule="auto"/>
              <w:rPr>
                <w:rFonts w:cs="Arial" w:asciiTheme="minorEastAsia" w:hAnsiTheme="minorEastAsia" w:eastAsiaTheme="minorEastAsia"/>
                <w:szCs w:val="21"/>
              </w:rPr>
            </w:pPr>
          </w:p>
        </w:tc>
      </w:tr>
    </w:tbl>
    <w:p w14:paraId="28286F89">
      <w:pPr>
        <w:spacing w:line="360" w:lineRule="auto"/>
        <w:rPr>
          <w:rFonts w:asciiTheme="minorEastAsia" w:hAnsiTheme="minorEastAsia" w:eastAsiaTheme="minorEastAsia"/>
          <w:szCs w:val="21"/>
        </w:rPr>
      </w:pPr>
    </w:p>
    <w:p w14:paraId="7989B999">
      <w:pPr>
        <w:spacing w:line="360" w:lineRule="auto"/>
        <w:rPr>
          <w:rFonts w:asciiTheme="minorEastAsia" w:hAnsiTheme="minorEastAsia" w:eastAsiaTheme="minorEastAsia"/>
          <w:szCs w:val="21"/>
        </w:rPr>
      </w:pPr>
    </w:p>
    <w:p w14:paraId="23CAA7DF">
      <w:pPr>
        <w:spacing w:line="360" w:lineRule="auto"/>
        <w:rPr>
          <w:rFonts w:asciiTheme="minorEastAsia" w:hAnsiTheme="minorEastAsia" w:eastAsiaTheme="minorEastAsia"/>
          <w:szCs w:val="21"/>
        </w:rPr>
      </w:pPr>
    </w:p>
    <w:p w14:paraId="54033CDF">
      <w:pPr>
        <w:spacing w:line="360" w:lineRule="auto"/>
        <w:rPr>
          <w:rFonts w:asciiTheme="minorEastAsia" w:hAnsiTheme="minorEastAsia" w:eastAsiaTheme="minorEastAsia"/>
          <w:szCs w:val="21"/>
        </w:rPr>
      </w:pPr>
    </w:p>
    <w:p w14:paraId="50B72C79">
      <w:pPr>
        <w:spacing w:line="360" w:lineRule="auto"/>
        <w:rPr>
          <w:rFonts w:asciiTheme="minorEastAsia" w:hAnsiTheme="minorEastAsia" w:eastAsiaTheme="minorEastAsia"/>
          <w:szCs w:val="21"/>
        </w:rPr>
      </w:pPr>
    </w:p>
    <w:p w14:paraId="068FEDC0">
      <w:pPr>
        <w:spacing w:line="360" w:lineRule="auto"/>
        <w:rPr>
          <w:rFonts w:asciiTheme="minorEastAsia" w:hAnsiTheme="minorEastAsia" w:eastAsiaTheme="minorEastAsia"/>
          <w:szCs w:val="21"/>
        </w:rPr>
      </w:pPr>
    </w:p>
    <w:p w14:paraId="5304F187">
      <w:pPr>
        <w:spacing w:line="360" w:lineRule="auto"/>
        <w:rPr>
          <w:rFonts w:asciiTheme="minorEastAsia" w:hAnsiTheme="minorEastAsia" w:eastAsiaTheme="minorEastAsia"/>
          <w:szCs w:val="21"/>
        </w:rPr>
      </w:pPr>
    </w:p>
    <w:p w14:paraId="44CF694D">
      <w:pPr>
        <w:spacing w:line="360" w:lineRule="auto"/>
        <w:rPr>
          <w:rFonts w:asciiTheme="minorEastAsia" w:hAnsiTheme="minorEastAsia" w:eastAsiaTheme="minorEastAsia"/>
          <w:szCs w:val="21"/>
        </w:rPr>
      </w:pPr>
    </w:p>
    <w:p w14:paraId="2ACDAD1B">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3EE6CF14">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p w14:paraId="16289BFE">
      <w:pPr>
        <w:widowControl/>
        <w:spacing w:line="360" w:lineRule="auto"/>
        <w:jc w:val="left"/>
        <w:rPr>
          <w:rFonts w:asciiTheme="minorEastAsia" w:hAnsiTheme="minorEastAsia" w:eastAsiaTheme="minorEastAsia"/>
          <w:b/>
          <w:szCs w:val="21"/>
        </w:rPr>
      </w:pP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7CCDDAF0">
          <w:pPr>
            <w:spacing w:before="0" w:beforeLines="0" w:after="0" w:afterLines="0" w:line="240" w:lineRule="auto"/>
            <w:ind w:left="0" w:leftChars="0" w:right="0" w:rightChars="0" w:firstLine="0" w:firstLineChars="0"/>
            <w:jc w:val="center"/>
          </w:pPr>
          <w:r>
            <w:rPr>
              <w:rFonts w:ascii="宋体" w:hAnsi="宋体" w:eastAsia="宋体"/>
              <w:sz w:val="21"/>
            </w:rPr>
            <w:t>目录</w:t>
          </w:r>
        </w:p>
        <w:p w14:paraId="6E04CCA9">
          <w:pPr>
            <w:pStyle w:val="16"/>
            <w:tabs>
              <w:tab w:val="right" w:leader="dot" w:pos="9064"/>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_Toc2577 </w:instrText>
          </w:r>
          <w:r>
            <w:rPr>
              <w:rFonts w:asciiTheme="minorEastAsia" w:hAnsiTheme="minorEastAsia"/>
              <w:szCs w:val="21"/>
            </w:rPr>
            <w:fldChar w:fldCharType="separate"/>
          </w:r>
          <w:r>
            <w:rPr>
              <w:rFonts w:asciiTheme="minorEastAsia" w:hAnsiTheme="minorEastAsia" w:eastAsiaTheme="minorEastAsia"/>
              <w:szCs w:val="21"/>
            </w:rPr>
            <w:t xml:space="preserve">1. </w:t>
          </w:r>
          <w:r>
            <w:rPr>
              <w:rFonts w:hint="eastAsia" w:asciiTheme="minorEastAsia" w:hAnsiTheme="minorEastAsia" w:eastAsiaTheme="minorEastAsia"/>
              <w:szCs w:val="21"/>
            </w:rPr>
            <w:t>概述</w:t>
          </w:r>
          <w:r>
            <w:tab/>
          </w:r>
          <w:r>
            <w:fldChar w:fldCharType="begin"/>
          </w:r>
          <w:r>
            <w:instrText xml:space="preserve"> PAGEREF _Toc2577 </w:instrText>
          </w:r>
          <w:r>
            <w:fldChar w:fldCharType="separate"/>
          </w:r>
          <w:r>
            <w:t>5</w:t>
          </w:r>
          <w:r>
            <w:fldChar w:fldCharType="end"/>
          </w:r>
          <w:r>
            <w:rPr>
              <w:rFonts w:asciiTheme="minorEastAsia" w:hAnsiTheme="minorEastAsia"/>
              <w:szCs w:val="21"/>
            </w:rPr>
            <w:fldChar w:fldCharType="end"/>
          </w:r>
        </w:p>
        <w:p w14:paraId="4B20FACE">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_Toc30211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1.1. </w:t>
          </w:r>
          <w:r>
            <w:rPr>
              <w:rFonts w:hint="eastAsia" w:asciiTheme="minorEastAsia" w:hAnsiTheme="minorEastAsia" w:eastAsiaTheme="minorEastAsia"/>
              <w:szCs w:val="21"/>
            </w:rPr>
            <w:t>目标</w:t>
          </w:r>
          <w:r>
            <w:tab/>
          </w:r>
          <w:r>
            <w:fldChar w:fldCharType="begin"/>
          </w:r>
          <w:r>
            <w:instrText xml:space="preserve"> PAGEREF _Toc30211 </w:instrText>
          </w:r>
          <w:r>
            <w:fldChar w:fldCharType="separate"/>
          </w:r>
          <w:r>
            <w:t>5</w:t>
          </w:r>
          <w:r>
            <w:fldChar w:fldCharType="end"/>
          </w:r>
          <w:r>
            <w:rPr>
              <w:rFonts w:asciiTheme="minorEastAsia" w:hAnsiTheme="minorEastAsia" w:eastAsiaTheme="minorEastAsia"/>
              <w:bCs/>
              <w:szCs w:val="21"/>
              <w:lang w:val="zh-CN"/>
            </w:rPr>
            <w:fldChar w:fldCharType="end"/>
          </w:r>
        </w:p>
        <w:p w14:paraId="1EAF0D08">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_Toc29897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1.2. </w:t>
          </w:r>
          <w:r>
            <w:rPr>
              <w:rFonts w:hint="eastAsia" w:asciiTheme="minorEastAsia" w:hAnsiTheme="minorEastAsia" w:eastAsiaTheme="minorEastAsia"/>
              <w:szCs w:val="21"/>
            </w:rPr>
            <w:t>范围</w:t>
          </w:r>
          <w:r>
            <w:tab/>
          </w:r>
          <w:r>
            <w:fldChar w:fldCharType="begin"/>
          </w:r>
          <w:r>
            <w:instrText xml:space="preserve"> PAGEREF _Toc29897 </w:instrText>
          </w:r>
          <w:r>
            <w:fldChar w:fldCharType="separate"/>
          </w:r>
          <w:r>
            <w:t>5</w:t>
          </w:r>
          <w:r>
            <w:fldChar w:fldCharType="end"/>
          </w:r>
          <w:r>
            <w:rPr>
              <w:rFonts w:asciiTheme="minorEastAsia" w:hAnsiTheme="minorEastAsia" w:eastAsiaTheme="minorEastAsia"/>
              <w:bCs/>
              <w:szCs w:val="21"/>
              <w:lang w:val="zh-CN"/>
            </w:rPr>
            <w:fldChar w:fldCharType="end"/>
          </w:r>
        </w:p>
        <w:p w14:paraId="15465BE9">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_Toc2325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_Toc2325 </w:instrText>
          </w:r>
          <w:r>
            <w:fldChar w:fldCharType="separate"/>
          </w:r>
          <w:r>
            <w:t>5</w:t>
          </w:r>
          <w:r>
            <w:fldChar w:fldCharType="end"/>
          </w:r>
          <w:r>
            <w:rPr>
              <w:rFonts w:asciiTheme="minorEastAsia" w:hAnsiTheme="minorEastAsia" w:eastAsiaTheme="minorEastAsia"/>
              <w:bCs/>
              <w:szCs w:val="21"/>
              <w:lang w:val="zh-CN"/>
            </w:rPr>
            <w:fldChar w:fldCharType="end"/>
          </w:r>
        </w:p>
        <w:p w14:paraId="35499714">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_Toc20742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3. </w:t>
          </w:r>
          <w:r>
            <w:rPr>
              <w:rFonts w:hint="eastAsia" w:asciiTheme="minorEastAsia" w:hAnsiTheme="minorEastAsia" w:eastAsiaTheme="minorEastAsia"/>
              <w:szCs w:val="21"/>
              <w:lang w:bidi="en-US"/>
            </w:rPr>
            <w:t>角色和职责</w:t>
          </w:r>
          <w:r>
            <w:tab/>
          </w:r>
          <w:r>
            <w:fldChar w:fldCharType="begin"/>
          </w:r>
          <w:r>
            <w:instrText xml:space="preserve"> PAGEREF _Toc20742 </w:instrText>
          </w:r>
          <w:r>
            <w:fldChar w:fldCharType="separate"/>
          </w:r>
          <w:r>
            <w:t>6</w:t>
          </w:r>
          <w:r>
            <w:fldChar w:fldCharType="end"/>
          </w:r>
          <w:r>
            <w:rPr>
              <w:rFonts w:asciiTheme="minorEastAsia" w:hAnsiTheme="minorEastAsia" w:eastAsiaTheme="minorEastAsia"/>
              <w:bCs/>
              <w:szCs w:val="21"/>
              <w:lang w:val="zh-CN"/>
            </w:rPr>
            <w:fldChar w:fldCharType="end"/>
          </w:r>
        </w:p>
        <w:p w14:paraId="3B41BD95">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_Toc1697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4. </w:t>
          </w:r>
          <w:r>
            <w:rPr>
              <w:rFonts w:hint="eastAsia" w:asciiTheme="minorEastAsia" w:hAnsiTheme="minorEastAsia" w:eastAsiaTheme="minorEastAsia"/>
              <w:szCs w:val="21"/>
              <w:lang w:bidi="en-US"/>
            </w:rPr>
            <w:t>输入</w:t>
          </w:r>
          <w:r>
            <w:tab/>
          </w:r>
          <w:r>
            <w:fldChar w:fldCharType="begin"/>
          </w:r>
          <w:r>
            <w:instrText xml:space="preserve"> PAGEREF _Toc1697 </w:instrText>
          </w:r>
          <w:r>
            <w:fldChar w:fldCharType="separate"/>
          </w:r>
          <w:r>
            <w:t>7</w:t>
          </w:r>
          <w:r>
            <w:fldChar w:fldCharType="end"/>
          </w:r>
          <w:r>
            <w:rPr>
              <w:rFonts w:asciiTheme="minorEastAsia" w:hAnsiTheme="minorEastAsia" w:eastAsiaTheme="minorEastAsia"/>
              <w:bCs/>
              <w:szCs w:val="21"/>
              <w:lang w:val="zh-CN"/>
            </w:rPr>
            <w:fldChar w:fldCharType="end"/>
          </w:r>
        </w:p>
        <w:p w14:paraId="551580B1">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_Toc10682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输出</w:t>
          </w:r>
          <w:r>
            <w:tab/>
          </w:r>
          <w:r>
            <w:fldChar w:fldCharType="begin"/>
          </w:r>
          <w:r>
            <w:instrText xml:space="preserve"> PAGEREF _Toc10682 </w:instrText>
          </w:r>
          <w:r>
            <w:fldChar w:fldCharType="separate"/>
          </w:r>
          <w:r>
            <w:t>8</w:t>
          </w:r>
          <w:r>
            <w:fldChar w:fldCharType="end"/>
          </w:r>
          <w:r>
            <w:rPr>
              <w:rFonts w:asciiTheme="minorEastAsia" w:hAnsiTheme="minorEastAsia" w:eastAsiaTheme="minorEastAsia"/>
              <w:bCs/>
              <w:szCs w:val="21"/>
              <w:lang w:val="zh-CN"/>
            </w:rPr>
            <w:fldChar w:fldCharType="end"/>
          </w:r>
        </w:p>
        <w:p w14:paraId="3E24EDE2">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_Toc28710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流程描述</w:t>
          </w:r>
          <w:r>
            <w:tab/>
          </w:r>
          <w:r>
            <w:fldChar w:fldCharType="begin"/>
          </w:r>
          <w:r>
            <w:instrText xml:space="preserve"> PAGEREF _Toc28710 </w:instrText>
          </w:r>
          <w:r>
            <w:fldChar w:fldCharType="separate"/>
          </w:r>
          <w:r>
            <w:t>8</w:t>
          </w:r>
          <w:r>
            <w:fldChar w:fldCharType="end"/>
          </w:r>
          <w:r>
            <w:rPr>
              <w:rFonts w:asciiTheme="minorEastAsia" w:hAnsiTheme="minorEastAsia" w:eastAsiaTheme="minorEastAsia"/>
              <w:bCs/>
              <w:szCs w:val="21"/>
              <w:lang w:val="zh-CN"/>
            </w:rPr>
            <w:fldChar w:fldCharType="end"/>
          </w:r>
        </w:p>
        <w:p w14:paraId="3566865D">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_Toc23404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6.1. </w:t>
          </w:r>
          <w:r>
            <w:rPr>
              <w:rFonts w:hint="eastAsia" w:asciiTheme="minorEastAsia" w:hAnsiTheme="minorEastAsia" w:eastAsiaTheme="minorEastAsia"/>
              <w:szCs w:val="21"/>
              <w:lang w:eastAsia="zh-CN"/>
            </w:rPr>
            <w:t>管理定义</w:t>
          </w:r>
          <w:r>
            <w:tab/>
          </w:r>
          <w:r>
            <w:fldChar w:fldCharType="begin"/>
          </w:r>
          <w:r>
            <w:instrText xml:space="preserve"> PAGEREF _Toc23404 </w:instrText>
          </w:r>
          <w:r>
            <w:fldChar w:fldCharType="separate"/>
          </w:r>
          <w:r>
            <w:t>8</w:t>
          </w:r>
          <w:r>
            <w:fldChar w:fldCharType="end"/>
          </w:r>
          <w:r>
            <w:rPr>
              <w:rFonts w:asciiTheme="minorEastAsia" w:hAnsiTheme="minorEastAsia" w:eastAsiaTheme="minorEastAsia"/>
              <w:bCs/>
              <w:szCs w:val="21"/>
              <w:lang w:val="zh-CN"/>
            </w:rPr>
            <w:fldChar w:fldCharType="end"/>
          </w:r>
        </w:p>
        <w:p w14:paraId="6DD25EBB">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_Toc13551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 </w:t>
          </w:r>
          <w:r>
            <w:rPr>
              <w:rFonts w:hint="eastAsia" w:asciiTheme="minorEastAsia" w:hAnsiTheme="minorEastAsia" w:eastAsiaTheme="minorEastAsia"/>
              <w:szCs w:val="21"/>
              <w:lang w:bidi="en-US"/>
            </w:rPr>
            <w:t>变更分级</w:t>
          </w:r>
          <w:r>
            <w:tab/>
          </w:r>
          <w:r>
            <w:fldChar w:fldCharType="begin"/>
          </w:r>
          <w:r>
            <w:instrText xml:space="preserve"> PAGEREF _Toc13551 </w:instrText>
          </w:r>
          <w:r>
            <w:fldChar w:fldCharType="separate"/>
          </w:r>
          <w:r>
            <w:t>8</w:t>
          </w:r>
          <w:r>
            <w:fldChar w:fldCharType="end"/>
          </w:r>
          <w:r>
            <w:rPr>
              <w:rFonts w:asciiTheme="minorEastAsia" w:hAnsiTheme="minorEastAsia" w:eastAsiaTheme="minorEastAsia"/>
              <w:bCs/>
              <w:szCs w:val="21"/>
              <w:lang w:val="zh-CN"/>
            </w:rPr>
            <w:fldChar w:fldCharType="end"/>
          </w:r>
        </w:p>
        <w:p w14:paraId="73BC1028">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_Toc4501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6.1.2. </w:t>
          </w:r>
          <w:r>
            <w:rPr>
              <w:rFonts w:hint="eastAsia" w:asciiTheme="minorEastAsia" w:hAnsiTheme="minorEastAsia" w:eastAsiaTheme="minorEastAsia"/>
              <w:szCs w:val="21"/>
              <w:lang w:bidi="en-US"/>
            </w:rPr>
            <w:t>变更及系统分类</w:t>
          </w:r>
          <w:r>
            <w:tab/>
          </w:r>
          <w:r>
            <w:fldChar w:fldCharType="begin"/>
          </w:r>
          <w:r>
            <w:instrText xml:space="preserve"> PAGEREF _Toc4501 </w:instrText>
          </w:r>
          <w:r>
            <w:fldChar w:fldCharType="separate"/>
          </w:r>
          <w:r>
            <w:t>9</w:t>
          </w:r>
          <w:r>
            <w:fldChar w:fldCharType="end"/>
          </w:r>
          <w:r>
            <w:rPr>
              <w:rFonts w:asciiTheme="minorEastAsia" w:hAnsiTheme="minorEastAsia" w:eastAsiaTheme="minorEastAsia"/>
              <w:bCs/>
              <w:szCs w:val="21"/>
              <w:lang w:val="zh-CN"/>
            </w:rPr>
            <w:fldChar w:fldCharType="end"/>
          </w:r>
        </w:p>
        <w:p w14:paraId="49728BF9">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_Toc20096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6.1.3. </w:t>
          </w:r>
          <w:r>
            <w:rPr>
              <w:rFonts w:hint="eastAsia" w:asciiTheme="minorEastAsia" w:hAnsiTheme="minorEastAsia" w:eastAsiaTheme="minorEastAsia"/>
              <w:szCs w:val="21"/>
              <w:lang w:bidi="en-US"/>
            </w:rPr>
            <w:t>变更审批原则</w:t>
          </w:r>
          <w:r>
            <w:tab/>
          </w:r>
          <w:r>
            <w:fldChar w:fldCharType="begin"/>
          </w:r>
          <w:r>
            <w:instrText xml:space="preserve"> PAGEREF _Toc20096 </w:instrText>
          </w:r>
          <w:r>
            <w:fldChar w:fldCharType="separate"/>
          </w:r>
          <w:r>
            <w:t>10</w:t>
          </w:r>
          <w:r>
            <w:fldChar w:fldCharType="end"/>
          </w:r>
          <w:r>
            <w:rPr>
              <w:rFonts w:asciiTheme="minorEastAsia" w:hAnsiTheme="minorEastAsia" w:eastAsiaTheme="minorEastAsia"/>
              <w:bCs/>
              <w:szCs w:val="21"/>
              <w:lang w:val="zh-CN"/>
            </w:rPr>
            <w:fldChar w:fldCharType="end"/>
          </w:r>
        </w:p>
        <w:p w14:paraId="247DF7B4">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_Toc13273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6.1.4. </w:t>
          </w:r>
          <w:r>
            <w:rPr>
              <w:rFonts w:hint="eastAsia" w:asciiTheme="minorEastAsia" w:hAnsiTheme="minorEastAsia" w:eastAsiaTheme="minorEastAsia"/>
              <w:szCs w:val="21"/>
              <w:lang w:bidi="en-US"/>
            </w:rPr>
            <w:t>变更窗口</w:t>
          </w:r>
          <w:r>
            <w:tab/>
          </w:r>
          <w:r>
            <w:fldChar w:fldCharType="begin"/>
          </w:r>
          <w:r>
            <w:instrText xml:space="preserve"> PAGEREF _Toc13273 </w:instrText>
          </w:r>
          <w:r>
            <w:fldChar w:fldCharType="separate"/>
          </w:r>
          <w:r>
            <w:t>11</w:t>
          </w:r>
          <w:r>
            <w:fldChar w:fldCharType="end"/>
          </w:r>
          <w:r>
            <w:rPr>
              <w:rFonts w:asciiTheme="minorEastAsia" w:hAnsiTheme="minorEastAsia" w:eastAsiaTheme="minorEastAsia"/>
              <w:bCs/>
              <w:szCs w:val="21"/>
              <w:lang w:val="zh-CN"/>
            </w:rPr>
            <w:fldChar w:fldCharType="end"/>
          </w:r>
        </w:p>
        <w:p w14:paraId="0ECFA4FD">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_Toc12663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6.1.5. </w:t>
          </w:r>
          <w:r>
            <w:rPr>
              <w:rFonts w:hint="eastAsia" w:asciiTheme="minorEastAsia" w:hAnsiTheme="minorEastAsia" w:eastAsiaTheme="minorEastAsia"/>
              <w:szCs w:val="21"/>
              <w:lang w:bidi="en-US"/>
            </w:rPr>
            <w:t>变更前导窗口（需要了解前导窗口的概念和必要性）</w:t>
          </w:r>
          <w:r>
            <w:tab/>
          </w:r>
          <w:r>
            <w:fldChar w:fldCharType="begin"/>
          </w:r>
          <w:r>
            <w:instrText xml:space="preserve"> PAGEREF _Toc12663 </w:instrText>
          </w:r>
          <w:r>
            <w:fldChar w:fldCharType="separate"/>
          </w:r>
          <w:r>
            <w:t>12</w:t>
          </w:r>
          <w:r>
            <w:fldChar w:fldCharType="end"/>
          </w:r>
          <w:r>
            <w:rPr>
              <w:rFonts w:asciiTheme="minorEastAsia" w:hAnsiTheme="minorEastAsia" w:eastAsiaTheme="minorEastAsia"/>
              <w:bCs/>
              <w:szCs w:val="21"/>
              <w:lang w:val="zh-CN"/>
            </w:rPr>
            <w:fldChar w:fldCharType="end"/>
          </w:r>
        </w:p>
        <w:p w14:paraId="52EFA72C">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_Toc27090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6.1.6. </w:t>
          </w:r>
          <w:r>
            <w:rPr>
              <w:rFonts w:hint="eastAsia" w:asciiTheme="minorEastAsia" w:hAnsiTheme="minorEastAsia" w:eastAsiaTheme="minorEastAsia"/>
              <w:szCs w:val="21"/>
              <w:lang w:bidi="en-US"/>
            </w:rPr>
            <w:t>变更状态</w:t>
          </w:r>
          <w:r>
            <w:tab/>
          </w:r>
          <w:r>
            <w:fldChar w:fldCharType="begin"/>
          </w:r>
          <w:r>
            <w:instrText xml:space="preserve"> PAGEREF _Toc27090 </w:instrText>
          </w:r>
          <w:r>
            <w:fldChar w:fldCharType="separate"/>
          </w:r>
          <w:r>
            <w:t>12</w:t>
          </w:r>
          <w:r>
            <w:fldChar w:fldCharType="end"/>
          </w:r>
          <w:r>
            <w:rPr>
              <w:rFonts w:asciiTheme="minorEastAsia" w:hAnsiTheme="minorEastAsia" w:eastAsiaTheme="minorEastAsia"/>
              <w:bCs/>
              <w:szCs w:val="21"/>
              <w:lang w:val="zh-CN"/>
            </w:rPr>
            <w:fldChar w:fldCharType="end"/>
          </w:r>
        </w:p>
        <w:p w14:paraId="2142497E">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_Toc16016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6.1.7. </w:t>
          </w:r>
          <w:r>
            <w:rPr>
              <w:rFonts w:hint="eastAsia" w:asciiTheme="minorEastAsia" w:hAnsiTheme="minorEastAsia" w:eastAsiaTheme="minorEastAsia"/>
              <w:szCs w:val="21"/>
              <w:lang w:bidi="en-US"/>
            </w:rPr>
            <w:t>变更关闭</w:t>
          </w:r>
          <w:r>
            <w:tab/>
          </w:r>
          <w:r>
            <w:fldChar w:fldCharType="begin"/>
          </w:r>
          <w:r>
            <w:instrText xml:space="preserve"> PAGEREF _Toc16016 </w:instrText>
          </w:r>
          <w:r>
            <w:fldChar w:fldCharType="separate"/>
          </w:r>
          <w:r>
            <w:t>13</w:t>
          </w:r>
          <w:r>
            <w:fldChar w:fldCharType="end"/>
          </w:r>
          <w:r>
            <w:rPr>
              <w:rFonts w:asciiTheme="minorEastAsia" w:hAnsiTheme="minorEastAsia" w:eastAsiaTheme="minorEastAsia"/>
              <w:bCs/>
              <w:szCs w:val="21"/>
              <w:lang w:val="zh-CN"/>
            </w:rPr>
            <w:fldChar w:fldCharType="end"/>
          </w:r>
        </w:p>
        <w:p w14:paraId="3DB91CF5">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_Toc21144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6.2. </w:t>
          </w:r>
          <w:r>
            <w:rPr>
              <w:rFonts w:hint="eastAsia" w:asciiTheme="minorEastAsia" w:hAnsiTheme="minorEastAsia" w:eastAsiaTheme="minorEastAsia"/>
              <w:szCs w:val="21"/>
              <w:lang w:eastAsia="zh-CN"/>
            </w:rPr>
            <w:t>管理策略</w:t>
          </w:r>
          <w:r>
            <w:tab/>
          </w:r>
          <w:r>
            <w:fldChar w:fldCharType="begin"/>
          </w:r>
          <w:r>
            <w:instrText xml:space="preserve"> PAGEREF _Toc21144 </w:instrText>
          </w:r>
          <w:r>
            <w:fldChar w:fldCharType="separate"/>
          </w:r>
          <w:r>
            <w:t>13</w:t>
          </w:r>
          <w:r>
            <w:fldChar w:fldCharType="end"/>
          </w:r>
          <w:r>
            <w:rPr>
              <w:rFonts w:asciiTheme="minorEastAsia" w:hAnsiTheme="minorEastAsia" w:eastAsiaTheme="minorEastAsia"/>
              <w:bCs/>
              <w:szCs w:val="21"/>
              <w:lang w:val="zh-CN"/>
            </w:rPr>
            <w:fldChar w:fldCharType="end"/>
          </w:r>
        </w:p>
        <w:p w14:paraId="35B6BAEB">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_Toc31914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6.3. </w:t>
          </w:r>
          <w:r>
            <w:rPr>
              <w:rFonts w:hint="eastAsia" w:asciiTheme="minorEastAsia" w:hAnsiTheme="minorEastAsia" w:eastAsiaTheme="minorEastAsia"/>
              <w:szCs w:val="21"/>
              <w:lang w:eastAsia="zh-CN"/>
            </w:rPr>
            <w:t>变更管理流程</w:t>
          </w:r>
          <w:r>
            <w:tab/>
          </w:r>
          <w:r>
            <w:fldChar w:fldCharType="begin"/>
          </w:r>
          <w:r>
            <w:instrText xml:space="preserve"> PAGEREF _Toc31914 </w:instrText>
          </w:r>
          <w:r>
            <w:fldChar w:fldCharType="separate"/>
          </w:r>
          <w:r>
            <w:t>13</w:t>
          </w:r>
          <w:r>
            <w:fldChar w:fldCharType="end"/>
          </w:r>
          <w:r>
            <w:rPr>
              <w:rFonts w:asciiTheme="minorEastAsia" w:hAnsiTheme="minorEastAsia" w:eastAsiaTheme="minorEastAsia"/>
              <w:bCs/>
              <w:szCs w:val="21"/>
              <w:lang w:val="zh-CN"/>
            </w:rPr>
            <w:fldChar w:fldCharType="end"/>
          </w:r>
        </w:p>
        <w:p w14:paraId="3EA1EE19">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_Toc13610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6.3.1. </w:t>
          </w:r>
          <w:r>
            <w:rPr>
              <w:rFonts w:hint="eastAsia" w:asciiTheme="minorEastAsia" w:hAnsiTheme="minorEastAsia" w:eastAsiaTheme="minorEastAsia"/>
              <w:szCs w:val="21"/>
              <w:lang w:bidi="en-US"/>
            </w:rPr>
            <w:t>提交和评估</w:t>
          </w:r>
          <w:r>
            <w:tab/>
          </w:r>
          <w:r>
            <w:fldChar w:fldCharType="begin"/>
          </w:r>
          <w:r>
            <w:instrText xml:space="preserve"> PAGEREF _Toc13610 </w:instrText>
          </w:r>
          <w:r>
            <w:fldChar w:fldCharType="separate"/>
          </w:r>
          <w:r>
            <w:t>14</w:t>
          </w:r>
          <w:r>
            <w:fldChar w:fldCharType="end"/>
          </w:r>
          <w:r>
            <w:rPr>
              <w:rFonts w:asciiTheme="minorEastAsia" w:hAnsiTheme="minorEastAsia" w:eastAsiaTheme="minorEastAsia"/>
              <w:bCs/>
              <w:szCs w:val="21"/>
              <w:lang w:val="zh-CN"/>
            </w:rPr>
            <w:fldChar w:fldCharType="end"/>
          </w:r>
        </w:p>
        <w:p w14:paraId="14559605">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_Toc27639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6.3.2. </w:t>
          </w:r>
          <w:r>
            <w:rPr>
              <w:rFonts w:hint="eastAsia" w:asciiTheme="minorEastAsia" w:hAnsiTheme="minorEastAsia" w:eastAsiaTheme="minorEastAsia"/>
              <w:szCs w:val="21"/>
              <w:lang w:bidi="en-US"/>
            </w:rPr>
            <w:t>计划和方案审核</w:t>
          </w:r>
          <w:r>
            <w:tab/>
          </w:r>
          <w:r>
            <w:fldChar w:fldCharType="begin"/>
          </w:r>
          <w:r>
            <w:instrText xml:space="preserve"> PAGEREF _Toc27639 </w:instrText>
          </w:r>
          <w:r>
            <w:fldChar w:fldCharType="separate"/>
          </w:r>
          <w:r>
            <w:t>14</w:t>
          </w:r>
          <w:r>
            <w:fldChar w:fldCharType="end"/>
          </w:r>
          <w:r>
            <w:rPr>
              <w:rFonts w:asciiTheme="minorEastAsia" w:hAnsiTheme="minorEastAsia" w:eastAsiaTheme="minorEastAsia"/>
              <w:bCs/>
              <w:szCs w:val="21"/>
              <w:lang w:val="zh-CN"/>
            </w:rPr>
            <w:fldChar w:fldCharType="end"/>
          </w:r>
        </w:p>
        <w:p w14:paraId="5CE2DFE8">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_Toc22873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6.3.3. </w:t>
          </w:r>
          <w:r>
            <w:rPr>
              <w:rFonts w:hint="eastAsia" w:asciiTheme="minorEastAsia" w:hAnsiTheme="minorEastAsia" w:eastAsiaTheme="minorEastAsia"/>
              <w:szCs w:val="21"/>
              <w:lang w:bidi="en-US"/>
            </w:rPr>
            <w:t>审批</w:t>
          </w:r>
          <w:r>
            <w:tab/>
          </w:r>
          <w:r>
            <w:fldChar w:fldCharType="begin"/>
          </w:r>
          <w:r>
            <w:instrText xml:space="preserve"> PAGEREF _Toc22873 </w:instrText>
          </w:r>
          <w:r>
            <w:fldChar w:fldCharType="separate"/>
          </w:r>
          <w:r>
            <w:t>15</w:t>
          </w:r>
          <w:r>
            <w:fldChar w:fldCharType="end"/>
          </w:r>
          <w:r>
            <w:rPr>
              <w:rFonts w:asciiTheme="minorEastAsia" w:hAnsiTheme="minorEastAsia" w:eastAsiaTheme="minorEastAsia"/>
              <w:bCs/>
              <w:szCs w:val="21"/>
              <w:lang w:val="zh-CN"/>
            </w:rPr>
            <w:fldChar w:fldCharType="end"/>
          </w:r>
        </w:p>
        <w:p w14:paraId="6F89E807">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_Toc967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6.3.4. </w:t>
          </w:r>
          <w:r>
            <w:rPr>
              <w:rFonts w:hint="eastAsia" w:asciiTheme="minorEastAsia" w:hAnsiTheme="minorEastAsia" w:eastAsiaTheme="minorEastAsia"/>
              <w:szCs w:val="21"/>
              <w:lang w:bidi="en-US"/>
            </w:rPr>
            <w:t>安排和实施</w:t>
          </w:r>
          <w:r>
            <w:tab/>
          </w:r>
          <w:r>
            <w:fldChar w:fldCharType="begin"/>
          </w:r>
          <w:r>
            <w:instrText xml:space="preserve"> PAGEREF _Toc967 </w:instrText>
          </w:r>
          <w:r>
            <w:fldChar w:fldCharType="separate"/>
          </w:r>
          <w:r>
            <w:t>16</w:t>
          </w:r>
          <w:r>
            <w:fldChar w:fldCharType="end"/>
          </w:r>
          <w:r>
            <w:rPr>
              <w:rFonts w:asciiTheme="minorEastAsia" w:hAnsiTheme="minorEastAsia" w:eastAsiaTheme="minorEastAsia"/>
              <w:bCs/>
              <w:szCs w:val="21"/>
              <w:lang w:val="zh-CN"/>
            </w:rPr>
            <w:fldChar w:fldCharType="end"/>
          </w:r>
        </w:p>
        <w:p w14:paraId="6D9E697E">
          <w:pPr>
            <w:pStyle w:val="12"/>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_Toc29936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6.3.5. </w:t>
          </w:r>
          <w:r>
            <w:rPr>
              <w:rFonts w:hint="eastAsia" w:asciiTheme="minorEastAsia" w:hAnsiTheme="minorEastAsia" w:eastAsiaTheme="minorEastAsia"/>
              <w:szCs w:val="21"/>
              <w:lang w:bidi="en-US"/>
            </w:rPr>
            <w:t>回顾和关闭</w:t>
          </w:r>
          <w:r>
            <w:tab/>
          </w:r>
          <w:r>
            <w:fldChar w:fldCharType="begin"/>
          </w:r>
          <w:r>
            <w:instrText xml:space="preserve"> PAGEREF _Toc29936 </w:instrText>
          </w:r>
          <w:r>
            <w:fldChar w:fldCharType="separate"/>
          </w:r>
          <w:r>
            <w:t>16</w:t>
          </w:r>
          <w:r>
            <w:fldChar w:fldCharType="end"/>
          </w:r>
          <w:r>
            <w:rPr>
              <w:rFonts w:asciiTheme="minorEastAsia" w:hAnsiTheme="minorEastAsia" w:eastAsiaTheme="minorEastAsia"/>
              <w:bCs/>
              <w:szCs w:val="21"/>
              <w:lang w:val="zh-CN"/>
            </w:rPr>
            <w:fldChar w:fldCharType="end"/>
          </w:r>
        </w:p>
        <w:p w14:paraId="6A395415">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_Toc14219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7. </w:t>
          </w:r>
          <w:r>
            <w:rPr>
              <w:rFonts w:hint="eastAsia" w:asciiTheme="minorEastAsia" w:hAnsiTheme="minorEastAsia" w:eastAsiaTheme="minorEastAsia"/>
              <w:szCs w:val="21"/>
              <w:lang w:bidi="en-US"/>
            </w:rPr>
            <w:t>关键绩效指标</w:t>
          </w:r>
          <w:r>
            <w:tab/>
          </w:r>
          <w:r>
            <w:fldChar w:fldCharType="begin"/>
          </w:r>
          <w:r>
            <w:instrText xml:space="preserve"> PAGEREF _Toc14219 </w:instrText>
          </w:r>
          <w:r>
            <w:fldChar w:fldCharType="separate"/>
          </w:r>
          <w:r>
            <w:t>17</w:t>
          </w:r>
          <w:r>
            <w:fldChar w:fldCharType="end"/>
          </w:r>
          <w:r>
            <w:rPr>
              <w:rFonts w:asciiTheme="minorEastAsia" w:hAnsiTheme="minorEastAsia" w:eastAsiaTheme="minorEastAsia"/>
              <w:bCs/>
              <w:szCs w:val="21"/>
              <w:lang w:val="zh-CN"/>
            </w:rPr>
            <w:fldChar w:fldCharType="end"/>
          </w:r>
        </w:p>
        <w:p w14:paraId="792D4736">
          <w:pPr>
            <w:pStyle w:val="16"/>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_Toc14119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8. </w:t>
          </w:r>
          <w:r>
            <w:rPr>
              <w:rFonts w:hint="eastAsia" w:asciiTheme="minorEastAsia" w:hAnsiTheme="minorEastAsia" w:eastAsiaTheme="minorEastAsia"/>
              <w:szCs w:val="21"/>
              <w:lang w:bidi="en-US"/>
            </w:rPr>
            <w:t>相关文件和记录</w:t>
          </w:r>
          <w:r>
            <w:tab/>
          </w:r>
          <w:r>
            <w:fldChar w:fldCharType="begin"/>
          </w:r>
          <w:r>
            <w:instrText xml:space="preserve"> PAGEREF _Toc14119 </w:instrText>
          </w:r>
          <w:r>
            <w:fldChar w:fldCharType="separate"/>
          </w:r>
          <w:r>
            <w:t>18</w:t>
          </w:r>
          <w:r>
            <w:fldChar w:fldCharType="end"/>
          </w:r>
          <w:r>
            <w:rPr>
              <w:rFonts w:asciiTheme="minorEastAsia" w:hAnsiTheme="minorEastAsia" w:eastAsiaTheme="minorEastAsia"/>
              <w:bCs/>
              <w:szCs w:val="21"/>
              <w:lang w:val="zh-CN"/>
            </w:rPr>
            <w:fldChar w:fldCharType="end"/>
          </w:r>
        </w:p>
        <w:p w14:paraId="00182434">
          <w:pPr>
            <w:spacing w:line="360" w:lineRule="auto"/>
            <w:rPr>
              <w:rFonts w:asciiTheme="minorEastAsia" w:hAnsiTheme="minorEastAsia" w:eastAsiaTheme="minorEastAsia"/>
              <w:szCs w:val="21"/>
            </w:rPr>
          </w:pPr>
          <w:r>
            <w:rPr>
              <w:rFonts w:asciiTheme="minorEastAsia" w:hAnsiTheme="minorEastAsia" w:eastAsiaTheme="minorEastAsia"/>
              <w:bCs/>
              <w:szCs w:val="21"/>
              <w:lang w:val="zh-CN"/>
            </w:rPr>
            <w:fldChar w:fldCharType="end"/>
          </w:r>
        </w:p>
      </w:sdtContent>
    </w:sdt>
    <w:p w14:paraId="722AC089">
      <w:pPr>
        <w:widowControl/>
        <w:spacing w:line="360" w:lineRule="auto"/>
        <w:jc w:val="left"/>
        <w:rPr>
          <w:rFonts w:asciiTheme="minorEastAsia" w:hAnsiTheme="minorEastAsia" w:eastAsiaTheme="minorEastAsia"/>
          <w:b/>
          <w:szCs w:val="21"/>
        </w:rPr>
      </w:pPr>
      <w:r>
        <w:rPr>
          <w:rFonts w:asciiTheme="minorEastAsia" w:hAnsiTheme="minorEastAsia" w:eastAsiaTheme="minorEastAsia"/>
          <w:b/>
          <w:szCs w:val="21"/>
        </w:rPr>
        <w:br w:type="page"/>
      </w:r>
    </w:p>
    <w:p w14:paraId="0B129278">
      <w:pPr>
        <w:pStyle w:val="2"/>
        <w:numPr>
          <w:ilvl w:val="0"/>
          <w:numId w:val="2"/>
        </w:numPr>
        <w:spacing w:line="360" w:lineRule="auto"/>
        <w:rPr>
          <w:rFonts w:asciiTheme="minorEastAsia" w:hAnsiTheme="minorEastAsia" w:eastAsiaTheme="minorEastAsia"/>
          <w:sz w:val="21"/>
          <w:szCs w:val="21"/>
        </w:rPr>
      </w:pPr>
      <w:bookmarkStart w:id="0" w:name="_Toc2577"/>
      <w:r>
        <w:rPr>
          <w:rFonts w:hint="eastAsia" w:asciiTheme="minorEastAsia" w:hAnsiTheme="minorEastAsia" w:eastAsiaTheme="minorEastAsia"/>
          <w:sz w:val="21"/>
          <w:szCs w:val="21"/>
        </w:rPr>
        <w:t>概述</w:t>
      </w:r>
      <w:bookmarkEnd w:id="0"/>
    </w:p>
    <w:p w14:paraId="6689E788">
      <w:pPr>
        <w:pStyle w:val="3"/>
        <w:numPr>
          <w:ilvl w:val="1"/>
          <w:numId w:val="2"/>
        </w:numPr>
        <w:spacing w:line="360" w:lineRule="auto"/>
        <w:rPr>
          <w:rFonts w:asciiTheme="minorEastAsia" w:hAnsiTheme="minorEastAsia" w:eastAsiaTheme="minorEastAsia"/>
          <w:sz w:val="21"/>
          <w:szCs w:val="21"/>
        </w:rPr>
      </w:pPr>
      <w:bookmarkStart w:id="1" w:name="_Toc30211"/>
      <w:r>
        <w:rPr>
          <w:rFonts w:hint="eastAsia" w:asciiTheme="minorEastAsia" w:hAnsiTheme="minorEastAsia" w:eastAsiaTheme="minorEastAsia"/>
          <w:sz w:val="21"/>
          <w:szCs w:val="21"/>
        </w:rPr>
        <w:t>目标</w:t>
      </w:r>
      <w:bookmarkEnd w:id="1"/>
    </w:p>
    <w:p w14:paraId="6203C5CF">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规范</w:t>
      </w:r>
      <w:r>
        <w:rPr>
          <w:rFonts w:hint="eastAsia" w:asciiTheme="minorEastAsia" w:hAnsiTheme="minorEastAsia" w:eastAsiaTheme="minorEastAsia"/>
          <w:szCs w:val="21"/>
          <w:lang w:val="en-US" w:eastAsia="zh-CN" w:bidi="en-US"/>
        </w:rPr>
        <w:t>******</w:t>
      </w:r>
      <w:r>
        <w:rPr>
          <w:rFonts w:hint="eastAsia" w:asciiTheme="minorEastAsia" w:hAnsiTheme="minorEastAsia" w:eastAsiaTheme="minorEastAsia"/>
          <w:szCs w:val="21"/>
          <w:lang w:bidi="en-US"/>
        </w:rPr>
        <w:t>在客户/用户生产环境各阶段各类变更发布活动的管理，消除或降低变更发布的风险，减少变更发布对客户/用户的影响，保障各系统的安全、稳定运行。</w:t>
      </w:r>
    </w:p>
    <w:p w14:paraId="102A9936">
      <w:pPr>
        <w:pStyle w:val="3"/>
        <w:numPr>
          <w:ilvl w:val="1"/>
          <w:numId w:val="2"/>
        </w:numPr>
        <w:spacing w:line="360" w:lineRule="auto"/>
        <w:rPr>
          <w:rFonts w:asciiTheme="minorEastAsia" w:hAnsiTheme="minorEastAsia" w:eastAsiaTheme="minorEastAsia"/>
          <w:sz w:val="21"/>
          <w:szCs w:val="21"/>
        </w:rPr>
      </w:pPr>
      <w:bookmarkStart w:id="2" w:name="_Toc29897"/>
      <w:r>
        <w:rPr>
          <w:rFonts w:hint="eastAsia" w:asciiTheme="minorEastAsia" w:hAnsiTheme="minorEastAsia" w:eastAsiaTheme="minorEastAsia"/>
          <w:sz w:val="21"/>
          <w:szCs w:val="21"/>
        </w:rPr>
        <w:t>范围</w:t>
      </w:r>
      <w:bookmarkEnd w:id="2"/>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8"/>
        <w:gridCol w:w="7202"/>
      </w:tblGrid>
      <w:tr w14:paraId="0019F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9280" w:type="dxa"/>
            <w:gridSpan w:val="2"/>
            <w:shd w:val="clear" w:color="auto" w:fill="CCCCCC"/>
            <w:vAlign w:val="center"/>
          </w:tcPr>
          <w:p w14:paraId="189042FA">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管理流程</w:t>
            </w:r>
          </w:p>
        </w:tc>
      </w:tr>
      <w:tr w14:paraId="200B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078" w:type="dxa"/>
            <w:vAlign w:val="center"/>
          </w:tcPr>
          <w:p w14:paraId="438E24A3">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适用范围</w:t>
            </w:r>
          </w:p>
        </w:tc>
        <w:tc>
          <w:tcPr>
            <w:tcW w:w="7202" w:type="dxa"/>
            <w:vAlign w:val="center"/>
          </w:tcPr>
          <w:p w14:paraId="60AEDAF0">
            <w:pPr>
              <w:pStyle w:val="52"/>
              <w:ind w:firstLine="0" w:firstLineChars="0"/>
              <w:rPr>
                <w:rFonts w:cs="Arial" w:asciiTheme="minorEastAsia" w:hAnsiTheme="minorEastAsia" w:eastAsiaTheme="minorEastAsia"/>
                <w:color w:val="000000"/>
                <w:szCs w:val="21"/>
              </w:rPr>
            </w:pPr>
          </w:p>
        </w:tc>
      </w:tr>
      <w:tr w14:paraId="166D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078" w:type="dxa"/>
            <w:vAlign w:val="center"/>
          </w:tcPr>
          <w:p w14:paraId="04652C20">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管理范围</w:t>
            </w:r>
          </w:p>
        </w:tc>
        <w:tc>
          <w:tcPr>
            <w:tcW w:w="7202" w:type="dxa"/>
            <w:vAlign w:val="center"/>
          </w:tcPr>
          <w:p w14:paraId="1BAAEB92">
            <w:pPr>
              <w:keepNext/>
              <w:spacing w:line="360" w:lineRule="auto"/>
              <w:rPr>
                <w:rFonts w:asciiTheme="minorEastAsia" w:hAnsiTheme="minorEastAsia" w:eastAsiaTheme="minorEastAsia"/>
                <w:color w:val="000000"/>
                <w:szCs w:val="21"/>
              </w:rPr>
            </w:pPr>
            <w:r>
              <w:rPr>
                <w:rFonts w:hint="eastAsia" w:cs="Arial" w:asciiTheme="minorEastAsia" w:hAnsiTheme="minorEastAsia" w:eastAsiaTheme="minorEastAsia"/>
                <w:color w:val="000000"/>
                <w:szCs w:val="21"/>
              </w:rPr>
              <w:t>对客户/用户生产环境中的系统进行</w:t>
            </w:r>
            <w:r>
              <w:rPr>
                <w:rFonts w:hint="eastAsia" w:asciiTheme="minorEastAsia" w:hAnsiTheme="minorEastAsia" w:eastAsiaTheme="minorEastAsia"/>
                <w:color w:val="000000"/>
                <w:szCs w:val="21"/>
              </w:rPr>
              <w:t>日常运维过程中（包括新功能或新版本发布）出现的对服务及组件的变更发布的管理和控制，还包括基线版本的修订，以及标准方案的更改。</w:t>
            </w:r>
          </w:p>
        </w:tc>
      </w:tr>
    </w:tbl>
    <w:p w14:paraId="78F5BCC9">
      <w:pPr>
        <w:spacing w:line="360" w:lineRule="auto"/>
        <w:rPr>
          <w:rFonts w:asciiTheme="minorEastAsia" w:hAnsiTheme="minorEastAsia" w:eastAsiaTheme="minorEastAsia"/>
          <w:szCs w:val="21"/>
          <w:lang w:bidi="en-US"/>
        </w:rPr>
      </w:pPr>
    </w:p>
    <w:p w14:paraId="758A6287">
      <w:pPr>
        <w:pStyle w:val="2"/>
        <w:numPr>
          <w:ilvl w:val="0"/>
          <w:numId w:val="2"/>
        </w:numPr>
        <w:spacing w:line="360" w:lineRule="auto"/>
        <w:rPr>
          <w:rFonts w:asciiTheme="minorEastAsia" w:hAnsiTheme="minorEastAsia" w:eastAsiaTheme="minorEastAsia"/>
          <w:sz w:val="21"/>
          <w:szCs w:val="21"/>
          <w:lang w:eastAsia="en-US" w:bidi="en-US"/>
        </w:rPr>
      </w:pPr>
      <w:bookmarkStart w:id="3" w:name="_Toc2325"/>
      <w:r>
        <w:rPr>
          <w:rFonts w:hint="eastAsia" w:asciiTheme="minorEastAsia" w:hAnsiTheme="minorEastAsia" w:eastAsiaTheme="minorEastAsia"/>
          <w:sz w:val="21"/>
          <w:szCs w:val="21"/>
          <w:lang w:bidi="en-US"/>
        </w:rPr>
        <w:t>术语、定义</w:t>
      </w:r>
      <w:bookmarkEnd w:id="3"/>
    </w:p>
    <w:tbl>
      <w:tblPr>
        <w:tblStyle w:val="24"/>
        <w:tblW w:w="9280" w:type="dxa"/>
        <w:jc w:val="center"/>
        <w:tblLayout w:type="fixed"/>
        <w:tblCellMar>
          <w:top w:w="0" w:type="dxa"/>
          <w:left w:w="108" w:type="dxa"/>
          <w:bottom w:w="0" w:type="dxa"/>
          <w:right w:w="108" w:type="dxa"/>
        </w:tblCellMar>
      </w:tblPr>
      <w:tblGrid>
        <w:gridCol w:w="1106"/>
        <w:gridCol w:w="1639"/>
        <w:gridCol w:w="6535"/>
      </w:tblGrid>
      <w:tr w14:paraId="712F552A">
        <w:tblPrEx>
          <w:tblCellMar>
            <w:top w:w="0" w:type="dxa"/>
            <w:left w:w="108" w:type="dxa"/>
            <w:bottom w:w="0" w:type="dxa"/>
            <w:right w:w="108" w:type="dxa"/>
          </w:tblCellMar>
        </w:tblPrEx>
        <w:trPr>
          <w:trHeight w:val="285" w:hRule="atLeast"/>
          <w:jc w:val="center"/>
        </w:trPr>
        <w:tc>
          <w:tcPr>
            <w:tcW w:w="1106" w:type="dxa"/>
            <w:tcBorders>
              <w:top w:val="single" w:color="auto" w:sz="4" w:space="0"/>
              <w:left w:val="single" w:color="auto" w:sz="4" w:space="0"/>
              <w:bottom w:val="single" w:color="auto" w:sz="4" w:space="0"/>
              <w:right w:val="single" w:color="auto" w:sz="4" w:space="0"/>
            </w:tcBorders>
            <w:shd w:val="clear" w:color="000000" w:fill="C0C0C0"/>
            <w:vAlign w:val="center"/>
          </w:tcPr>
          <w:p w14:paraId="6A4FB57A">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序号</w:t>
            </w:r>
          </w:p>
        </w:tc>
        <w:tc>
          <w:tcPr>
            <w:tcW w:w="1639" w:type="dxa"/>
            <w:tcBorders>
              <w:top w:val="single" w:color="auto" w:sz="4" w:space="0"/>
              <w:left w:val="nil"/>
              <w:bottom w:val="single" w:color="auto" w:sz="4" w:space="0"/>
              <w:right w:val="single" w:color="auto" w:sz="4" w:space="0"/>
            </w:tcBorders>
            <w:shd w:val="clear" w:color="000000" w:fill="C0C0C0"/>
            <w:vAlign w:val="center"/>
          </w:tcPr>
          <w:p w14:paraId="69EEA523">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术语</w:t>
            </w:r>
          </w:p>
        </w:tc>
        <w:tc>
          <w:tcPr>
            <w:tcW w:w="6535" w:type="dxa"/>
            <w:tcBorders>
              <w:top w:val="single" w:color="auto" w:sz="4" w:space="0"/>
              <w:left w:val="nil"/>
              <w:bottom w:val="single" w:color="auto" w:sz="4" w:space="0"/>
              <w:right w:val="single" w:color="auto" w:sz="4" w:space="0"/>
            </w:tcBorders>
            <w:shd w:val="clear" w:color="000000" w:fill="C0C0C0"/>
            <w:vAlign w:val="center"/>
          </w:tcPr>
          <w:p w14:paraId="6A817642">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定义</w:t>
            </w:r>
          </w:p>
        </w:tc>
      </w:tr>
      <w:tr w14:paraId="0EBDFB3B">
        <w:tblPrEx>
          <w:tblCellMar>
            <w:top w:w="0" w:type="dxa"/>
            <w:left w:w="108" w:type="dxa"/>
            <w:bottom w:w="0" w:type="dxa"/>
            <w:right w:w="108" w:type="dxa"/>
          </w:tblCellMar>
        </w:tblPrEx>
        <w:trPr>
          <w:trHeight w:val="285"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3A777FFE">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639" w:type="dxa"/>
            <w:tcBorders>
              <w:top w:val="nil"/>
              <w:left w:val="nil"/>
              <w:bottom w:val="single" w:color="auto" w:sz="4" w:space="0"/>
              <w:right w:val="single" w:color="auto" w:sz="4" w:space="0"/>
            </w:tcBorders>
            <w:shd w:val="clear" w:color="000000" w:fill="FFFFFF"/>
            <w:vAlign w:val="center"/>
          </w:tcPr>
          <w:p w14:paraId="0CECD01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w:t>
            </w:r>
          </w:p>
        </w:tc>
        <w:tc>
          <w:tcPr>
            <w:tcW w:w="6535" w:type="dxa"/>
            <w:tcBorders>
              <w:top w:val="nil"/>
              <w:left w:val="nil"/>
              <w:bottom w:val="single" w:color="auto" w:sz="4" w:space="0"/>
              <w:right w:val="single" w:color="auto" w:sz="4" w:space="0"/>
            </w:tcBorders>
            <w:shd w:val="clear" w:color="000000" w:fill="FFFFFF"/>
            <w:vAlign w:val="center"/>
          </w:tcPr>
          <w:p w14:paraId="4451F6B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对任何可能影响服务的组件的增加、修改或删除。</w:t>
            </w:r>
          </w:p>
        </w:tc>
      </w:tr>
      <w:tr w14:paraId="1D802EDF">
        <w:tblPrEx>
          <w:tblCellMar>
            <w:top w:w="0" w:type="dxa"/>
            <w:left w:w="108" w:type="dxa"/>
            <w:bottom w:w="0" w:type="dxa"/>
            <w:right w:w="108" w:type="dxa"/>
          </w:tblCellMar>
        </w:tblPrEx>
        <w:trPr>
          <w:trHeight w:val="54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1D2510D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1639" w:type="dxa"/>
            <w:tcBorders>
              <w:top w:val="nil"/>
              <w:left w:val="nil"/>
              <w:bottom w:val="single" w:color="auto" w:sz="4" w:space="0"/>
              <w:right w:val="single" w:color="auto" w:sz="4" w:space="0"/>
            </w:tcBorders>
            <w:shd w:val="clear" w:color="000000" w:fill="FFFFFF"/>
            <w:vAlign w:val="center"/>
          </w:tcPr>
          <w:p w14:paraId="25FE70D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变更窗口</w:t>
            </w:r>
          </w:p>
        </w:tc>
        <w:tc>
          <w:tcPr>
            <w:tcW w:w="6535" w:type="dxa"/>
            <w:tcBorders>
              <w:top w:val="nil"/>
              <w:left w:val="nil"/>
              <w:bottom w:val="single" w:color="auto" w:sz="4" w:space="0"/>
              <w:right w:val="single" w:color="auto" w:sz="4" w:space="0"/>
            </w:tcBorders>
            <w:shd w:val="clear" w:color="000000" w:fill="FFFFFF"/>
            <w:vAlign w:val="center"/>
          </w:tcPr>
          <w:p w14:paraId="5F9AD04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约定的、周期性的时间，在此期间实施变更或发布对服务的影响最小。</w:t>
            </w:r>
          </w:p>
        </w:tc>
      </w:tr>
      <w:tr w14:paraId="0B4D581E">
        <w:tblPrEx>
          <w:tblCellMar>
            <w:top w:w="0" w:type="dxa"/>
            <w:left w:w="108" w:type="dxa"/>
            <w:bottom w:w="0" w:type="dxa"/>
            <w:right w:w="108" w:type="dxa"/>
          </w:tblCellMar>
        </w:tblPrEx>
        <w:trPr>
          <w:trHeight w:val="54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221D55A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c>
          <w:tcPr>
            <w:tcW w:w="1639" w:type="dxa"/>
            <w:tcBorders>
              <w:top w:val="nil"/>
              <w:left w:val="nil"/>
              <w:bottom w:val="single" w:color="auto" w:sz="4" w:space="0"/>
              <w:right w:val="single" w:color="auto" w:sz="4" w:space="0"/>
            </w:tcBorders>
            <w:shd w:val="clear" w:color="000000" w:fill="FFFFFF"/>
            <w:vAlign w:val="center"/>
          </w:tcPr>
          <w:p w14:paraId="2657A1F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变更顾问委员会 (CAB)</w:t>
            </w:r>
          </w:p>
        </w:tc>
        <w:tc>
          <w:tcPr>
            <w:tcW w:w="6535" w:type="dxa"/>
            <w:tcBorders>
              <w:top w:val="nil"/>
              <w:left w:val="nil"/>
              <w:bottom w:val="single" w:color="auto" w:sz="4" w:space="0"/>
              <w:right w:val="single" w:color="auto" w:sz="4" w:space="0"/>
            </w:tcBorders>
            <w:shd w:val="clear" w:color="000000" w:fill="FFFFFF"/>
            <w:vAlign w:val="center"/>
          </w:tcPr>
          <w:p w14:paraId="27B4159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就变更的评审、优先顺序和时间表提供建议的一组人。</w:t>
            </w:r>
          </w:p>
        </w:tc>
      </w:tr>
      <w:tr w14:paraId="5AD4E95A">
        <w:tblPrEx>
          <w:tblCellMar>
            <w:top w:w="0" w:type="dxa"/>
            <w:left w:w="108" w:type="dxa"/>
            <w:bottom w:w="0" w:type="dxa"/>
            <w:right w:w="108" w:type="dxa"/>
          </w:tblCellMar>
        </w:tblPrEx>
        <w:trPr>
          <w:trHeight w:val="54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32D1F3C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4</w:t>
            </w:r>
          </w:p>
        </w:tc>
        <w:tc>
          <w:tcPr>
            <w:tcW w:w="1639" w:type="dxa"/>
            <w:tcBorders>
              <w:top w:val="nil"/>
              <w:left w:val="nil"/>
              <w:bottom w:val="single" w:color="auto" w:sz="4" w:space="0"/>
              <w:right w:val="single" w:color="auto" w:sz="4" w:space="0"/>
            </w:tcBorders>
            <w:shd w:val="clear" w:color="000000" w:fill="FFFFFF"/>
            <w:vAlign w:val="center"/>
          </w:tcPr>
          <w:p w14:paraId="2C74DCA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变更管理</w:t>
            </w:r>
          </w:p>
        </w:tc>
        <w:tc>
          <w:tcPr>
            <w:tcW w:w="6535" w:type="dxa"/>
            <w:tcBorders>
              <w:top w:val="nil"/>
              <w:left w:val="nil"/>
              <w:bottom w:val="single" w:color="auto" w:sz="4" w:space="0"/>
              <w:right w:val="single" w:color="auto" w:sz="4" w:space="0"/>
            </w:tcBorders>
            <w:shd w:val="clear" w:color="000000" w:fill="FFFFFF"/>
            <w:vAlign w:val="center"/>
          </w:tcPr>
          <w:p w14:paraId="54D73A2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负责控制所有变更生命周期的流程。变更管理的主要目标是能够进行有利的变更，同时尽量减少服务的中断。</w:t>
            </w:r>
          </w:p>
        </w:tc>
      </w:tr>
      <w:tr w14:paraId="589C9C3C">
        <w:tblPrEx>
          <w:tblCellMar>
            <w:top w:w="0" w:type="dxa"/>
            <w:left w:w="108" w:type="dxa"/>
            <w:bottom w:w="0" w:type="dxa"/>
            <w:right w:w="108" w:type="dxa"/>
          </w:tblCellMar>
        </w:tblPrEx>
        <w:trPr>
          <w:trHeight w:val="81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645026B0">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5</w:t>
            </w:r>
          </w:p>
        </w:tc>
        <w:tc>
          <w:tcPr>
            <w:tcW w:w="1639" w:type="dxa"/>
            <w:tcBorders>
              <w:top w:val="nil"/>
              <w:left w:val="nil"/>
              <w:bottom w:val="single" w:color="auto" w:sz="4" w:space="0"/>
              <w:right w:val="single" w:color="auto" w:sz="4" w:space="0"/>
            </w:tcBorders>
            <w:shd w:val="clear" w:color="000000" w:fill="FFFFFF"/>
            <w:vAlign w:val="center"/>
          </w:tcPr>
          <w:p w14:paraId="65D35C9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变更记录</w:t>
            </w:r>
          </w:p>
        </w:tc>
        <w:tc>
          <w:tcPr>
            <w:tcW w:w="6535" w:type="dxa"/>
            <w:tcBorders>
              <w:top w:val="nil"/>
              <w:left w:val="nil"/>
              <w:bottom w:val="single" w:color="auto" w:sz="4" w:space="0"/>
              <w:right w:val="single" w:color="auto" w:sz="4" w:space="0"/>
            </w:tcBorders>
            <w:shd w:val="clear" w:color="000000" w:fill="FFFFFF"/>
            <w:vAlign w:val="center"/>
          </w:tcPr>
          <w:p w14:paraId="4A26565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包含变更详情的记录。每个变更记录都记录了一个变更的生命周期。系统为每个收到的变更请求创建变更记录，甚至那些随后被拒绝的变更。变更记录应该参考受变更影响的配置项。</w:t>
            </w:r>
          </w:p>
        </w:tc>
      </w:tr>
      <w:tr w14:paraId="2CA5946B">
        <w:tblPrEx>
          <w:tblCellMar>
            <w:top w:w="0" w:type="dxa"/>
            <w:left w:w="108" w:type="dxa"/>
            <w:bottom w:w="0" w:type="dxa"/>
            <w:right w:w="108" w:type="dxa"/>
          </w:tblCellMar>
        </w:tblPrEx>
        <w:trPr>
          <w:trHeight w:val="54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0440529F">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6</w:t>
            </w:r>
          </w:p>
        </w:tc>
        <w:tc>
          <w:tcPr>
            <w:tcW w:w="1639" w:type="dxa"/>
            <w:tcBorders>
              <w:top w:val="nil"/>
              <w:left w:val="nil"/>
              <w:bottom w:val="single" w:color="auto" w:sz="4" w:space="0"/>
              <w:right w:val="single" w:color="auto" w:sz="4" w:space="0"/>
            </w:tcBorders>
            <w:shd w:val="clear" w:color="000000" w:fill="FFFFFF"/>
            <w:vAlign w:val="center"/>
          </w:tcPr>
          <w:p w14:paraId="61F0426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变更请求 </w:t>
            </w:r>
          </w:p>
        </w:tc>
        <w:tc>
          <w:tcPr>
            <w:tcW w:w="6535" w:type="dxa"/>
            <w:tcBorders>
              <w:top w:val="nil"/>
              <w:left w:val="nil"/>
              <w:bottom w:val="single" w:color="auto" w:sz="4" w:space="0"/>
              <w:right w:val="single" w:color="auto" w:sz="4" w:space="0"/>
            </w:tcBorders>
            <w:shd w:val="clear" w:color="000000" w:fill="FFFFFF"/>
            <w:vAlign w:val="center"/>
          </w:tcPr>
          <w:p w14:paraId="4179BA8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变更的正式提议，包括变更的详细信息，可以记在纸上或电子文档中。</w:t>
            </w:r>
          </w:p>
        </w:tc>
      </w:tr>
      <w:tr w14:paraId="20523811">
        <w:tblPrEx>
          <w:tblCellMar>
            <w:top w:w="0" w:type="dxa"/>
            <w:left w:w="108" w:type="dxa"/>
            <w:bottom w:w="0" w:type="dxa"/>
            <w:right w:w="108" w:type="dxa"/>
          </w:tblCellMar>
        </w:tblPrEx>
        <w:trPr>
          <w:trHeight w:val="54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51654788">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7</w:t>
            </w:r>
          </w:p>
        </w:tc>
        <w:tc>
          <w:tcPr>
            <w:tcW w:w="1639" w:type="dxa"/>
            <w:tcBorders>
              <w:top w:val="nil"/>
              <w:left w:val="nil"/>
              <w:bottom w:val="single" w:color="auto" w:sz="4" w:space="0"/>
              <w:right w:val="single" w:color="auto" w:sz="4" w:space="0"/>
            </w:tcBorders>
            <w:shd w:val="clear" w:color="000000" w:fill="FFFFFF"/>
            <w:vAlign w:val="center"/>
          </w:tcPr>
          <w:p w14:paraId="5A988D8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标准变更</w:t>
            </w:r>
          </w:p>
        </w:tc>
        <w:tc>
          <w:tcPr>
            <w:tcW w:w="6535" w:type="dxa"/>
            <w:tcBorders>
              <w:top w:val="nil"/>
              <w:left w:val="nil"/>
              <w:bottom w:val="single" w:color="auto" w:sz="4" w:space="0"/>
              <w:right w:val="single" w:color="auto" w:sz="4" w:space="0"/>
            </w:tcBorders>
            <w:shd w:val="clear" w:color="000000" w:fill="FFFFFF"/>
            <w:vAlign w:val="center"/>
          </w:tcPr>
          <w:p w14:paraId="0DBB9CB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预先批准的变更，它的风险低、相对常见并遵守程序或工作指令。例如，密码重置或为新雇员提供标准设备。标准变更原则上均应在服务请求管理流程中执行。</w:t>
            </w:r>
          </w:p>
        </w:tc>
      </w:tr>
      <w:tr w14:paraId="16C30B45">
        <w:tblPrEx>
          <w:tblCellMar>
            <w:top w:w="0" w:type="dxa"/>
            <w:left w:w="108" w:type="dxa"/>
            <w:bottom w:w="0" w:type="dxa"/>
            <w:right w:w="108" w:type="dxa"/>
          </w:tblCellMar>
        </w:tblPrEx>
        <w:trPr>
          <w:trHeight w:val="285"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57EF1D3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8</w:t>
            </w:r>
          </w:p>
        </w:tc>
        <w:tc>
          <w:tcPr>
            <w:tcW w:w="1639" w:type="dxa"/>
            <w:tcBorders>
              <w:top w:val="nil"/>
              <w:left w:val="nil"/>
              <w:bottom w:val="single" w:color="auto" w:sz="4" w:space="0"/>
              <w:right w:val="single" w:color="auto" w:sz="4" w:space="0"/>
            </w:tcBorders>
            <w:shd w:val="clear" w:color="000000" w:fill="FFFFFF"/>
            <w:vAlign w:val="center"/>
          </w:tcPr>
          <w:p w14:paraId="3FBB5640">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测试</w:t>
            </w:r>
          </w:p>
        </w:tc>
        <w:tc>
          <w:tcPr>
            <w:tcW w:w="6535" w:type="dxa"/>
            <w:tcBorders>
              <w:top w:val="nil"/>
              <w:left w:val="nil"/>
              <w:bottom w:val="single" w:color="auto" w:sz="4" w:space="0"/>
              <w:right w:val="single" w:color="auto" w:sz="4" w:space="0"/>
            </w:tcBorders>
            <w:shd w:val="clear" w:color="000000" w:fill="FFFFFF"/>
            <w:vAlign w:val="center"/>
          </w:tcPr>
          <w:p w14:paraId="5FDAB83D">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检验配置项、服务、流程等是否达到规范或约定要求的活动。 </w:t>
            </w:r>
          </w:p>
        </w:tc>
      </w:tr>
      <w:tr w14:paraId="38DF561B">
        <w:tblPrEx>
          <w:tblCellMar>
            <w:top w:w="0" w:type="dxa"/>
            <w:left w:w="108" w:type="dxa"/>
            <w:bottom w:w="0" w:type="dxa"/>
            <w:right w:w="108" w:type="dxa"/>
          </w:tblCellMar>
        </w:tblPrEx>
        <w:trPr>
          <w:trHeight w:val="285"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5DF0A40F">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9</w:t>
            </w:r>
          </w:p>
        </w:tc>
        <w:tc>
          <w:tcPr>
            <w:tcW w:w="1639" w:type="dxa"/>
            <w:tcBorders>
              <w:top w:val="nil"/>
              <w:left w:val="nil"/>
              <w:bottom w:val="single" w:color="auto" w:sz="4" w:space="0"/>
              <w:right w:val="single" w:color="auto" w:sz="4" w:space="0"/>
            </w:tcBorders>
            <w:shd w:val="clear" w:color="000000" w:fill="FFFFFF"/>
            <w:vAlign w:val="center"/>
          </w:tcPr>
          <w:p w14:paraId="3B8EC04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测试环境</w:t>
            </w:r>
          </w:p>
        </w:tc>
        <w:tc>
          <w:tcPr>
            <w:tcW w:w="6535" w:type="dxa"/>
            <w:tcBorders>
              <w:top w:val="nil"/>
              <w:left w:val="nil"/>
              <w:bottom w:val="single" w:color="auto" w:sz="4" w:space="0"/>
              <w:right w:val="single" w:color="auto" w:sz="4" w:space="0"/>
            </w:tcBorders>
            <w:shd w:val="clear" w:color="000000" w:fill="FFFFFF"/>
            <w:vAlign w:val="center"/>
          </w:tcPr>
          <w:p w14:paraId="6905098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一个用于测试配置项、构建、服务、流程等的可控环境。</w:t>
            </w:r>
          </w:p>
        </w:tc>
      </w:tr>
      <w:tr w14:paraId="165758CF">
        <w:tblPrEx>
          <w:tblCellMar>
            <w:top w:w="0" w:type="dxa"/>
            <w:left w:w="108" w:type="dxa"/>
            <w:bottom w:w="0" w:type="dxa"/>
            <w:right w:w="108" w:type="dxa"/>
          </w:tblCellMar>
        </w:tblPrEx>
        <w:trPr>
          <w:trHeight w:val="81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526BFC5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10</w:t>
            </w:r>
          </w:p>
        </w:tc>
        <w:tc>
          <w:tcPr>
            <w:tcW w:w="1639" w:type="dxa"/>
            <w:tcBorders>
              <w:top w:val="nil"/>
              <w:left w:val="nil"/>
              <w:bottom w:val="single" w:color="auto" w:sz="4" w:space="0"/>
              <w:right w:val="single" w:color="auto" w:sz="4" w:space="0"/>
            </w:tcBorders>
            <w:shd w:val="clear" w:color="000000" w:fill="FFFFFF"/>
            <w:vAlign w:val="center"/>
          </w:tcPr>
          <w:p w14:paraId="08E352D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发布</w:t>
            </w:r>
          </w:p>
        </w:tc>
        <w:tc>
          <w:tcPr>
            <w:tcW w:w="6535" w:type="dxa"/>
            <w:tcBorders>
              <w:top w:val="nil"/>
              <w:left w:val="nil"/>
              <w:bottom w:val="single" w:color="auto" w:sz="4" w:space="0"/>
              <w:right w:val="single" w:color="auto" w:sz="4" w:space="0"/>
            </w:tcBorders>
            <w:shd w:val="clear" w:color="000000" w:fill="FFFFFF"/>
            <w:vAlign w:val="center"/>
          </w:tcPr>
          <w:p w14:paraId="370A1BF2">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实施一个或多个已批准的服务的变更所需的一组软硬件、文档、流程或其它组件。每个发布的内容作为一个单独实体进行管理、测试和部署。</w:t>
            </w:r>
          </w:p>
        </w:tc>
      </w:tr>
      <w:tr w14:paraId="6C79F4A7">
        <w:tblPrEx>
          <w:tblCellMar>
            <w:top w:w="0" w:type="dxa"/>
            <w:left w:w="108" w:type="dxa"/>
            <w:bottom w:w="0" w:type="dxa"/>
            <w:right w:w="108" w:type="dxa"/>
          </w:tblCellMar>
        </w:tblPrEx>
        <w:trPr>
          <w:trHeight w:val="81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467158B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r>
              <w:rPr>
                <w:rFonts w:cs="宋体" w:asciiTheme="minorEastAsia" w:hAnsiTheme="minorEastAsia" w:eastAsiaTheme="minorEastAsia"/>
                <w:color w:val="000000"/>
                <w:kern w:val="0"/>
                <w:szCs w:val="21"/>
              </w:rPr>
              <w:t>1</w:t>
            </w:r>
          </w:p>
        </w:tc>
        <w:tc>
          <w:tcPr>
            <w:tcW w:w="1639" w:type="dxa"/>
            <w:tcBorders>
              <w:top w:val="nil"/>
              <w:left w:val="nil"/>
              <w:bottom w:val="single" w:color="auto" w:sz="4" w:space="0"/>
              <w:right w:val="single" w:color="auto" w:sz="4" w:space="0"/>
            </w:tcBorders>
            <w:shd w:val="clear" w:color="000000" w:fill="FFFFFF"/>
            <w:vAlign w:val="center"/>
          </w:tcPr>
          <w:p w14:paraId="6D954AD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回顾</w:t>
            </w:r>
          </w:p>
        </w:tc>
        <w:tc>
          <w:tcPr>
            <w:tcW w:w="6535" w:type="dxa"/>
            <w:tcBorders>
              <w:top w:val="nil"/>
              <w:left w:val="nil"/>
              <w:bottom w:val="single" w:color="auto" w:sz="4" w:space="0"/>
              <w:right w:val="single" w:color="auto" w:sz="4" w:space="0"/>
            </w:tcBorders>
            <w:shd w:val="clear" w:color="000000" w:fill="FFFFFF"/>
            <w:vAlign w:val="center"/>
          </w:tcPr>
          <w:p w14:paraId="4538B2F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评价变更、问题、流程、项目等。审查一般在生命周期的预定点进行，特别是关闭后。审查的目的是确保已经提供了所有的交付物，同时确定改进的机会。 </w:t>
            </w:r>
          </w:p>
        </w:tc>
      </w:tr>
      <w:tr w14:paraId="73965412">
        <w:tblPrEx>
          <w:tblCellMar>
            <w:top w:w="0" w:type="dxa"/>
            <w:left w:w="108" w:type="dxa"/>
            <w:bottom w:w="0" w:type="dxa"/>
            <w:right w:w="108" w:type="dxa"/>
          </w:tblCellMar>
        </w:tblPrEx>
        <w:trPr>
          <w:trHeight w:val="268"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2DC1F6F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r>
              <w:rPr>
                <w:rFonts w:cs="宋体" w:asciiTheme="minorEastAsia" w:hAnsiTheme="minorEastAsia" w:eastAsiaTheme="minorEastAsia"/>
                <w:color w:val="000000"/>
                <w:kern w:val="0"/>
                <w:szCs w:val="21"/>
              </w:rPr>
              <w:t>2</w:t>
            </w:r>
          </w:p>
        </w:tc>
        <w:tc>
          <w:tcPr>
            <w:tcW w:w="1639" w:type="dxa"/>
            <w:tcBorders>
              <w:top w:val="nil"/>
              <w:left w:val="nil"/>
              <w:bottom w:val="single" w:color="auto" w:sz="4" w:space="0"/>
              <w:right w:val="single" w:color="auto" w:sz="4" w:space="0"/>
            </w:tcBorders>
            <w:shd w:val="clear" w:color="000000" w:fill="FFFFFF"/>
            <w:vAlign w:val="center"/>
          </w:tcPr>
          <w:p w14:paraId="67DFAC2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紧急变更</w:t>
            </w:r>
          </w:p>
        </w:tc>
        <w:tc>
          <w:tcPr>
            <w:tcW w:w="6535" w:type="dxa"/>
            <w:tcBorders>
              <w:top w:val="nil"/>
              <w:left w:val="nil"/>
              <w:bottom w:val="single" w:color="auto" w:sz="4" w:space="0"/>
              <w:right w:val="single" w:color="auto" w:sz="4" w:space="0"/>
            </w:tcBorders>
            <w:shd w:val="clear" w:color="000000" w:fill="FFFFFF"/>
            <w:vAlign w:val="center"/>
          </w:tcPr>
          <w:p w14:paraId="21A0364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必须尽快引入的变更。例如为了解决突发事件或实施安全补丁。 </w:t>
            </w:r>
          </w:p>
        </w:tc>
      </w:tr>
      <w:tr w14:paraId="2ADDC594">
        <w:tblPrEx>
          <w:tblCellMar>
            <w:top w:w="0" w:type="dxa"/>
            <w:left w:w="108" w:type="dxa"/>
            <w:bottom w:w="0" w:type="dxa"/>
            <w:right w:w="108" w:type="dxa"/>
          </w:tblCellMar>
        </w:tblPrEx>
        <w:trPr>
          <w:trHeight w:val="810" w:hRule="atLeast"/>
          <w:jc w:val="center"/>
        </w:trPr>
        <w:tc>
          <w:tcPr>
            <w:tcW w:w="1106" w:type="dxa"/>
            <w:tcBorders>
              <w:top w:val="nil"/>
              <w:left w:val="single" w:color="auto" w:sz="4" w:space="0"/>
              <w:bottom w:val="single" w:color="auto" w:sz="4" w:space="0"/>
              <w:right w:val="single" w:color="auto" w:sz="4" w:space="0"/>
            </w:tcBorders>
            <w:shd w:val="clear" w:color="auto" w:fill="auto"/>
            <w:noWrap/>
            <w:vAlign w:val="center"/>
          </w:tcPr>
          <w:p w14:paraId="3DFFB902">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r>
              <w:rPr>
                <w:rFonts w:cs="宋体" w:asciiTheme="minorEastAsia" w:hAnsiTheme="minorEastAsia" w:eastAsiaTheme="minorEastAsia"/>
                <w:color w:val="000000"/>
                <w:kern w:val="0"/>
                <w:szCs w:val="21"/>
              </w:rPr>
              <w:t>3</w:t>
            </w:r>
          </w:p>
        </w:tc>
        <w:tc>
          <w:tcPr>
            <w:tcW w:w="1639" w:type="dxa"/>
            <w:tcBorders>
              <w:top w:val="nil"/>
              <w:left w:val="nil"/>
              <w:bottom w:val="single" w:color="auto" w:sz="4" w:space="0"/>
              <w:right w:val="single" w:color="auto" w:sz="4" w:space="0"/>
            </w:tcBorders>
            <w:shd w:val="clear" w:color="000000" w:fill="FFFFFF"/>
            <w:vAlign w:val="center"/>
          </w:tcPr>
          <w:p w14:paraId="63E66EC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紧急变更顾问委员会 (ECAB)</w:t>
            </w:r>
          </w:p>
        </w:tc>
        <w:tc>
          <w:tcPr>
            <w:tcW w:w="6535" w:type="dxa"/>
            <w:tcBorders>
              <w:top w:val="nil"/>
              <w:left w:val="nil"/>
              <w:bottom w:val="single" w:color="auto" w:sz="4" w:space="0"/>
              <w:right w:val="single" w:color="auto" w:sz="4" w:space="0"/>
            </w:tcBorders>
            <w:shd w:val="clear" w:color="000000" w:fill="FFFFFF"/>
            <w:vAlign w:val="center"/>
          </w:tcPr>
          <w:p w14:paraId="059D305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变更顾问委员会的一部分，负责具有重大影响的紧急变更决策。ECAB 的成员可以在召集会议时确定，并取决于紧急变更的性质。</w:t>
            </w:r>
          </w:p>
        </w:tc>
      </w:tr>
    </w:tbl>
    <w:p w14:paraId="56C62754">
      <w:pPr>
        <w:spacing w:line="360" w:lineRule="auto"/>
        <w:rPr>
          <w:rFonts w:asciiTheme="minorEastAsia" w:hAnsiTheme="minorEastAsia" w:eastAsiaTheme="minorEastAsia"/>
          <w:szCs w:val="21"/>
          <w:lang w:bidi="en-US"/>
        </w:rPr>
      </w:pPr>
    </w:p>
    <w:p w14:paraId="66E6DF6B">
      <w:pPr>
        <w:pStyle w:val="2"/>
        <w:numPr>
          <w:ilvl w:val="0"/>
          <w:numId w:val="2"/>
        </w:numPr>
        <w:spacing w:line="360" w:lineRule="auto"/>
        <w:rPr>
          <w:rFonts w:asciiTheme="minorEastAsia" w:hAnsiTheme="minorEastAsia" w:eastAsiaTheme="minorEastAsia"/>
          <w:sz w:val="21"/>
          <w:szCs w:val="21"/>
          <w:lang w:eastAsia="en-US" w:bidi="en-US"/>
        </w:rPr>
      </w:pPr>
      <w:bookmarkStart w:id="4" w:name="_Toc20742"/>
      <w:r>
        <w:rPr>
          <w:rFonts w:hint="eastAsia" w:asciiTheme="minorEastAsia" w:hAnsiTheme="minorEastAsia" w:eastAsiaTheme="minorEastAsia"/>
          <w:sz w:val="21"/>
          <w:szCs w:val="21"/>
          <w:lang w:bidi="en-US"/>
        </w:rPr>
        <w:t>角色和职责</w:t>
      </w:r>
      <w:bookmarkEnd w:id="4"/>
    </w:p>
    <w:tbl>
      <w:tblPr>
        <w:tblStyle w:val="25"/>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5812"/>
        <w:gridCol w:w="1942"/>
      </w:tblGrid>
      <w:tr w14:paraId="09E5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526" w:type="dxa"/>
            <w:shd w:val="clear" w:color="auto" w:fill="D8D8D8" w:themeFill="background1" w:themeFillShade="D9"/>
            <w:vAlign w:val="center"/>
          </w:tcPr>
          <w:p w14:paraId="6E0B6711">
            <w:pPr>
              <w:spacing w:line="36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角色</w:t>
            </w:r>
          </w:p>
        </w:tc>
        <w:tc>
          <w:tcPr>
            <w:tcW w:w="5812" w:type="dxa"/>
            <w:shd w:val="clear" w:color="auto" w:fill="D8D8D8" w:themeFill="background1" w:themeFillShade="D9"/>
            <w:vAlign w:val="center"/>
          </w:tcPr>
          <w:p w14:paraId="426E1A51">
            <w:pPr>
              <w:spacing w:line="36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职责描述</w:t>
            </w:r>
          </w:p>
        </w:tc>
        <w:tc>
          <w:tcPr>
            <w:tcW w:w="1942" w:type="dxa"/>
            <w:shd w:val="clear" w:color="auto" w:fill="D8D8D8" w:themeFill="background1" w:themeFillShade="D9"/>
            <w:vAlign w:val="center"/>
          </w:tcPr>
          <w:p w14:paraId="423A18EE">
            <w:pPr>
              <w:spacing w:line="360" w:lineRule="auto"/>
              <w:jc w:val="center"/>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对应岗位</w:t>
            </w:r>
          </w:p>
        </w:tc>
      </w:tr>
      <w:tr w14:paraId="3BDD6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6CC6C9F2">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变更申请人</w:t>
            </w:r>
          </w:p>
        </w:tc>
        <w:tc>
          <w:tcPr>
            <w:tcW w:w="5812" w:type="dxa"/>
          </w:tcPr>
          <w:p w14:paraId="22245C23">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提交变更发布申请</w:t>
            </w:r>
          </w:p>
          <w:p w14:paraId="7FDDCBA7">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跟踪和协调变更发布实施流程</w:t>
            </w:r>
          </w:p>
          <w:p w14:paraId="644B60EE">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负责参与回顾变更发布实施结果</w:t>
            </w:r>
          </w:p>
        </w:tc>
        <w:tc>
          <w:tcPr>
            <w:tcW w:w="1942" w:type="dxa"/>
          </w:tcPr>
          <w:p w14:paraId="4346294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所有可以发起变更的人</w:t>
            </w:r>
          </w:p>
        </w:tc>
      </w:tr>
      <w:tr w14:paraId="7965A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54010166">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变更负责人</w:t>
            </w:r>
          </w:p>
        </w:tc>
        <w:tc>
          <w:tcPr>
            <w:tcW w:w="5812" w:type="dxa"/>
          </w:tcPr>
          <w:p w14:paraId="796ED8BC">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变更负责人并不是固定的，根据每次变更内容不同而决定的</w:t>
            </w:r>
          </w:p>
          <w:p w14:paraId="6AF6C7CA">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负责与申请人沟通并完善变更发布计划和方案，包括回退计划</w:t>
            </w:r>
          </w:p>
          <w:p w14:paraId="3124C920">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变更发布影响范围、可行性及风险评估</w:t>
            </w:r>
          </w:p>
          <w:p w14:paraId="7D072E3B">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组织相关审核与审批</w:t>
            </w:r>
          </w:p>
          <w:p w14:paraId="36D1FA46">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负责组织申请人对变更发布结果进行验证</w:t>
            </w:r>
          </w:p>
          <w:p w14:paraId="40F0A727">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负责对变更发布进行回顾</w:t>
            </w:r>
          </w:p>
        </w:tc>
        <w:tc>
          <w:tcPr>
            <w:tcW w:w="1942" w:type="dxa"/>
          </w:tcPr>
          <w:p w14:paraId="17AD06D9">
            <w:pPr>
              <w:spacing w:line="360" w:lineRule="auto"/>
              <w:rPr>
                <w:rFonts w:asciiTheme="minorEastAsia" w:hAnsiTheme="minorEastAsia" w:eastAsiaTheme="minorEastAsia"/>
                <w:szCs w:val="21"/>
                <w:highlight w:val="green"/>
              </w:rPr>
            </w:pPr>
          </w:p>
        </w:tc>
      </w:tr>
      <w:tr w14:paraId="3073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612B415F">
            <w:pPr>
              <w:spacing w:line="360" w:lineRule="auto"/>
              <w:rPr>
                <w:rFonts w:asciiTheme="minorEastAsia" w:hAnsiTheme="minorEastAsia" w:eastAsiaTheme="minorEastAsia"/>
                <w:szCs w:val="21"/>
                <w:lang w:eastAsia="en-US" w:bidi="en-US"/>
              </w:rPr>
            </w:pPr>
            <w:r>
              <w:rPr>
                <w:rFonts w:hint="eastAsia" w:asciiTheme="minorEastAsia" w:hAnsiTheme="minorEastAsia" w:eastAsiaTheme="minorEastAsia"/>
                <w:szCs w:val="21"/>
                <w:lang w:bidi="en-US"/>
              </w:rPr>
              <w:t>变更审批人</w:t>
            </w:r>
          </w:p>
        </w:tc>
        <w:tc>
          <w:tcPr>
            <w:tcW w:w="5812" w:type="dxa"/>
          </w:tcPr>
          <w:p w14:paraId="22834AA1">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审核审批变更发布</w:t>
            </w:r>
          </w:p>
          <w:p w14:paraId="49B2CF43">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不同级别的变更发布有不同的审批路径</w:t>
            </w:r>
          </w:p>
          <w:p w14:paraId="357C1E22">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对于重大变更发布，需要变更审批人和部门负责人及公司分管领导的审批</w:t>
            </w:r>
          </w:p>
          <w:p w14:paraId="4BB1EDB6">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对于一般变更发布，需要变更审批人及部门负责人的审批</w:t>
            </w:r>
          </w:p>
          <w:p w14:paraId="3D3BA0CB">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对于标准变更发布，可由变更负责人直接审批，并纳入服务请求管理流程中。</w:t>
            </w:r>
          </w:p>
          <w:p w14:paraId="15C8D907">
            <w:pPr>
              <w:pStyle w:val="42"/>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对于紧急变更发布，需要变更审批人及部门负责人的审批，并视情况上报主管领导审批</w:t>
            </w:r>
          </w:p>
        </w:tc>
        <w:tc>
          <w:tcPr>
            <w:tcW w:w="1942" w:type="dxa"/>
          </w:tcPr>
          <w:p w14:paraId="6DC642E5">
            <w:pPr>
              <w:spacing w:line="360" w:lineRule="auto"/>
              <w:rPr>
                <w:rFonts w:asciiTheme="minorEastAsia" w:hAnsiTheme="minorEastAsia" w:eastAsiaTheme="minorEastAsia"/>
                <w:szCs w:val="21"/>
              </w:rPr>
            </w:pPr>
          </w:p>
        </w:tc>
      </w:tr>
      <w:tr w14:paraId="2597C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3128DA4F">
            <w:pPr>
              <w:spacing w:line="360" w:lineRule="auto"/>
              <w:rPr>
                <w:rFonts w:asciiTheme="minorEastAsia" w:hAnsiTheme="minorEastAsia" w:eastAsiaTheme="minorEastAsia"/>
                <w:szCs w:val="21"/>
                <w:lang w:eastAsia="en-US" w:bidi="en-US"/>
              </w:rPr>
            </w:pPr>
            <w:r>
              <w:rPr>
                <w:rFonts w:hint="eastAsia" w:asciiTheme="minorEastAsia" w:hAnsiTheme="minorEastAsia" w:eastAsiaTheme="minorEastAsia"/>
                <w:szCs w:val="21"/>
                <w:lang w:bidi="en-US"/>
              </w:rPr>
              <w:t>变更实施人</w:t>
            </w:r>
          </w:p>
        </w:tc>
        <w:tc>
          <w:tcPr>
            <w:tcW w:w="5812" w:type="dxa"/>
          </w:tcPr>
          <w:p w14:paraId="4C108DD9">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依据变更实施计划执行操作，变更失败时执行预定的回退计划</w:t>
            </w:r>
          </w:p>
          <w:p w14:paraId="5FDD1385">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验证变更实施结果，按需参与变更实施后的回顾</w:t>
            </w:r>
          </w:p>
          <w:p w14:paraId="29F2EF83">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标准变更执行者，不在这里单独定义，而由服务请求管理流程定义。</w:t>
            </w:r>
          </w:p>
        </w:tc>
        <w:tc>
          <w:tcPr>
            <w:tcW w:w="1942" w:type="dxa"/>
          </w:tcPr>
          <w:p w14:paraId="07CAD1BC">
            <w:pPr>
              <w:spacing w:line="360" w:lineRule="auto"/>
              <w:rPr>
                <w:rFonts w:asciiTheme="minorEastAsia" w:hAnsiTheme="minorEastAsia" w:eastAsiaTheme="minorEastAsia"/>
                <w:szCs w:val="21"/>
              </w:rPr>
            </w:pPr>
          </w:p>
        </w:tc>
      </w:tr>
      <w:tr w14:paraId="3498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64438943">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变更流程经理</w:t>
            </w:r>
          </w:p>
        </w:tc>
        <w:tc>
          <w:tcPr>
            <w:tcW w:w="5812" w:type="dxa"/>
          </w:tcPr>
          <w:p w14:paraId="5803E828">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设计和改进变更发布管理流程</w:t>
            </w:r>
          </w:p>
          <w:p w14:paraId="11785CF1">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协调、监控、跟踪流程执行情况</w:t>
            </w:r>
          </w:p>
          <w:p w14:paraId="03ADC280">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协调并监控变更发布实施情况</w:t>
            </w:r>
          </w:p>
          <w:p w14:paraId="59AA2782">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负责变更发布时间的协调和总控</w:t>
            </w:r>
          </w:p>
          <w:p w14:paraId="63B06B55">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组织商议非标准变更转为标准变更的情况</w:t>
            </w:r>
          </w:p>
          <w:p w14:paraId="41BE1040">
            <w:pPr>
              <w:pStyle w:val="42"/>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收集汇总流程信息，编制管理报告，反映存在问题，提出改进建议，制定改进计划</w:t>
            </w:r>
          </w:p>
        </w:tc>
        <w:tc>
          <w:tcPr>
            <w:tcW w:w="1942" w:type="dxa"/>
          </w:tcPr>
          <w:p w14:paraId="495115DA">
            <w:pPr>
              <w:spacing w:line="360" w:lineRule="auto"/>
              <w:rPr>
                <w:rFonts w:asciiTheme="minorEastAsia" w:hAnsiTheme="minorEastAsia" w:eastAsiaTheme="minorEastAsia"/>
                <w:szCs w:val="21"/>
              </w:rPr>
            </w:pPr>
          </w:p>
        </w:tc>
      </w:tr>
    </w:tbl>
    <w:p w14:paraId="6210DCAB">
      <w:pPr>
        <w:spacing w:line="360" w:lineRule="auto"/>
        <w:rPr>
          <w:rFonts w:asciiTheme="minorEastAsia" w:hAnsiTheme="minorEastAsia" w:eastAsiaTheme="minorEastAsia"/>
          <w:szCs w:val="21"/>
          <w:lang w:bidi="en-US"/>
        </w:rPr>
      </w:pPr>
    </w:p>
    <w:p w14:paraId="24551104">
      <w:pPr>
        <w:pStyle w:val="2"/>
        <w:numPr>
          <w:ilvl w:val="0"/>
          <w:numId w:val="2"/>
        </w:numPr>
        <w:spacing w:line="360" w:lineRule="auto"/>
        <w:rPr>
          <w:rFonts w:asciiTheme="minorEastAsia" w:hAnsiTheme="minorEastAsia" w:eastAsiaTheme="minorEastAsia"/>
          <w:sz w:val="21"/>
          <w:szCs w:val="21"/>
          <w:lang w:eastAsia="en-US" w:bidi="en-US"/>
        </w:rPr>
      </w:pPr>
      <w:bookmarkStart w:id="5" w:name="_Toc1697"/>
      <w:r>
        <w:rPr>
          <w:rFonts w:hint="eastAsia" w:asciiTheme="minorEastAsia" w:hAnsiTheme="minorEastAsia" w:eastAsiaTheme="minorEastAsia"/>
          <w:sz w:val="21"/>
          <w:szCs w:val="21"/>
          <w:lang w:bidi="en-US"/>
        </w:rPr>
        <w:t>输入</w:t>
      </w:r>
      <w:bookmarkEnd w:id="5"/>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4"/>
        <w:gridCol w:w="3806"/>
        <w:gridCol w:w="1518"/>
      </w:tblGrid>
      <w:tr w14:paraId="02ED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902" w:type="dxa"/>
            <w:shd w:val="clear" w:color="auto" w:fill="CCCCCC"/>
            <w:vAlign w:val="center"/>
          </w:tcPr>
          <w:p w14:paraId="2FBA62FD">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4" w:type="dxa"/>
            <w:shd w:val="clear" w:color="auto" w:fill="CCCCCC"/>
            <w:vAlign w:val="center"/>
          </w:tcPr>
          <w:p w14:paraId="680D386B">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输入项</w:t>
            </w:r>
          </w:p>
        </w:tc>
        <w:tc>
          <w:tcPr>
            <w:tcW w:w="3806" w:type="dxa"/>
            <w:shd w:val="clear" w:color="auto" w:fill="CCCCCC"/>
            <w:vAlign w:val="center"/>
          </w:tcPr>
          <w:p w14:paraId="4E558ED7">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来源</w:t>
            </w:r>
          </w:p>
        </w:tc>
        <w:tc>
          <w:tcPr>
            <w:tcW w:w="1518" w:type="dxa"/>
            <w:shd w:val="clear" w:color="auto" w:fill="CCCCCC"/>
            <w:vAlign w:val="center"/>
          </w:tcPr>
          <w:p w14:paraId="5FD76986">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69D8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02" w:type="dxa"/>
            <w:vAlign w:val="center"/>
          </w:tcPr>
          <w:p w14:paraId="75257FCE">
            <w:pPr>
              <w:numPr>
                <w:ilvl w:val="0"/>
                <w:numId w:val="5"/>
              </w:numPr>
              <w:spacing w:line="360" w:lineRule="auto"/>
              <w:ind w:left="533"/>
              <w:jc w:val="center"/>
              <w:rPr>
                <w:rFonts w:asciiTheme="minorEastAsia" w:hAnsiTheme="minorEastAsia" w:eastAsiaTheme="minorEastAsia"/>
                <w:color w:val="000000"/>
                <w:szCs w:val="21"/>
              </w:rPr>
            </w:pPr>
          </w:p>
        </w:tc>
        <w:tc>
          <w:tcPr>
            <w:tcW w:w="3054" w:type="dxa"/>
            <w:vAlign w:val="center"/>
          </w:tcPr>
          <w:p w14:paraId="35E2669F">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变更请求</w:t>
            </w:r>
          </w:p>
        </w:tc>
        <w:tc>
          <w:tcPr>
            <w:tcW w:w="3806" w:type="dxa"/>
            <w:vAlign w:val="center"/>
          </w:tcPr>
          <w:p w14:paraId="1449AB3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事件管理、问题管理、更换设备、新服务上线、现有系统版本升级、漏洞/bug修复。</w:t>
            </w:r>
          </w:p>
        </w:tc>
        <w:tc>
          <w:tcPr>
            <w:tcW w:w="1518" w:type="dxa"/>
            <w:vAlign w:val="center"/>
          </w:tcPr>
          <w:p w14:paraId="55F8E3F1">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3C0C128B">
      <w:pPr>
        <w:spacing w:line="360" w:lineRule="auto"/>
        <w:rPr>
          <w:rFonts w:asciiTheme="minorEastAsia" w:hAnsiTheme="minorEastAsia" w:eastAsiaTheme="minorEastAsia"/>
          <w:szCs w:val="21"/>
          <w:lang w:eastAsia="en-US" w:bidi="en-US"/>
        </w:rPr>
      </w:pPr>
    </w:p>
    <w:p w14:paraId="0D4498C0">
      <w:pPr>
        <w:pStyle w:val="2"/>
        <w:numPr>
          <w:ilvl w:val="0"/>
          <w:numId w:val="2"/>
        </w:numPr>
        <w:spacing w:line="360" w:lineRule="auto"/>
        <w:rPr>
          <w:rFonts w:asciiTheme="minorEastAsia" w:hAnsiTheme="minorEastAsia" w:eastAsiaTheme="minorEastAsia"/>
          <w:sz w:val="21"/>
          <w:szCs w:val="21"/>
          <w:lang w:bidi="en-US"/>
        </w:rPr>
      </w:pPr>
      <w:bookmarkStart w:id="6" w:name="_Toc10682"/>
      <w:r>
        <w:rPr>
          <w:rFonts w:hint="eastAsia" w:asciiTheme="minorEastAsia" w:hAnsiTheme="minorEastAsia" w:eastAsiaTheme="minorEastAsia"/>
          <w:sz w:val="21"/>
          <w:szCs w:val="21"/>
          <w:lang w:bidi="en-US"/>
        </w:rPr>
        <w:t>输出</w:t>
      </w:r>
      <w:bookmarkEnd w:id="6"/>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4"/>
        <w:gridCol w:w="3806"/>
        <w:gridCol w:w="1518"/>
      </w:tblGrid>
      <w:tr w14:paraId="73F2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902" w:type="dxa"/>
            <w:shd w:val="clear" w:color="auto" w:fill="CCCCCC"/>
            <w:vAlign w:val="center"/>
          </w:tcPr>
          <w:p w14:paraId="0F394635">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4" w:type="dxa"/>
            <w:shd w:val="clear" w:color="auto" w:fill="CCCCCC"/>
            <w:vAlign w:val="center"/>
          </w:tcPr>
          <w:p w14:paraId="1E111303">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输出项</w:t>
            </w:r>
          </w:p>
        </w:tc>
        <w:tc>
          <w:tcPr>
            <w:tcW w:w="3806" w:type="dxa"/>
            <w:shd w:val="clear" w:color="auto" w:fill="CCCCCC"/>
            <w:vAlign w:val="center"/>
          </w:tcPr>
          <w:p w14:paraId="1F15CF01">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去向</w:t>
            </w:r>
          </w:p>
        </w:tc>
        <w:tc>
          <w:tcPr>
            <w:tcW w:w="1518" w:type="dxa"/>
            <w:shd w:val="clear" w:color="auto" w:fill="CCCCCC"/>
            <w:vAlign w:val="center"/>
          </w:tcPr>
          <w:p w14:paraId="383791F3">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2344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02" w:type="dxa"/>
            <w:vAlign w:val="center"/>
          </w:tcPr>
          <w:p w14:paraId="6845B2B4">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184D48E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变更记录</w:t>
            </w:r>
          </w:p>
        </w:tc>
        <w:tc>
          <w:tcPr>
            <w:tcW w:w="3806" w:type="dxa"/>
            <w:vAlign w:val="center"/>
          </w:tcPr>
          <w:p w14:paraId="01CD761B">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8" w:type="dxa"/>
            <w:vAlign w:val="center"/>
          </w:tcPr>
          <w:p w14:paraId="01DDD7FE">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2B3F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02" w:type="dxa"/>
            <w:vAlign w:val="center"/>
          </w:tcPr>
          <w:p w14:paraId="5720F933">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38D1B45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变更管理报告</w:t>
            </w:r>
          </w:p>
        </w:tc>
        <w:tc>
          <w:tcPr>
            <w:tcW w:w="3806" w:type="dxa"/>
            <w:vAlign w:val="center"/>
          </w:tcPr>
          <w:p w14:paraId="19945197">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8" w:type="dxa"/>
            <w:vAlign w:val="center"/>
          </w:tcPr>
          <w:p w14:paraId="517D064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6736676F">
      <w:pPr>
        <w:spacing w:line="360" w:lineRule="auto"/>
        <w:rPr>
          <w:rFonts w:asciiTheme="minorEastAsia" w:hAnsiTheme="minorEastAsia" w:eastAsiaTheme="minorEastAsia"/>
          <w:szCs w:val="21"/>
          <w:lang w:eastAsia="en-US" w:bidi="en-US"/>
        </w:rPr>
      </w:pPr>
    </w:p>
    <w:p w14:paraId="57768A14">
      <w:pPr>
        <w:pStyle w:val="2"/>
        <w:numPr>
          <w:ilvl w:val="0"/>
          <w:numId w:val="2"/>
        </w:numPr>
        <w:spacing w:line="360" w:lineRule="auto"/>
        <w:rPr>
          <w:rFonts w:asciiTheme="minorEastAsia" w:hAnsiTheme="minorEastAsia" w:eastAsiaTheme="minorEastAsia"/>
          <w:sz w:val="21"/>
          <w:szCs w:val="21"/>
          <w:lang w:bidi="en-US"/>
        </w:rPr>
      </w:pPr>
      <w:bookmarkStart w:id="7" w:name="_Toc28710"/>
      <w:r>
        <w:rPr>
          <w:rFonts w:hint="eastAsia" w:asciiTheme="minorEastAsia" w:hAnsiTheme="minorEastAsia" w:eastAsiaTheme="minorEastAsia"/>
          <w:sz w:val="21"/>
          <w:szCs w:val="21"/>
          <w:lang w:bidi="en-US"/>
        </w:rPr>
        <w:t>流程描述</w:t>
      </w:r>
      <w:bookmarkEnd w:id="7"/>
    </w:p>
    <w:p w14:paraId="75FD3F51">
      <w:pPr>
        <w:pStyle w:val="3"/>
        <w:numPr>
          <w:ilvl w:val="1"/>
          <w:numId w:val="2"/>
        </w:numPr>
        <w:spacing w:line="360" w:lineRule="auto"/>
        <w:rPr>
          <w:rFonts w:asciiTheme="minorEastAsia" w:hAnsiTheme="minorEastAsia" w:eastAsiaTheme="minorEastAsia"/>
          <w:sz w:val="21"/>
          <w:szCs w:val="21"/>
          <w:lang w:eastAsia="zh-CN"/>
        </w:rPr>
      </w:pPr>
      <w:bookmarkStart w:id="8" w:name="_Toc23404"/>
      <w:r>
        <w:rPr>
          <w:rFonts w:hint="eastAsia" w:asciiTheme="minorEastAsia" w:hAnsiTheme="minorEastAsia" w:eastAsiaTheme="minorEastAsia"/>
          <w:sz w:val="21"/>
          <w:szCs w:val="21"/>
          <w:lang w:eastAsia="zh-CN"/>
        </w:rPr>
        <w:t>管理定义</w:t>
      </w:r>
      <w:bookmarkEnd w:id="8"/>
    </w:p>
    <w:p w14:paraId="0D596ADE">
      <w:pPr>
        <w:pStyle w:val="4"/>
        <w:numPr>
          <w:ilvl w:val="2"/>
          <w:numId w:val="2"/>
        </w:numPr>
        <w:spacing w:line="360" w:lineRule="auto"/>
        <w:rPr>
          <w:rFonts w:asciiTheme="minorEastAsia" w:hAnsiTheme="minorEastAsia" w:eastAsiaTheme="minorEastAsia"/>
          <w:sz w:val="21"/>
          <w:szCs w:val="21"/>
          <w:lang w:bidi="en-US"/>
        </w:rPr>
      </w:pPr>
      <w:bookmarkStart w:id="9" w:name="_Toc13551"/>
      <w:r>
        <w:rPr>
          <w:rFonts w:hint="eastAsia" w:asciiTheme="minorEastAsia" w:hAnsiTheme="minorEastAsia" w:eastAsiaTheme="minorEastAsia"/>
          <w:sz w:val="21"/>
          <w:szCs w:val="21"/>
          <w:lang w:bidi="en-US"/>
        </w:rPr>
        <w:t>变更分级</w:t>
      </w:r>
      <w:bookmarkEnd w:id="9"/>
    </w:p>
    <w:p w14:paraId="4036939F">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变更依据不同的影响程度，可进行如下分级：</w:t>
      </w:r>
    </w:p>
    <w:tbl>
      <w:tblPr>
        <w:tblStyle w:val="24"/>
        <w:tblW w:w="917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169"/>
        <w:gridCol w:w="7006"/>
      </w:tblGrid>
      <w:tr w14:paraId="61C17E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4" w:hRule="atLeast"/>
          <w:tblHeader/>
          <w:jc w:val="center"/>
        </w:trPr>
        <w:tc>
          <w:tcPr>
            <w:tcW w:w="2169" w:type="dxa"/>
            <w:shd w:val="pct10" w:color="auto" w:fill="auto"/>
            <w:vAlign w:val="center"/>
          </w:tcPr>
          <w:p w14:paraId="45E46804">
            <w:pPr>
              <w:spacing w:line="360" w:lineRule="auto"/>
              <w:jc w:val="center"/>
              <w:rPr>
                <w:rFonts w:asciiTheme="minorEastAsia" w:hAnsiTheme="minorEastAsia" w:eastAsiaTheme="minorEastAsia"/>
                <w:color w:val="000000"/>
                <w:szCs w:val="21"/>
              </w:rPr>
            </w:pPr>
            <w:bookmarkStart w:id="10" w:name="OLE_LINK4"/>
            <w:r>
              <w:rPr>
                <w:rFonts w:hint="eastAsia" w:asciiTheme="minorEastAsia" w:hAnsiTheme="minorEastAsia" w:eastAsiaTheme="minorEastAsia"/>
                <w:b/>
                <w:bCs/>
                <w:color w:val="000000"/>
                <w:szCs w:val="21"/>
              </w:rPr>
              <w:t>变更分级</w:t>
            </w:r>
          </w:p>
        </w:tc>
        <w:tc>
          <w:tcPr>
            <w:tcW w:w="7006" w:type="dxa"/>
            <w:shd w:val="pct10" w:color="auto" w:fill="auto"/>
            <w:tcMar>
              <w:top w:w="19" w:type="dxa"/>
              <w:left w:w="108" w:type="dxa"/>
              <w:bottom w:w="0" w:type="dxa"/>
              <w:right w:w="108" w:type="dxa"/>
            </w:tcMar>
            <w:vAlign w:val="center"/>
          </w:tcPr>
          <w:p w14:paraId="299DE1E7">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
                <w:bCs/>
                <w:color w:val="000000"/>
                <w:szCs w:val="21"/>
              </w:rPr>
              <w:t>说明</w:t>
            </w:r>
          </w:p>
        </w:tc>
      </w:tr>
      <w:tr w14:paraId="7A5FED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9" w:hRule="atLeast"/>
          <w:jc w:val="center"/>
        </w:trPr>
        <w:tc>
          <w:tcPr>
            <w:tcW w:w="2169" w:type="dxa"/>
            <w:shd w:val="clear" w:color="auto" w:fill="auto"/>
            <w:tcMar>
              <w:top w:w="19" w:type="dxa"/>
              <w:left w:w="108" w:type="dxa"/>
              <w:bottom w:w="0" w:type="dxa"/>
              <w:right w:w="108" w:type="dxa"/>
            </w:tcMar>
            <w:vAlign w:val="center"/>
          </w:tcPr>
          <w:p w14:paraId="2C309085">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紧急变更</w:t>
            </w:r>
          </w:p>
        </w:tc>
        <w:tc>
          <w:tcPr>
            <w:tcW w:w="7006" w:type="dxa"/>
            <w:shd w:val="clear" w:color="auto" w:fill="auto"/>
            <w:tcMar>
              <w:top w:w="19" w:type="dxa"/>
              <w:left w:w="108" w:type="dxa"/>
              <w:bottom w:w="0" w:type="dxa"/>
              <w:right w:w="108" w:type="dxa"/>
            </w:tcMar>
            <w:vAlign w:val="center"/>
          </w:tcPr>
          <w:p w14:paraId="12D2C1E9">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指计划外的变更，或不满足变更前导时间的变更，包括：</w:t>
            </w:r>
            <w:r>
              <w:rPr>
                <w:rFonts w:hint="eastAsia" w:asciiTheme="minorEastAsia" w:hAnsiTheme="minorEastAsia" w:eastAsiaTheme="minorEastAsia"/>
                <w:color w:val="000000"/>
                <w:szCs w:val="21"/>
              </w:rPr>
              <w:br w:type="textWrapping"/>
            </w:r>
            <w:r>
              <w:rPr>
                <w:rFonts w:hint="eastAsia" w:asciiTheme="minorEastAsia" w:hAnsiTheme="minorEastAsia" w:eastAsiaTheme="minorEastAsia"/>
                <w:color w:val="000000"/>
                <w:szCs w:val="21"/>
              </w:rPr>
              <w:t>1. 为迅速恢复服务或降低服务当前受到的异常影响，需要紧急实施的变更。</w:t>
            </w:r>
            <w:r>
              <w:rPr>
                <w:rFonts w:hint="eastAsia" w:asciiTheme="minorEastAsia" w:hAnsiTheme="minorEastAsia" w:eastAsiaTheme="minorEastAsia"/>
                <w:color w:val="000000"/>
                <w:szCs w:val="21"/>
              </w:rPr>
              <w:br w:type="textWrapping"/>
            </w:r>
            <w:r>
              <w:rPr>
                <w:rFonts w:hint="eastAsia" w:asciiTheme="minorEastAsia" w:hAnsiTheme="minorEastAsia" w:eastAsiaTheme="minorEastAsia"/>
                <w:color w:val="000000"/>
                <w:szCs w:val="21"/>
              </w:rPr>
              <w:t>2. 其它特殊原因导致时间紧迫的变更，如：紧急的业务需求。</w:t>
            </w:r>
          </w:p>
        </w:tc>
      </w:tr>
      <w:tr w14:paraId="233268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169" w:type="dxa"/>
            <w:shd w:val="clear" w:color="auto" w:fill="auto"/>
            <w:tcMar>
              <w:top w:w="19" w:type="dxa"/>
              <w:left w:w="108" w:type="dxa"/>
              <w:bottom w:w="0" w:type="dxa"/>
              <w:right w:w="108" w:type="dxa"/>
            </w:tcMar>
            <w:vAlign w:val="center"/>
          </w:tcPr>
          <w:p w14:paraId="01750F12">
            <w:pPr>
              <w:spacing w:line="360" w:lineRule="auto"/>
              <w:jc w:val="center"/>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重大变更</w:t>
            </w:r>
          </w:p>
        </w:tc>
        <w:tc>
          <w:tcPr>
            <w:tcW w:w="7006" w:type="dxa"/>
            <w:shd w:val="clear" w:color="auto" w:fill="auto"/>
            <w:tcMar>
              <w:top w:w="19" w:type="dxa"/>
              <w:left w:w="108" w:type="dxa"/>
              <w:bottom w:w="0" w:type="dxa"/>
              <w:right w:w="108" w:type="dxa"/>
            </w:tcMar>
            <w:vAlign w:val="center"/>
          </w:tcPr>
          <w:p w14:paraId="20F6E18D">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指变更影响和风险都较大，变更实施过程或变更失败会对关键服务带来较大影响并且导致服务中断的变更。</w:t>
            </w:r>
          </w:p>
        </w:tc>
      </w:tr>
      <w:tr w14:paraId="6054D7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169" w:type="dxa"/>
            <w:shd w:val="clear" w:color="auto" w:fill="auto"/>
            <w:tcMar>
              <w:top w:w="19" w:type="dxa"/>
              <w:left w:w="108" w:type="dxa"/>
              <w:bottom w:w="0" w:type="dxa"/>
              <w:right w:w="108" w:type="dxa"/>
            </w:tcMar>
            <w:vAlign w:val="center"/>
          </w:tcPr>
          <w:p w14:paraId="5BEAEF46">
            <w:pPr>
              <w:spacing w:line="360" w:lineRule="auto"/>
              <w:jc w:val="center"/>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一般变更</w:t>
            </w:r>
          </w:p>
        </w:tc>
        <w:tc>
          <w:tcPr>
            <w:tcW w:w="7006" w:type="dxa"/>
            <w:shd w:val="clear" w:color="auto" w:fill="auto"/>
            <w:tcMar>
              <w:top w:w="19" w:type="dxa"/>
              <w:left w:w="108" w:type="dxa"/>
              <w:bottom w:w="0" w:type="dxa"/>
              <w:right w:w="108" w:type="dxa"/>
            </w:tcMar>
            <w:vAlign w:val="center"/>
          </w:tcPr>
          <w:p w14:paraId="3A0F693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指变更影响范围较小，实施风险较低、实施过程较简单，不影响系统可用性和连续性的变更。</w:t>
            </w:r>
          </w:p>
        </w:tc>
      </w:tr>
      <w:tr w14:paraId="511757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70" w:hRule="atLeast"/>
          <w:jc w:val="center"/>
        </w:trPr>
        <w:tc>
          <w:tcPr>
            <w:tcW w:w="2169" w:type="dxa"/>
            <w:shd w:val="clear" w:color="auto" w:fill="auto"/>
            <w:vAlign w:val="center"/>
          </w:tcPr>
          <w:p w14:paraId="3642BAC2">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标准变更</w:t>
            </w:r>
          </w:p>
        </w:tc>
        <w:tc>
          <w:tcPr>
            <w:tcW w:w="7006" w:type="dxa"/>
            <w:shd w:val="clear" w:color="auto" w:fill="auto"/>
            <w:tcMar>
              <w:top w:w="19" w:type="dxa"/>
              <w:left w:w="108" w:type="dxa"/>
              <w:bottom w:w="0" w:type="dxa"/>
              <w:right w:w="108" w:type="dxa"/>
            </w:tcMar>
            <w:vAlign w:val="center"/>
          </w:tcPr>
          <w:p w14:paraId="7A136F31">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标准变更是预授权的变更，通常指变更的风险已知并可控、操作步骤明确、变更不会对服务产生中断风险的变更。</w:t>
            </w:r>
          </w:p>
        </w:tc>
      </w:tr>
      <w:bookmarkEnd w:id="10"/>
    </w:tbl>
    <w:p w14:paraId="020A08BE">
      <w:pPr>
        <w:pStyle w:val="4"/>
        <w:numPr>
          <w:ilvl w:val="2"/>
          <w:numId w:val="2"/>
        </w:numPr>
        <w:spacing w:line="360" w:lineRule="auto"/>
        <w:rPr>
          <w:rFonts w:asciiTheme="minorEastAsia" w:hAnsiTheme="minorEastAsia" w:eastAsiaTheme="minorEastAsia"/>
          <w:sz w:val="21"/>
          <w:szCs w:val="21"/>
          <w:lang w:bidi="en-US"/>
        </w:rPr>
      </w:pPr>
      <w:bookmarkStart w:id="11" w:name="_Toc4501"/>
      <w:r>
        <w:rPr>
          <w:rFonts w:hint="eastAsia" w:asciiTheme="minorEastAsia" w:hAnsiTheme="minorEastAsia" w:eastAsiaTheme="minorEastAsia"/>
          <w:sz w:val="21"/>
          <w:szCs w:val="21"/>
          <w:lang w:bidi="en-US"/>
        </w:rPr>
        <w:t>变更及系统分类</w:t>
      </w:r>
      <w:bookmarkEnd w:id="11"/>
    </w:p>
    <w:p w14:paraId="173047DB">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根据变更系统的分类及变更修改的类型，确定执行何种变更流程。</w:t>
      </w:r>
    </w:p>
    <w:tbl>
      <w:tblPr>
        <w:tblStyle w:val="24"/>
        <w:tblW w:w="7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1"/>
        <w:gridCol w:w="1742"/>
        <w:gridCol w:w="1743"/>
        <w:gridCol w:w="1744"/>
      </w:tblGrid>
      <w:tr w14:paraId="59E59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2258FA5C">
            <w:pPr>
              <w:spacing w:line="360" w:lineRule="auto"/>
              <w:jc w:val="center"/>
              <w:rPr>
                <w:rFonts w:ascii="仿宋_GB2312" w:eastAsia="仿宋_GB2312"/>
                <w:sz w:val="24"/>
              </w:rPr>
            </w:pPr>
          </w:p>
        </w:tc>
        <w:tc>
          <w:tcPr>
            <w:tcW w:w="1742" w:type="dxa"/>
            <w:tcBorders>
              <w:top w:val="single" w:color="000000" w:sz="4" w:space="0"/>
              <w:left w:val="single" w:color="000000" w:sz="4" w:space="0"/>
              <w:bottom w:val="single" w:color="000000" w:sz="4" w:space="0"/>
              <w:right w:val="single" w:color="000000" w:sz="4" w:space="0"/>
            </w:tcBorders>
            <w:vAlign w:val="center"/>
          </w:tcPr>
          <w:p w14:paraId="51ECF7CE">
            <w:pPr>
              <w:jc w:val="center"/>
              <w:rPr>
                <w:rFonts w:asciiTheme="majorEastAsia" w:hAnsiTheme="majorEastAsia" w:eastAsiaTheme="majorEastAsia"/>
                <w:b/>
                <w:sz w:val="24"/>
              </w:rPr>
            </w:pPr>
            <w:r>
              <w:rPr>
                <w:rFonts w:hint="eastAsia" w:asciiTheme="majorEastAsia" w:hAnsiTheme="majorEastAsia" w:eastAsiaTheme="majorEastAsia"/>
                <w:b/>
                <w:sz w:val="24"/>
              </w:rPr>
              <w:t>核心系统</w:t>
            </w:r>
          </w:p>
        </w:tc>
        <w:tc>
          <w:tcPr>
            <w:tcW w:w="1743" w:type="dxa"/>
            <w:tcBorders>
              <w:top w:val="single" w:color="000000" w:sz="4" w:space="0"/>
              <w:left w:val="single" w:color="000000" w:sz="4" w:space="0"/>
              <w:bottom w:val="single" w:color="000000" w:sz="4" w:space="0"/>
              <w:right w:val="single" w:color="000000" w:sz="4" w:space="0"/>
            </w:tcBorders>
            <w:vAlign w:val="center"/>
          </w:tcPr>
          <w:p w14:paraId="26C4C3DE">
            <w:pPr>
              <w:jc w:val="center"/>
              <w:rPr>
                <w:rFonts w:asciiTheme="majorEastAsia" w:hAnsiTheme="majorEastAsia" w:eastAsiaTheme="majorEastAsia"/>
                <w:b/>
                <w:sz w:val="24"/>
              </w:rPr>
            </w:pPr>
            <w:r>
              <w:rPr>
                <w:rFonts w:hint="eastAsia" w:asciiTheme="majorEastAsia" w:hAnsiTheme="majorEastAsia" w:eastAsiaTheme="majorEastAsia"/>
                <w:b/>
                <w:sz w:val="24"/>
              </w:rPr>
              <w:t>重要系统</w:t>
            </w:r>
          </w:p>
        </w:tc>
        <w:tc>
          <w:tcPr>
            <w:tcW w:w="1744" w:type="dxa"/>
            <w:tcBorders>
              <w:top w:val="single" w:color="000000" w:sz="4" w:space="0"/>
              <w:left w:val="single" w:color="000000" w:sz="4" w:space="0"/>
              <w:bottom w:val="single" w:color="000000" w:sz="4" w:space="0"/>
              <w:right w:val="single" w:color="000000" w:sz="4" w:space="0"/>
            </w:tcBorders>
            <w:vAlign w:val="center"/>
          </w:tcPr>
          <w:p w14:paraId="22182FA3">
            <w:pPr>
              <w:jc w:val="center"/>
              <w:rPr>
                <w:rFonts w:asciiTheme="majorEastAsia" w:hAnsiTheme="majorEastAsia" w:eastAsiaTheme="majorEastAsia"/>
                <w:b/>
                <w:sz w:val="24"/>
              </w:rPr>
            </w:pPr>
            <w:r>
              <w:rPr>
                <w:rFonts w:hint="eastAsia" w:asciiTheme="majorEastAsia" w:hAnsiTheme="majorEastAsia" w:eastAsiaTheme="majorEastAsia"/>
                <w:b/>
                <w:sz w:val="24"/>
              </w:rPr>
              <w:t>一般系统</w:t>
            </w:r>
          </w:p>
        </w:tc>
      </w:tr>
      <w:tr w14:paraId="7DF22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560B6D42">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应急变更</w:t>
            </w:r>
          </w:p>
        </w:tc>
        <w:tc>
          <w:tcPr>
            <w:tcW w:w="1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EFD89">
            <w:pPr>
              <w:jc w:val="center"/>
              <w:rPr>
                <w:rFonts w:asciiTheme="majorEastAsia" w:hAnsiTheme="majorEastAsia" w:eastAsiaTheme="majorEastAsia"/>
                <w:szCs w:val="21"/>
              </w:rPr>
            </w:pPr>
            <w:r>
              <w:rPr>
                <w:rFonts w:hint="eastAsia" w:asciiTheme="majorEastAsia" w:hAnsiTheme="majorEastAsia" w:eastAsiaTheme="majorEastAsia"/>
                <w:szCs w:val="21"/>
              </w:rPr>
              <w:t>紧急变更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A5A9F">
            <w:pPr>
              <w:jc w:val="center"/>
              <w:rPr>
                <w:rFonts w:asciiTheme="majorEastAsia" w:hAnsiTheme="majorEastAsia" w:eastAsiaTheme="majorEastAsia"/>
                <w:szCs w:val="21"/>
              </w:rPr>
            </w:pPr>
            <w:r>
              <w:rPr>
                <w:rFonts w:hint="eastAsia" w:asciiTheme="majorEastAsia" w:hAnsiTheme="majorEastAsia" w:eastAsiaTheme="majorEastAsia"/>
                <w:szCs w:val="21"/>
              </w:rPr>
              <w:t>紧急变更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482F5FA2">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r>
      <w:tr w14:paraId="2A16C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1CA4FAEA">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新产品新功能上线或大版本升级变更</w:t>
            </w:r>
          </w:p>
        </w:tc>
        <w:tc>
          <w:tcPr>
            <w:tcW w:w="1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C2A37">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C592A">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6A0564CD">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r>
      <w:tr w14:paraId="03F63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451069AE">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程序变更</w:t>
            </w:r>
          </w:p>
        </w:tc>
        <w:tc>
          <w:tcPr>
            <w:tcW w:w="1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6C0C7">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D9A970">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1B956BFD">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r>
      <w:tr w14:paraId="41257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50C47FEA">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核心配置参数变更</w:t>
            </w:r>
          </w:p>
        </w:tc>
        <w:tc>
          <w:tcPr>
            <w:tcW w:w="1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E6B7D">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C09B4">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2F80664B">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r>
      <w:tr w14:paraId="5006A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3B6A5E04">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一般配置参数变更</w:t>
            </w:r>
          </w:p>
        </w:tc>
        <w:tc>
          <w:tcPr>
            <w:tcW w:w="1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55DB1">
            <w:pPr>
              <w:jc w:val="center"/>
              <w:rPr>
                <w:rFonts w:asciiTheme="majorEastAsia" w:hAnsiTheme="majorEastAsia" w:eastAsiaTheme="majorEastAsia"/>
                <w:szCs w:val="21"/>
              </w:rPr>
            </w:pPr>
            <w:r>
              <w:rPr>
                <w:rFonts w:hint="eastAsia" w:asciiTheme="majorEastAsia" w:hAnsiTheme="majorEastAsia" w:eastAsiaTheme="majorEastAsia"/>
                <w:szCs w:val="21"/>
              </w:rPr>
              <w:t>重大变更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5CF5A">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3B66C08C">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r>
      <w:tr w14:paraId="6AB64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273FEF72">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管理功能变更</w:t>
            </w:r>
          </w:p>
        </w:tc>
        <w:tc>
          <w:tcPr>
            <w:tcW w:w="1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AEB09">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c>
          <w:tcPr>
            <w:tcW w:w="1743" w:type="dxa"/>
            <w:tcBorders>
              <w:top w:val="single" w:color="000000" w:sz="4" w:space="0"/>
              <w:left w:val="single" w:color="000000" w:sz="4" w:space="0"/>
              <w:bottom w:val="single" w:color="000000" w:sz="4" w:space="0"/>
              <w:right w:val="single" w:color="000000" w:sz="4" w:space="0"/>
            </w:tcBorders>
            <w:vAlign w:val="center"/>
          </w:tcPr>
          <w:p w14:paraId="760656E8">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2C33AD32">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r>
      <w:tr w14:paraId="7FB3B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2511" w:type="dxa"/>
            <w:tcBorders>
              <w:top w:val="single" w:color="000000" w:sz="4" w:space="0"/>
              <w:left w:val="single" w:color="000000" w:sz="4" w:space="0"/>
              <w:bottom w:val="single" w:color="000000" w:sz="4" w:space="0"/>
              <w:right w:val="single" w:color="000000" w:sz="4" w:space="0"/>
            </w:tcBorders>
            <w:vAlign w:val="center"/>
          </w:tcPr>
          <w:p w14:paraId="258B733F">
            <w:pPr>
              <w:spacing w:line="360" w:lineRule="auto"/>
              <w:jc w:val="center"/>
              <w:rPr>
                <w:rFonts w:asciiTheme="majorEastAsia" w:hAnsiTheme="majorEastAsia" w:eastAsiaTheme="majorEastAsia"/>
                <w:szCs w:val="21"/>
              </w:rPr>
            </w:pPr>
            <w:r>
              <w:rPr>
                <w:rFonts w:hint="eastAsia" w:asciiTheme="majorEastAsia" w:hAnsiTheme="majorEastAsia" w:eastAsiaTheme="majorEastAsia"/>
                <w:szCs w:val="21"/>
              </w:rPr>
              <w:t>用户数据变更</w:t>
            </w:r>
          </w:p>
        </w:tc>
        <w:tc>
          <w:tcPr>
            <w:tcW w:w="1742" w:type="dxa"/>
            <w:tcBorders>
              <w:top w:val="single" w:color="000000" w:sz="4" w:space="0"/>
              <w:left w:val="single" w:color="000000" w:sz="4" w:space="0"/>
              <w:bottom w:val="single" w:color="000000" w:sz="4" w:space="0"/>
              <w:right w:val="single" w:color="000000" w:sz="4" w:space="0"/>
            </w:tcBorders>
            <w:vAlign w:val="center"/>
          </w:tcPr>
          <w:p w14:paraId="1CC6E70A">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c>
          <w:tcPr>
            <w:tcW w:w="1743" w:type="dxa"/>
            <w:tcBorders>
              <w:top w:val="single" w:color="000000" w:sz="4" w:space="0"/>
              <w:left w:val="single" w:color="000000" w:sz="4" w:space="0"/>
              <w:bottom w:val="single" w:color="000000" w:sz="4" w:space="0"/>
              <w:right w:val="single" w:color="000000" w:sz="4" w:space="0"/>
            </w:tcBorders>
            <w:vAlign w:val="center"/>
          </w:tcPr>
          <w:p w14:paraId="71DF48ED">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c>
          <w:tcPr>
            <w:tcW w:w="1744" w:type="dxa"/>
            <w:tcBorders>
              <w:top w:val="single" w:color="000000" w:sz="4" w:space="0"/>
              <w:left w:val="single" w:color="000000" w:sz="4" w:space="0"/>
              <w:bottom w:val="single" w:color="000000" w:sz="4" w:space="0"/>
              <w:right w:val="single" w:color="000000" w:sz="4" w:space="0"/>
            </w:tcBorders>
            <w:vAlign w:val="center"/>
          </w:tcPr>
          <w:p w14:paraId="62B2782F">
            <w:pPr>
              <w:jc w:val="center"/>
              <w:rPr>
                <w:rFonts w:asciiTheme="majorEastAsia" w:hAnsiTheme="majorEastAsia" w:eastAsiaTheme="majorEastAsia"/>
                <w:szCs w:val="21"/>
              </w:rPr>
            </w:pPr>
            <w:r>
              <w:rPr>
                <w:rFonts w:hint="eastAsia" w:asciiTheme="majorEastAsia" w:hAnsiTheme="majorEastAsia" w:eastAsiaTheme="majorEastAsia"/>
                <w:szCs w:val="21"/>
              </w:rPr>
              <w:t>一般变更</w:t>
            </w:r>
          </w:p>
        </w:tc>
      </w:tr>
    </w:tbl>
    <w:p w14:paraId="0DF78750">
      <w:pPr>
        <w:spacing w:line="360" w:lineRule="auto"/>
        <w:ind w:firstLine="420" w:firstLineChars="200"/>
        <w:rPr>
          <w:rFonts w:asciiTheme="minorEastAsia" w:hAnsiTheme="minorEastAsia" w:eastAsiaTheme="minorEastAsia"/>
          <w:szCs w:val="21"/>
          <w:lang w:bidi="en-US"/>
        </w:rPr>
      </w:pPr>
    </w:p>
    <w:p w14:paraId="417A4965">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具体各系统属于核心系统、重要系统及一般系统的分类参见下表。如遇到本规则没有涵盖到的特殊变更、没有列明的系统或者根据此规则不能清晰界定变更流程，暂时按照一般变更流程执行。</w:t>
      </w:r>
    </w:p>
    <w:tbl>
      <w:tblPr>
        <w:tblStyle w:val="24"/>
        <w:tblW w:w="9120" w:type="dxa"/>
        <w:tblInd w:w="95" w:type="dxa"/>
        <w:tblLayout w:type="fixed"/>
        <w:tblCellMar>
          <w:top w:w="0" w:type="dxa"/>
          <w:left w:w="108" w:type="dxa"/>
          <w:bottom w:w="0" w:type="dxa"/>
          <w:right w:w="108" w:type="dxa"/>
        </w:tblCellMar>
      </w:tblPr>
      <w:tblGrid>
        <w:gridCol w:w="2960"/>
        <w:gridCol w:w="3007"/>
        <w:gridCol w:w="3153"/>
      </w:tblGrid>
      <w:tr w14:paraId="09CF6104">
        <w:tblPrEx>
          <w:tblCellMar>
            <w:top w:w="0" w:type="dxa"/>
            <w:left w:w="108" w:type="dxa"/>
            <w:bottom w:w="0" w:type="dxa"/>
            <w:right w:w="108" w:type="dxa"/>
          </w:tblCellMar>
        </w:tblPrEx>
        <w:trPr>
          <w:trHeight w:val="312" w:hRule="atLeast"/>
        </w:trPr>
        <w:tc>
          <w:tcPr>
            <w:tcW w:w="2960" w:type="dxa"/>
            <w:tcBorders>
              <w:top w:val="single" w:color="auto" w:sz="4" w:space="0"/>
              <w:left w:val="single" w:color="auto" w:sz="4" w:space="0"/>
              <w:bottom w:val="single" w:color="auto" w:sz="4" w:space="0"/>
              <w:right w:val="single" w:color="auto" w:sz="4" w:space="0"/>
            </w:tcBorders>
            <w:shd w:val="pct20" w:color="auto" w:fill="auto"/>
            <w:vAlign w:val="bottom"/>
          </w:tcPr>
          <w:p w14:paraId="4F1A2152">
            <w:pPr>
              <w:widowControl/>
              <w:jc w:val="center"/>
              <w:rPr>
                <w:rFonts w:ascii="宋体" w:hAnsi="宋体" w:cs="宋体"/>
                <w:b/>
                <w:bCs/>
                <w:kern w:val="0"/>
                <w:sz w:val="24"/>
              </w:rPr>
            </w:pPr>
            <w:r>
              <w:rPr>
                <w:rFonts w:hint="eastAsia" w:ascii="宋体" w:hAnsi="宋体" w:cs="宋体"/>
                <w:b/>
                <w:bCs/>
                <w:kern w:val="0"/>
                <w:sz w:val="24"/>
              </w:rPr>
              <w:t>核心系统</w:t>
            </w:r>
          </w:p>
        </w:tc>
        <w:tc>
          <w:tcPr>
            <w:tcW w:w="3007" w:type="dxa"/>
            <w:tcBorders>
              <w:top w:val="single" w:color="auto" w:sz="4" w:space="0"/>
              <w:left w:val="nil"/>
              <w:bottom w:val="single" w:color="auto" w:sz="4" w:space="0"/>
              <w:right w:val="single" w:color="auto" w:sz="4" w:space="0"/>
            </w:tcBorders>
            <w:shd w:val="pct20" w:color="auto" w:fill="auto"/>
            <w:vAlign w:val="bottom"/>
          </w:tcPr>
          <w:p w14:paraId="02979542">
            <w:pPr>
              <w:widowControl/>
              <w:jc w:val="center"/>
              <w:rPr>
                <w:rFonts w:ascii="宋体" w:hAnsi="宋体" w:cs="宋体"/>
                <w:b/>
                <w:bCs/>
                <w:kern w:val="0"/>
                <w:sz w:val="24"/>
              </w:rPr>
            </w:pPr>
            <w:r>
              <w:rPr>
                <w:rFonts w:hint="eastAsia" w:ascii="宋体" w:hAnsi="宋体" w:cs="宋体"/>
                <w:b/>
                <w:bCs/>
                <w:kern w:val="0"/>
                <w:sz w:val="24"/>
              </w:rPr>
              <w:t>重要系统</w:t>
            </w:r>
          </w:p>
        </w:tc>
        <w:tc>
          <w:tcPr>
            <w:tcW w:w="3153" w:type="dxa"/>
            <w:tcBorders>
              <w:top w:val="single" w:color="auto" w:sz="4" w:space="0"/>
              <w:left w:val="nil"/>
              <w:bottom w:val="single" w:color="auto" w:sz="4" w:space="0"/>
              <w:right w:val="single" w:color="auto" w:sz="4" w:space="0"/>
            </w:tcBorders>
            <w:shd w:val="pct20" w:color="auto" w:fill="auto"/>
            <w:vAlign w:val="bottom"/>
          </w:tcPr>
          <w:p w14:paraId="1FC448DD">
            <w:pPr>
              <w:widowControl/>
              <w:jc w:val="center"/>
              <w:rPr>
                <w:rFonts w:ascii="宋体" w:hAnsi="宋体" w:cs="宋体"/>
                <w:b/>
                <w:bCs/>
                <w:kern w:val="0"/>
                <w:sz w:val="24"/>
              </w:rPr>
            </w:pPr>
            <w:r>
              <w:rPr>
                <w:rFonts w:hint="eastAsia" w:ascii="宋体" w:hAnsi="宋体" w:cs="宋体"/>
                <w:b/>
                <w:bCs/>
                <w:kern w:val="0"/>
                <w:sz w:val="24"/>
              </w:rPr>
              <w:t>一般系统</w:t>
            </w:r>
          </w:p>
        </w:tc>
      </w:tr>
      <w:tr w14:paraId="746BDE10">
        <w:tblPrEx>
          <w:tblCellMar>
            <w:top w:w="0" w:type="dxa"/>
            <w:left w:w="108" w:type="dxa"/>
            <w:bottom w:w="0" w:type="dxa"/>
            <w:right w:w="108" w:type="dxa"/>
          </w:tblCellMar>
        </w:tblPrEx>
        <w:trPr>
          <w:trHeight w:val="4584" w:hRule="atLeast"/>
        </w:trPr>
        <w:tc>
          <w:tcPr>
            <w:tcW w:w="2960" w:type="dxa"/>
            <w:tcBorders>
              <w:top w:val="single" w:color="auto" w:sz="4" w:space="0"/>
              <w:left w:val="single" w:color="auto" w:sz="4" w:space="0"/>
              <w:bottom w:val="single" w:color="auto" w:sz="4" w:space="0"/>
              <w:right w:val="single" w:color="auto" w:sz="4" w:space="0"/>
            </w:tcBorders>
            <w:vAlign w:val="center"/>
          </w:tcPr>
          <w:p w14:paraId="5D11D325">
            <w:pPr>
              <w:spacing w:line="360" w:lineRule="auto"/>
              <w:rPr>
                <w:rFonts w:asciiTheme="majorEastAsia" w:hAnsiTheme="majorEastAsia" w:eastAsiaTheme="majorEastAsia"/>
                <w:szCs w:val="21"/>
              </w:rPr>
            </w:pPr>
          </w:p>
        </w:tc>
        <w:tc>
          <w:tcPr>
            <w:tcW w:w="3007" w:type="dxa"/>
            <w:tcBorders>
              <w:top w:val="single" w:color="auto" w:sz="4" w:space="0"/>
              <w:left w:val="nil"/>
              <w:bottom w:val="single" w:color="auto" w:sz="4" w:space="0"/>
              <w:right w:val="single" w:color="auto" w:sz="4" w:space="0"/>
            </w:tcBorders>
            <w:vAlign w:val="center"/>
          </w:tcPr>
          <w:p w14:paraId="35EDBDBE">
            <w:pPr>
              <w:spacing w:line="360" w:lineRule="auto"/>
              <w:rPr>
                <w:rFonts w:asciiTheme="majorEastAsia" w:hAnsiTheme="majorEastAsia" w:eastAsiaTheme="majorEastAsia"/>
                <w:szCs w:val="21"/>
              </w:rPr>
            </w:pPr>
          </w:p>
        </w:tc>
        <w:tc>
          <w:tcPr>
            <w:tcW w:w="3153" w:type="dxa"/>
            <w:tcBorders>
              <w:top w:val="single" w:color="auto" w:sz="4" w:space="0"/>
              <w:left w:val="nil"/>
              <w:bottom w:val="single" w:color="auto" w:sz="4" w:space="0"/>
              <w:right w:val="single" w:color="auto" w:sz="4" w:space="0"/>
            </w:tcBorders>
            <w:vAlign w:val="center"/>
          </w:tcPr>
          <w:p w14:paraId="27F08D1D">
            <w:pPr>
              <w:spacing w:line="360" w:lineRule="auto"/>
              <w:rPr>
                <w:sz w:val="24"/>
                <w:szCs w:val="24"/>
              </w:rPr>
            </w:pPr>
          </w:p>
        </w:tc>
      </w:tr>
    </w:tbl>
    <w:p w14:paraId="5B9C6BD6">
      <w:pPr>
        <w:spacing w:line="360" w:lineRule="auto"/>
        <w:ind w:firstLine="420" w:firstLineChars="200"/>
        <w:rPr>
          <w:rFonts w:asciiTheme="minorEastAsia" w:hAnsiTheme="minorEastAsia" w:eastAsiaTheme="minorEastAsia"/>
          <w:szCs w:val="21"/>
          <w:lang w:bidi="en-US"/>
        </w:rPr>
      </w:pPr>
    </w:p>
    <w:p w14:paraId="56C0F14E">
      <w:pPr>
        <w:pStyle w:val="4"/>
        <w:numPr>
          <w:ilvl w:val="2"/>
          <w:numId w:val="2"/>
        </w:numPr>
        <w:spacing w:line="360" w:lineRule="auto"/>
        <w:rPr>
          <w:rFonts w:asciiTheme="minorEastAsia" w:hAnsiTheme="minorEastAsia" w:eastAsiaTheme="minorEastAsia"/>
          <w:sz w:val="21"/>
          <w:szCs w:val="21"/>
          <w:lang w:bidi="en-US"/>
        </w:rPr>
      </w:pPr>
      <w:bookmarkStart w:id="12" w:name="_Toc20096"/>
      <w:r>
        <w:rPr>
          <w:rFonts w:hint="eastAsia" w:asciiTheme="minorEastAsia" w:hAnsiTheme="minorEastAsia" w:eastAsiaTheme="minorEastAsia"/>
          <w:sz w:val="21"/>
          <w:szCs w:val="21"/>
          <w:lang w:bidi="en-US"/>
        </w:rPr>
        <w:t>变更审批原则</w:t>
      </w:r>
      <w:bookmarkEnd w:id="12"/>
    </w:p>
    <w:p w14:paraId="7AF7F920">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不同分级的变更对应着不同的审批路径，具体如下。</w:t>
      </w:r>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8"/>
        <w:gridCol w:w="1119"/>
        <w:gridCol w:w="1258"/>
        <w:gridCol w:w="1119"/>
        <w:gridCol w:w="1119"/>
        <w:gridCol w:w="2887"/>
      </w:tblGrid>
      <w:tr w14:paraId="33F0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78" w:type="dxa"/>
            <w:vMerge w:val="restart"/>
            <w:shd w:val="clear" w:color="000000" w:fill="D9D9D9"/>
            <w:vAlign w:val="center"/>
          </w:tcPr>
          <w:p w14:paraId="6F7CC2D8">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变更分级</w:t>
            </w:r>
          </w:p>
        </w:tc>
        <w:tc>
          <w:tcPr>
            <w:tcW w:w="4615" w:type="dxa"/>
            <w:gridSpan w:val="4"/>
            <w:shd w:val="clear" w:color="000000" w:fill="D9D9D9"/>
          </w:tcPr>
          <w:p w14:paraId="7D28CD30">
            <w:pPr>
              <w:widowControl/>
              <w:spacing w:line="360" w:lineRule="auto"/>
              <w:jc w:val="center"/>
              <w:rPr>
                <w:rFonts w:cs="宋体" w:asciiTheme="minorEastAsia" w:hAnsiTheme="minorEastAsia" w:eastAsiaTheme="minorEastAsia"/>
                <w:b/>
                <w:bCs/>
                <w:color w:val="000000"/>
                <w:kern w:val="0"/>
                <w:szCs w:val="21"/>
                <w:highlight w:val="green"/>
              </w:rPr>
            </w:pPr>
            <w:r>
              <w:rPr>
                <w:rFonts w:hint="eastAsia" w:cs="宋体" w:asciiTheme="minorEastAsia" w:hAnsiTheme="minorEastAsia" w:eastAsiaTheme="minorEastAsia"/>
                <w:b/>
                <w:bCs/>
                <w:color w:val="000000"/>
                <w:kern w:val="0"/>
                <w:szCs w:val="21"/>
              </w:rPr>
              <w:t>审核/审批人</w:t>
            </w:r>
          </w:p>
        </w:tc>
        <w:tc>
          <w:tcPr>
            <w:tcW w:w="2887" w:type="dxa"/>
            <w:vMerge w:val="restart"/>
            <w:shd w:val="clear" w:color="000000" w:fill="D9D9D9"/>
            <w:vAlign w:val="center"/>
          </w:tcPr>
          <w:p w14:paraId="532F2CF3">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变更需通知</w:t>
            </w:r>
          </w:p>
        </w:tc>
      </w:tr>
      <w:tr w14:paraId="61A3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78" w:type="dxa"/>
            <w:vMerge w:val="continue"/>
            <w:vAlign w:val="center"/>
          </w:tcPr>
          <w:p w14:paraId="368B1C65">
            <w:pPr>
              <w:widowControl/>
              <w:spacing w:line="360" w:lineRule="auto"/>
              <w:jc w:val="left"/>
              <w:rPr>
                <w:rFonts w:cs="宋体" w:asciiTheme="minorEastAsia" w:hAnsiTheme="minorEastAsia" w:eastAsiaTheme="minorEastAsia"/>
                <w:b/>
                <w:bCs/>
                <w:color w:val="000000"/>
                <w:kern w:val="0"/>
                <w:szCs w:val="21"/>
              </w:rPr>
            </w:pPr>
          </w:p>
        </w:tc>
        <w:tc>
          <w:tcPr>
            <w:tcW w:w="1119" w:type="dxa"/>
            <w:shd w:val="clear" w:color="000000" w:fill="D9D9D9"/>
            <w:vAlign w:val="center"/>
          </w:tcPr>
          <w:p w14:paraId="38D40E31">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w:t>
            </w:r>
          </w:p>
          <w:p w14:paraId="760F7FBB">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负责人</w:t>
            </w:r>
          </w:p>
        </w:tc>
        <w:tc>
          <w:tcPr>
            <w:tcW w:w="1258" w:type="dxa"/>
            <w:shd w:val="clear" w:color="000000" w:fill="D9D9D9"/>
          </w:tcPr>
          <w:p w14:paraId="3A8EFD5C">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变更流程经理</w:t>
            </w:r>
          </w:p>
        </w:tc>
        <w:tc>
          <w:tcPr>
            <w:tcW w:w="1119" w:type="dxa"/>
            <w:shd w:val="clear" w:color="000000" w:fill="D9D9D9"/>
            <w:vAlign w:val="center"/>
          </w:tcPr>
          <w:p w14:paraId="6DB1F499">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w:t>
            </w:r>
          </w:p>
          <w:p w14:paraId="5B83FC88">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审批人</w:t>
            </w:r>
          </w:p>
        </w:tc>
        <w:tc>
          <w:tcPr>
            <w:tcW w:w="1119" w:type="dxa"/>
            <w:shd w:val="clear" w:color="000000" w:fill="D9D9D9"/>
            <w:vAlign w:val="center"/>
          </w:tcPr>
          <w:p w14:paraId="46C52F33">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主管领导</w:t>
            </w:r>
          </w:p>
          <w:p w14:paraId="01CBC2B5">
            <w:pPr>
              <w:widowControl/>
              <w:spacing w:line="360" w:lineRule="auto"/>
              <w:jc w:val="center"/>
              <w:rPr>
                <w:rFonts w:cs="宋体" w:asciiTheme="minorEastAsia" w:hAnsiTheme="minorEastAsia" w:eastAsiaTheme="minorEastAsia"/>
                <w:b/>
                <w:bCs/>
                <w:color w:val="000000"/>
                <w:kern w:val="0"/>
                <w:szCs w:val="21"/>
                <w:highlight w:val="green"/>
              </w:rPr>
            </w:pPr>
            <w:r>
              <w:rPr>
                <w:rFonts w:hint="eastAsia" w:cs="宋体" w:asciiTheme="minorEastAsia" w:hAnsiTheme="minorEastAsia" w:eastAsiaTheme="minorEastAsia"/>
                <w:b/>
                <w:bCs/>
                <w:color w:val="000000"/>
                <w:kern w:val="0"/>
                <w:szCs w:val="21"/>
              </w:rPr>
              <w:t>行政审批</w:t>
            </w:r>
          </w:p>
        </w:tc>
        <w:tc>
          <w:tcPr>
            <w:tcW w:w="2887" w:type="dxa"/>
            <w:vMerge w:val="continue"/>
            <w:shd w:val="clear" w:color="000000" w:fill="D9D9D9"/>
          </w:tcPr>
          <w:p w14:paraId="5D803796">
            <w:pPr>
              <w:widowControl/>
              <w:spacing w:line="360" w:lineRule="auto"/>
              <w:jc w:val="center"/>
              <w:rPr>
                <w:rFonts w:cs="宋体" w:asciiTheme="minorEastAsia" w:hAnsiTheme="minorEastAsia" w:eastAsiaTheme="minorEastAsia"/>
                <w:b/>
                <w:bCs/>
                <w:color w:val="000000"/>
                <w:kern w:val="0"/>
                <w:szCs w:val="21"/>
              </w:rPr>
            </w:pPr>
          </w:p>
        </w:tc>
      </w:tr>
      <w:tr w14:paraId="713C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78" w:type="dxa"/>
            <w:shd w:val="clear" w:color="auto" w:fill="auto"/>
            <w:vAlign w:val="center"/>
          </w:tcPr>
          <w:p w14:paraId="0877940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重大变更</w:t>
            </w:r>
          </w:p>
        </w:tc>
        <w:tc>
          <w:tcPr>
            <w:tcW w:w="1119" w:type="dxa"/>
            <w:shd w:val="clear" w:color="auto" w:fill="auto"/>
            <w:vAlign w:val="center"/>
          </w:tcPr>
          <w:p w14:paraId="4F062505">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审核</w:t>
            </w:r>
          </w:p>
        </w:tc>
        <w:tc>
          <w:tcPr>
            <w:tcW w:w="1258" w:type="dxa"/>
            <w:vAlign w:val="center"/>
          </w:tcPr>
          <w:p w14:paraId="2FC39E8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审核</w:t>
            </w:r>
          </w:p>
        </w:tc>
        <w:tc>
          <w:tcPr>
            <w:tcW w:w="1119" w:type="dxa"/>
            <w:shd w:val="clear" w:color="auto" w:fill="auto"/>
            <w:vAlign w:val="center"/>
          </w:tcPr>
          <w:p w14:paraId="3E37AD05">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审批</w:t>
            </w:r>
          </w:p>
        </w:tc>
        <w:tc>
          <w:tcPr>
            <w:tcW w:w="1119" w:type="dxa"/>
            <w:shd w:val="clear" w:color="auto" w:fill="auto"/>
            <w:vAlign w:val="center"/>
          </w:tcPr>
          <w:p w14:paraId="2EEFBECA">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审批</w:t>
            </w:r>
          </w:p>
        </w:tc>
        <w:tc>
          <w:tcPr>
            <w:tcW w:w="2887" w:type="dxa"/>
          </w:tcPr>
          <w:p w14:paraId="0C8AA333">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公司领导、部门领导、用户、供应商</w:t>
            </w:r>
          </w:p>
        </w:tc>
      </w:tr>
      <w:tr w14:paraId="4038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78" w:type="dxa"/>
            <w:shd w:val="clear" w:color="auto" w:fill="auto"/>
            <w:vAlign w:val="center"/>
          </w:tcPr>
          <w:p w14:paraId="19AD567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一般变更</w:t>
            </w:r>
          </w:p>
        </w:tc>
        <w:tc>
          <w:tcPr>
            <w:tcW w:w="1119" w:type="dxa"/>
            <w:shd w:val="clear" w:color="auto" w:fill="auto"/>
            <w:vAlign w:val="center"/>
          </w:tcPr>
          <w:p w14:paraId="201A484B">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审核</w:t>
            </w:r>
          </w:p>
        </w:tc>
        <w:tc>
          <w:tcPr>
            <w:tcW w:w="1258" w:type="dxa"/>
          </w:tcPr>
          <w:p w14:paraId="09B48B05">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p>
        </w:tc>
        <w:tc>
          <w:tcPr>
            <w:tcW w:w="1119" w:type="dxa"/>
            <w:shd w:val="clear" w:color="auto" w:fill="auto"/>
            <w:vAlign w:val="center"/>
          </w:tcPr>
          <w:p w14:paraId="32D96EC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审批</w:t>
            </w:r>
          </w:p>
        </w:tc>
        <w:tc>
          <w:tcPr>
            <w:tcW w:w="1119" w:type="dxa"/>
            <w:shd w:val="clear" w:color="auto" w:fill="auto"/>
            <w:vAlign w:val="center"/>
          </w:tcPr>
          <w:p w14:paraId="16FC794A">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p>
        </w:tc>
        <w:tc>
          <w:tcPr>
            <w:tcW w:w="2887" w:type="dxa"/>
          </w:tcPr>
          <w:p w14:paraId="2859AC4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部门领导、用户、供应商</w:t>
            </w:r>
          </w:p>
        </w:tc>
      </w:tr>
      <w:tr w14:paraId="08FC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78" w:type="dxa"/>
            <w:shd w:val="clear" w:color="auto" w:fill="auto"/>
            <w:vAlign w:val="center"/>
          </w:tcPr>
          <w:p w14:paraId="14B1D17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标准变更</w:t>
            </w:r>
          </w:p>
        </w:tc>
        <w:tc>
          <w:tcPr>
            <w:tcW w:w="1119" w:type="dxa"/>
          </w:tcPr>
          <w:p w14:paraId="6B4D34C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审批</w:t>
            </w:r>
          </w:p>
        </w:tc>
        <w:tc>
          <w:tcPr>
            <w:tcW w:w="1258" w:type="dxa"/>
          </w:tcPr>
          <w:p w14:paraId="4C9E9C39">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p>
        </w:tc>
        <w:tc>
          <w:tcPr>
            <w:tcW w:w="1119" w:type="dxa"/>
          </w:tcPr>
          <w:p w14:paraId="5B569ED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p>
        </w:tc>
        <w:tc>
          <w:tcPr>
            <w:tcW w:w="1119" w:type="dxa"/>
          </w:tcPr>
          <w:p w14:paraId="5D554DE6">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p>
        </w:tc>
        <w:tc>
          <w:tcPr>
            <w:tcW w:w="2887" w:type="dxa"/>
          </w:tcPr>
          <w:p w14:paraId="0DE7D20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N/A</w:t>
            </w:r>
          </w:p>
        </w:tc>
      </w:tr>
      <w:tr w14:paraId="52B7F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78" w:type="dxa"/>
            <w:shd w:val="clear" w:color="auto" w:fill="auto"/>
            <w:vAlign w:val="center"/>
          </w:tcPr>
          <w:p w14:paraId="545E6746">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紧急变更</w:t>
            </w:r>
          </w:p>
        </w:tc>
        <w:tc>
          <w:tcPr>
            <w:tcW w:w="1119" w:type="dxa"/>
            <w:vAlign w:val="center"/>
          </w:tcPr>
          <w:p w14:paraId="14C341E6">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审核</w:t>
            </w:r>
          </w:p>
        </w:tc>
        <w:tc>
          <w:tcPr>
            <w:tcW w:w="1258" w:type="dxa"/>
            <w:shd w:val="clear" w:color="auto" w:fill="auto"/>
            <w:vAlign w:val="center"/>
          </w:tcPr>
          <w:p w14:paraId="3B543758">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r>
              <w:rPr>
                <w:rFonts w:cs="宋体" w:asciiTheme="minorEastAsia" w:hAnsiTheme="minorEastAsia" w:eastAsiaTheme="minorEastAsia"/>
                <w:color w:val="000000"/>
                <w:kern w:val="0"/>
                <w:szCs w:val="21"/>
              </w:rPr>
              <w:t xml:space="preserve"> </w:t>
            </w:r>
          </w:p>
        </w:tc>
        <w:tc>
          <w:tcPr>
            <w:tcW w:w="1119" w:type="dxa"/>
            <w:shd w:val="clear" w:color="auto" w:fill="auto"/>
            <w:vAlign w:val="center"/>
          </w:tcPr>
          <w:p w14:paraId="4E6B1AE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审批</w:t>
            </w:r>
          </w:p>
        </w:tc>
        <w:tc>
          <w:tcPr>
            <w:tcW w:w="1119" w:type="dxa"/>
            <w:shd w:val="clear" w:color="auto" w:fill="auto"/>
            <w:vAlign w:val="center"/>
          </w:tcPr>
          <w:p w14:paraId="5F57444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审批或指定授权人审批</w:t>
            </w:r>
          </w:p>
        </w:tc>
        <w:tc>
          <w:tcPr>
            <w:tcW w:w="2887" w:type="dxa"/>
          </w:tcPr>
          <w:p w14:paraId="4743FBC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公司领导、部门领导、用户、供应商</w:t>
            </w:r>
          </w:p>
        </w:tc>
      </w:tr>
    </w:tbl>
    <w:p w14:paraId="23041945">
      <w:pPr>
        <w:spacing w:line="360" w:lineRule="auto"/>
        <w:rPr>
          <w:rFonts w:asciiTheme="minorEastAsia" w:hAnsiTheme="minorEastAsia" w:eastAsiaTheme="minorEastAsia"/>
          <w:szCs w:val="21"/>
          <w:lang w:bidi="en-US"/>
        </w:rPr>
      </w:pPr>
    </w:p>
    <w:p w14:paraId="25F39BFF">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变更发布审核通过后原则上需要经过CAB评审会议进行评审和审批。形成审批决议后由变更发布审批人在系统内进行提交。</w:t>
      </w:r>
    </w:p>
    <w:p w14:paraId="637EA6B2">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CAB会议评审形式可以是会议室实体会议或电话会议。</w:t>
      </w:r>
    </w:p>
    <w:p w14:paraId="3524701B">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会议时间应为每周的固定时间，定为每周二、五上午</w:t>
      </w:r>
      <w:r>
        <w:rPr>
          <w:rFonts w:asciiTheme="minorEastAsia" w:hAnsiTheme="minorEastAsia" w:eastAsiaTheme="minorEastAsia"/>
          <w:sz w:val="21"/>
          <w:szCs w:val="21"/>
          <w:lang w:eastAsia="zh-CN"/>
        </w:rPr>
        <w:t>10</w:t>
      </w:r>
      <w:r>
        <w:rPr>
          <w:rFonts w:hint="eastAsia" w:asciiTheme="minorEastAsia" w:hAnsiTheme="minorEastAsia" w:eastAsiaTheme="minorEastAsia"/>
          <w:sz w:val="21"/>
          <w:szCs w:val="21"/>
          <w:lang w:eastAsia="zh-CN"/>
        </w:rPr>
        <w:t>：</w:t>
      </w:r>
      <w:r>
        <w:rPr>
          <w:rFonts w:asciiTheme="minorEastAsia" w:hAnsiTheme="minorEastAsia" w:eastAsiaTheme="minorEastAsia"/>
          <w:sz w:val="21"/>
          <w:szCs w:val="21"/>
          <w:lang w:eastAsia="zh-CN"/>
        </w:rPr>
        <w:t>3</w:t>
      </w:r>
      <w:r>
        <w:rPr>
          <w:rFonts w:hint="eastAsia" w:asciiTheme="minorEastAsia" w:hAnsiTheme="minorEastAsia" w:eastAsiaTheme="minorEastAsia"/>
          <w:sz w:val="21"/>
          <w:szCs w:val="21"/>
          <w:lang w:eastAsia="zh-CN"/>
        </w:rPr>
        <w:t>0-</w:t>
      </w:r>
      <w:r>
        <w:rPr>
          <w:rFonts w:asciiTheme="minorEastAsia" w:hAnsiTheme="minorEastAsia" w:eastAsiaTheme="minorEastAsia"/>
          <w:sz w:val="21"/>
          <w:szCs w:val="21"/>
          <w:lang w:eastAsia="zh-CN"/>
        </w:rPr>
        <w:t>12</w:t>
      </w:r>
      <w:r>
        <w:rPr>
          <w:rFonts w:hint="eastAsia" w:asciiTheme="minorEastAsia" w:hAnsiTheme="minorEastAsia" w:eastAsiaTheme="minorEastAsia"/>
          <w:sz w:val="21"/>
          <w:szCs w:val="21"/>
          <w:lang w:eastAsia="zh-CN"/>
        </w:rPr>
        <w:t>：00，可根据参会人员的时间情况予以适当调整。</w:t>
      </w:r>
    </w:p>
    <w:p w14:paraId="47F0C9BE">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若当周无变更请求，亦无需要追溯的变更，会议可取消，但需要说明。</w:t>
      </w:r>
    </w:p>
    <w:p w14:paraId="14884A73">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若当周无重大变更请求，分管领导可缺席会议。若重要参会人员无法出席，需从部门内抽派代表进行参加并反馈会议结果。可根据讨论需要邀请CAB成员以外的其他人员，如变更实施人参与CAB会议讨论。</w:t>
      </w:r>
    </w:p>
    <w:p w14:paraId="3CC94E9B">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对于紧急变更，可以临时召开紧急变更评审会议（ECAB），形式不限，可以电话、邮件或口头决议。</w:t>
      </w:r>
    </w:p>
    <w:p w14:paraId="5E69992E">
      <w:pPr>
        <w:pStyle w:val="42"/>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CAB会议的基本议程包括：</w:t>
      </w:r>
    </w:p>
    <w:p w14:paraId="0DC4C229">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上期</w:t>
      </w:r>
      <w:r>
        <w:rPr>
          <w:rFonts w:asciiTheme="minorEastAsia" w:hAnsiTheme="minorEastAsia" w:eastAsiaTheme="minorEastAsia"/>
          <w:sz w:val="21"/>
          <w:szCs w:val="21"/>
          <w:lang w:eastAsia="zh-CN"/>
        </w:rPr>
        <w:t>CAB</w:t>
      </w:r>
      <w:r>
        <w:rPr>
          <w:rFonts w:hint="eastAsia" w:asciiTheme="minorEastAsia" w:hAnsiTheme="minorEastAsia" w:eastAsiaTheme="minorEastAsia"/>
          <w:sz w:val="21"/>
          <w:szCs w:val="21"/>
          <w:lang w:eastAsia="zh-CN"/>
        </w:rPr>
        <w:t>会议通过的变更发布的实施情况；</w:t>
      </w:r>
    </w:p>
    <w:p w14:paraId="038694A0">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失败的变更发布、未授权的变更发布、回退的变更发布的情况；</w:t>
      </w:r>
    </w:p>
    <w:p w14:paraId="5126E7B1">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新的变更请求的审核；</w:t>
      </w:r>
    </w:p>
    <w:p w14:paraId="0A56071B">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重大变更的专题讨论（若有）；</w:t>
      </w:r>
    </w:p>
    <w:p w14:paraId="5EABA4AB">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紧急变更的专题讨论（若有）；</w:t>
      </w:r>
    </w:p>
    <w:p w14:paraId="3AC2B7F3">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对变更流程修改的讨论；</w:t>
      </w:r>
    </w:p>
    <w:p w14:paraId="2619E7E1">
      <w:pPr>
        <w:pStyle w:val="42"/>
        <w:numPr>
          <w:ilvl w:val="0"/>
          <w:numId w:val="8"/>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对标准变更列表修改的讨论</w:t>
      </w:r>
    </w:p>
    <w:p w14:paraId="08F4DEC3">
      <w:pPr>
        <w:spacing w:line="360" w:lineRule="auto"/>
        <w:rPr>
          <w:rFonts w:asciiTheme="minorEastAsia" w:hAnsiTheme="minorEastAsia" w:eastAsiaTheme="minorEastAsia"/>
          <w:szCs w:val="21"/>
          <w:lang w:bidi="en-US"/>
        </w:rPr>
      </w:pPr>
    </w:p>
    <w:p w14:paraId="642107C9">
      <w:pPr>
        <w:pStyle w:val="4"/>
        <w:numPr>
          <w:ilvl w:val="2"/>
          <w:numId w:val="2"/>
        </w:numPr>
        <w:spacing w:line="360" w:lineRule="auto"/>
        <w:rPr>
          <w:rFonts w:asciiTheme="minorEastAsia" w:hAnsiTheme="minorEastAsia" w:eastAsiaTheme="minorEastAsia"/>
          <w:sz w:val="21"/>
          <w:szCs w:val="21"/>
          <w:lang w:bidi="en-US"/>
        </w:rPr>
      </w:pPr>
      <w:bookmarkStart w:id="13" w:name="_Toc13273"/>
      <w:r>
        <w:rPr>
          <w:rFonts w:hint="eastAsia" w:asciiTheme="minorEastAsia" w:hAnsiTheme="minorEastAsia" w:eastAsiaTheme="minorEastAsia"/>
          <w:sz w:val="21"/>
          <w:szCs w:val="21"/>
          <w:lang w:bidi="en-US"/>
        </w:rPr>
        <w:t>变更窗口</w:t>
      </w:r>
      <w:bookmarkEnd w:id="13"/>
    </w:p>
    <w:p w14:paraId="5F8987F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变更窗口原则用于确定实施变更的日程，设置变更窗口的主要目的是减小变更发布对业务的影响，提高业务稳定性。</w:t>
      </w:r>
    </w:p>
    <w:p w14:paraId="4DA1E964">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变更窗口的制定需要考虑下列因素：</w:t>
      </w:r>
    </w:p>
    <w:p w14:paraId="19B6F709">
      <w:pPr>
        <w:pStyle w:val="42"/>
        <w:numPr>
          <w:ilvl w:val="0"/>
          <w:numId w:val="9"/>
        </w:num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对业务的影响；</w:t>
      </w:r>
    </w:p>
    <w:p w14:paraId="24301ED3">
      <w:pPr>
        <w:pStyle w:val="42"/>
        <w:numPr>
          <w:ilvl w:val="0"/>
          <w:numId w:val="9"/>
        </w:numP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个别业务的特定需求；</w:t>
      </w:r>
    </w:p>
    <w:p w14:paraId="355942AB">
      <w:pPr>
        <w:pStyle w:val="42"/>
        <w:numPr>
          <w:ilvl w:val="0"/>
          <w:numId w:val="9"/>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变更实施和回退的时间；</w:t>
      </w:r>
    </w:p>
    <w:p w14:paraId="79AA6B74">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根据以上原则，变更发布窗口的时间规定如下所示：</w:t>
      </w:r>
    </w:p>
    <w:tbl>
      <w:tblPr>
        <w:tblStyle w:val="24"/>
        <w:tblW w:w="9280" w:type="dxa"/>
        <w:jc w:val="center"/>
        <w:tblLayout w:type="fixed"/>
        <w:tblCellMar>
          <w:top w:w="0" w:type="dxa"/>
          <w:left w:w="108" w:type="dxa"/>
          <w:bottom w:w="0" w:type="dxa"/>
          <w:right w:w="108" w:type="dxa"/>
        </w:tblCellMar>
      </w:tblPr>
      <w:tblGrid>
        <w:gridCol w:w="2691"/>
        <w:gridCol w:w="6589"/>
      </w:tblGrid>
      <w:tr w14:paraId="3D4E1BE7">
        <w:tblPrEx>
          <w:tblCellMar>
            <w:top w:w="0" w:type="dxa"/>
            <w:left w:w="108" w:type="dxa"/>
            <w:bottom w:w="0" w:type="dxa"/>
            <w:right w:w="108" w:type="dxa"/>
          </w:tblCellMar>
        </w:tblPrEx>
        <w:trPr>
          <w:trHeight w:val="330" w:hRule="atLeast"/>
          <w:jc w:val="center"/>
        </w:trPr>
        <w:tc>
          <w:tcPr>
            <w:tcW w:w="269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4531BC1B">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变更分级</w:t>
            </w:r>
          </w:p>
        </w:tc>
        <w:tc>
          <w:tcPr>
            <w:tcW w:w="6589" w:type="dxa"/>
            <w:tcBorders>
              <w:top w:val="single" w:color="auto" w:sz="4" w:space="0"/>
              <w:left w:val="nil"/>
              <w:bottom w:val="single" w:color="auto" w:sz="4" w:space="0"/>
              <w:right w:val="single" w:color="auto" w:sz="4" w:space="0"/>
            </w:tcBorders>
            <w:shd w:val="clear" w:color="auto" w:fill="D8D8D8" w:themeFill="background1" w:themeFillShade="D9"/>
            <w:noWrap/>
            <w:vAlign w:val="center"/>
          </w:tcPr>
          <w:p w14:paraId="3047F8C9">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变更发布窗口</w:t>
            </w:r>
          </w:p>
        </w:tc>
      </w:tr>
      <w:tr w14:paraId="466DBA7B">
        <w:tblPrEx>
          <w:tblCellMar>
            <w:top w:w="0" w:type="dxa"/>
            <w:left w:w="108" w:type="dxa"/>
            <w:bottom w:w="0" w:type="dxa"/>
            <w:right w:w="108" w:type="dxa"/>
          </w:tblCellMar>
        </w:tblPrEx>
        <w:trPr>
          <w:trHeight w:val="330" w:hRule="atLeast"/>
          <w:jc w:val="center"/>
        </w:trPr>
        <w:tc>
          <w:tcPr>
            <w:tcW w:w="2691" w:type="dxa"/>
            <w:tcBorders>
              <w:top w:val="nil"/>
              <w:left w:val="single" w:color="auto" w:sz="4" w:space="0"/>
              <w:bottom w:val="single" w:color="auto" w:sz="4" w:space="0"/>
              <w:right w:val="single" w:color="auto" w:sz="4" w:space="0"/>
            </w:tcBorders>
            <w:shd w:val="clear" w:color="000000" w:fill="FFFFFF"/>
            <w:noWrap/>
            <w:vAlign w:val="center"/>
          </w:tcPr>
          <w:p w14:paraId="2BCA05F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重大变更</w:t>
            </w:r>
          </w:p>
        </w:tc>
        <w:tc>
          <w:tcPr>
            <w:tcW w:w="6589" w:type="dxa"/>
            <w:tcBorders>
              <w:top w:val="nil"/>
              <w:left w:val="nil"/>
              <w:bottom w:val="single" w:color="auto" w:sz="4" w:space="0"/>
              <w:right w:val="single" w:color="auto" w:sz="4" w:space="0"/>
            </w:tcBorders>
            <w:shd w:val="clear" w:color="000000" w:fill="FFFFFF"/>
            <w:noWrap/>
            <w:vAlign w:val="center"/>
          </w:tcPr>
          <w:p w14:paraId="667EF79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每周二、周四，</w:t>
            </w:r>
            <w:r>
              <w:rPr>
                <w:rFonts w:cs="宋体" w:asciiTheme="minorEastAsia" w:hAnsiTheme="minorEastAsia" w:eastAsiaTheme="minorEastAsia"/>
                <w:color w:val="000000"/>
                <w:kern w:val="0"/>
                <w:szCs w:val="21"/>
              </w:rPr>
              <w:t>0</w:t>
            </w:r>
            <w:r>
              <w:rPr>
                <w:rFonts w:hint="eastAsia" w:cs="宋体" w:asciiTheme="minorEastAsia" w:hAnsiTheme="minorEastAsia" w:eastAsiaTheme="minorEastAsia"/>
                <w:color w:val="000000"/>
                <w:kern w:val="0"/>
                <w:szCs w:val="21"/>
              </w:rPr>
              <w:t>0：00-</w:t>
            </w:r>
            <w:r>
              <w:rPr>
                <w:rFonts w:cs="宋体" w:asciiTheme="minorEastAsia" w:hAnsiTheme="minorEastAsia" w:eastAsiaTheme="minorEastAsia"/>
                <w:color w:val="000000"/>
                <w:kern w:val="0"/>
                <w:szCs w:val="21"/>
              </w:rPr>
              <w:t xml:space="preserve"> </w:t>
            </w:r>
            <w:r>
              <w:rPr>
                <w:rFonts w:hint="eastAsia" w:cs="宋体" w:asciiTheme="minorEastAsia" w:hAnsiTheme="minorEastAsia" w:eastAsiaTheme="minorEastAsia"/>
                <w:color w:val="000000"/>
                <w:kern w:val="0"/>
                <w:szCs w:val="21"/>
              </w:rPr>
              <w:t>06：00（重保期间不做变更）</w:t>
            </w:r>
          </w:p>
        </w:tc>
      </w:tr>
      <w:tr w14:paraId="4E337245">
        <w:tblPrEx>
          <w:tblCellMar>
            <w:top w:w="0" w:type="dxa"/>
            <w:left w:w="108" w:type="dxa"/>
            <w:bottom w:w="0" w:type="dxa"/>
            <w:right w:w="108" w:type="dxa"/>
          </w:tblCellMar>
        </w:tblPrEx>
        <w:trPr>
          <w:trHeight w:val="330" w:hRule="atLeast"/>
          <w:jc w:val="center"/>
        </w:trPr>
        <w:tc>
          <w:tcPr>
            <w:tcW w:w="2691" w:type="dxa"/>
            <w:tcBorders>
              <w:top w:val="nil"/>
              <w:left w:val="single" w:color="auto" w:sz="4" w:space="0"/>
              <w:bottom w:val="single" w:color="auto" w:sz="4" w:space="0"/>
              <w:right w:val="single" w:color="auto" w:sz="4" w:space="0"/>
            </w:tcBorders>
            <w:shd w:val="clear" w:color="000000" w:fill="FFFFFF"/>
            <w:noWrap/>
            <w:vAlign w:val="center"/>
          </w:tcPr>
          <w:p w14:paraId="33082740">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一般变更</w:t>
            </w:r>
          </w:p>
        </w:tc>
        <w:tc>
          <w:tcPr>
            <w:tcW w:w="6589" w:type="dxa"/>
            <w:tcBorders>
              <w:top w:val="nil"/>
              <w:left w:val="nil"/>
              <w:bottom w:val="single" w:color="auto" w:sz="4" w:space="0"/>
              <w:right w:val="single" w:color="auto" w:sz="4" w:space="0"/>
            </w:tcBorders>
            <w:shd w:val="clear" w:color="000000" w:fill="FFFFFF"/>
            <w:noWrap/>
            <w:vAlign w:val="center"/>
          </w:tcPr>
          <w:p w14:paraId="43B28B3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每周一至周日，</w:t>
            </w:r>
            <w:r>
              <w:rPr>
                <w:rFonts w:cs="宋体" w:asciiTheme="minorEastAsia" w:hAnsiTheme="minorEastAsia" w:eastAsiaTheme="minorEastAsia"/>
                <w:color w:val="000000"/>
                <w:kern w:val="0"/>
                <w:szCs w:val="21"/>
              </w:rPr>
              <w:t>22</w:t>
            </w:r>
            <w:r>
              <w:rPr>
                <w:rFonts w:hint="eastAsia" w:cs="宋体" w:asciiTheme="minorEastAsia" w:hAnsiTheme="minorEastAsia" w:eastAsiaTheme="minorEastAsia"/>
                <w:color w:val="000000"/>
                <w:kern w:val="0"/>
                <w:szCs w:val="21"/>
              </w:rPr>
              <w:t>：00-</w:t>
            </w:r>
            <w:r>
              <w:rPr>
                <w:rFonts w:cs="宋体" w:asciiTheme="minorEastAsia" w:hAnsiTheme="minorEastAsia" w:eastAsiaTheme="minorEastAsia"/>
                <w:color w:val="000000"/>
                <w:kern w:val="0"/>
                <w:szCs w:val="21"/>
              </w:rPr>
              <w:t xml:space="preserve"> </w:t>
            </w:r>
            <w:r>
              <w:rPr>
                <w:rFonts w:hint="eastAsia" w:cs="宋体" w:asciiTheme="minorEastAsia" w:hAnsiTheme="minorEastAsia" w:eastAsiaTheme="minorEastAsia"/>
                <w:color w:val="000000"/>
                <w:kern w:val="0"/>
                <w:szCs w:val="21"/>
              </w:rPr>
              <w:t>06：00（重保期间不做变更）</w:t>
            </w:r>
          </w:p>
        </w:tc>
      </w:tr>
      <w:tr w14:paraId="53B1326A">
        <w:tblPrEx>
          <w:tblCellMar>
            <w:top w:w="0" w:type="dxa"/>
            <w:left w:w="108" w:type="dxa"/>
            <w:bottom w:w="0" w:type="dxa"/>
            <w:right w:w="108" w:type="dxa"/>
          </w:tblCellMar>
        </w:tblPrEx>
        <w:trPr>
          <w:trHeight w:val="330" w:hRule="atLeast"/>
          <w:jc w:val="center"/>
        </w:trPr>
        <w:tc>
          <w:tcPr>
            <w:tcW w:w="2691" w:type="dxa"/>
            <w:tcBorders>
              <w:top w:val="nil"/>
              <w:left w:val="single" w:color="auto" w:sz="4" w:space="0"/>
              <w:bottom w:val="single" w:color="auto" w:sz="4" w:space="0"/>
              <w:right w:val="single" w:color="auto" w:sz="4" w:space="0"/>
            </w:tcBorders>
            <w:shd w:val="clear" w:color="000000" w:fill="FFFFFF"/>
            <w:noWrap/>
            <w:vAlign w:val="center"/>
          </w:tcPr>
          <w:p w14:paraId="5CC4BA43">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标准变更</w:t>
            </w:r>
          </w:p>
        </w:tc>
        <w:tc>
          <w:tcPr>
            <w:tcW w:w="6589" w:type="dxa"/>
            <w:tcBorders>
              <w:top w:val="nil"/>
              <w:left w:val="nil"/>
              <w:bottom w:val="single" w:color="auto" w:sz="4" w:space="0"/>
              <w:right w:val="single" w:color="auto" w:sz="4" w:space="0"/>
            </w:tcBorders>
            <w:shd w:val="clear" w:color="000000" w:fill="FFFFFF"/>
            <w:noWrap/>
            <w:vAlign w:val="center"/>
          </w:tcPr>
          <w:p w14:paraId="755BFD9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与客户沟通后对业务影响最小的时间</w:t>
            </w:r>
          </w:p>
        </w:tc>
      </w:tr>
      <w:tr w14:paraId="6102E331">
        <w:tblPrEx>
          <w:tblCellMar>
            <w:top w:w="0" w:type="dxa"/>
            <w:left w:w="108" w:type="dxa"/>
            <w:bottom w:w="0" w:type="dxa"/>
            <w:right w:w="108" w:type="dxa"/>
          </w:tblCellMar>
        </w:tblPrEx>
        <w:trPr>
          <w:trHeight w:val="330" w:hRule="atLeast"/>
          <w:jc w:val="center"/>
        </w:trPr>
        <w:tc>
          <w:tcPr>
            <w:tcW w:w="2691" w:type="dxa"/>
            <w:tcBorders>
              <w:top w:val="nil"/>
              <w:left w:val="single" w:color="auto" w:sz="4" w:space="0"/>
              <w:bottom w:val="single" w:color="auto" w:sz="4" w:space="0"/>
              <w:right w:val="single" w:color="auto" w:sz="4" w:space="0"/>
            </w:tcBorders>
            <w:shd w:val="clear" w:color="000000" w:fill="FFFFFF"/>
            <w:noWrap/>
            <w:vAlign w:val="center"/>
          </w:tcPr>
          <w:p w14:paraId="697E572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紧急变更</w:t>
            </w:r>
          </w:p>
        </w:tc>
        <w:tc>
          <w:tcPr>
            <w:tcW w:w="6589" w:type="dxa"/>
            <w:tcBorders>
              <w:top w:val="nil"/>
              <w:left w:val="nil"/>
              <w:bottom w:val="single" w:color="auto" w:sz="4" w:space="0"/>
              <w:right w:val="single" w:color="auto" w:sz="4" w:space="0"/>
            </w:tcBorders>
            <w:shd w:val="clear" w:color="000000" w:fill="FFFFFF"/>
            <w:noWrap/>
            <w:vAlign w:val="center"/>
          </w:tcPr>
          <w:p w14:paraId="0DC37FB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N/A</w:t>
            </w:r>
          </w:p>
        </w:tc>
      </w:tr>
    </w:tbl>
    <w:p w14:paraId="393F4B93">
      <w:pPr>
        <w:spacing w:line="360" w:lineRule="auto"/>
        <w:rPr>
          <w:rFonts w:asciiTheme="minorEastAsia" w:hAnsiTheme="minorEastAsia" w:eastAsiaTheme="minorEastAsia"/>
          <w:szCs w:val="21"/>
          <w:highlight w:val="yellow"/>
          <w:lang w:bidi="en-US"/>
        </w:rPr>
      </w:pPr>
    </w:p>
    <w:p w14:paraId="65C75669">
      <w:pPr>
        <w:pStyle w:val="4"/>
        <w:numPr>
          <w:ilvl w:val="2"/>
          <w:numId w:val="2"/>
        </w:numPr>
        <w:spacing w:line="360" w:lineRule="auto"/>
        <w:rPr>
          <w:rFonts w:asciiTheme="minorEastAsia" w:hAnsiTheme="minorEastAsia" w:eastAsiaTheme="minorEastAsia"/>
          <w:sz w:val="21"/>
          <w:szCs w:val="21"/>
          <w:lang w:bidi="en-US"/>
        </w:rPr>
      </w:pPr>
      <w:bookmarkStart w:id="14" w:name="_Toc12663"/>
      <w:r>
        <w:rPr>
          <w:rFonts w:hint="eastAsia" w:asciiTheme="minorEastAsia" w:hAnsiTheme="minorEastAsia" w:eastAsiaTheme="minorEastAsia"/>
          <w:sz w:val="21"/>
          <w:szCs w:val="21"/>
          <w:lang w:bidi="en-US"/>
        </w:rPr>
        <w:t>变更前导窗口（需要了解前导窗口的概念和必要性）</w:t>
      </w:r>
      <w:bookmarkEnd w:id="14"/>
    </w:p>
    <w:p w14:paraId="482AA179">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为确保变更受理、评估、审核等实施前的工作的质量，应预留足够的时间作为前导窗口，提前提交变更申请。</w:t>
      </w:r>
    </w:p>
    <w:p w14:paraId="11E6AEA5">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标准变更由于其风险较小，且不需要领导层审批，原则上没有前导窗口的限制。</w:t>
      </w:r>
    </w:p>
    <w:p w14:paraId="180877AA">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color w:val="000000"/>
          <w:szCs w:val="21"/>
        </w:rPr>
        <w:t>紧急变更由于其对实施时间要求的紧迫性，原则上没有前导窗口的限制。</w:t>
      </w:r>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0"/>
        <w:gridCol w:w="6180"/>
      </w:tblGrid>
      <w:tr w14:paraId="1F53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00" w:type="dxa"/>
            <w:shd w:val="pct10" w:color="auto" w:fill="auto"/>
            <w:vAlign w:val="center"/>
          </w:tcPr>
          <w:p w14:paraId="643AA7EC">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变更分级</w:t>
            </w:r>
          </w:p>
        </w:tc>
        <w:tc>
          <w:tcPr>
            <w:tcW w:w="6180" w:type="dxa"/>
            <w:tcBorders>
              <w:bottom w:val="single" w:color="auto" w:sz="4" w:space="0"/>
            </w:tcBorders>
            <w:shd w:val="pct10" w:color="auto" w:fill="auto"/>
            <w:vAlign w:val="center"/>
          </w:tcPr>
          <w:p w14:paraId="1E7714C2">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变更前导窗口</w:t>
            </w:r>
          </w:p>
        </w:tc>
      </w:tr>
      <w:tr w14:paraId="4A51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00" w:type="dxa"/>
            <w:vAlign w:val="center"/>
          </w:tcPr>
          <w:p w14:paraId="0FA800CE">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重大变更</w:t>
            </w:r>
          </w:p>
        </w:tc>
        <w:tc>
          <w:tcPr>
            <w:tcW w:w="6180" w:type="dxa"/>
            <w:vAlign w:val="center"/>
          </w:tcPr>
          <w:p w14:paraId="23BE1EB6">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计划实施时间前</w:t>
            </w:r>
            <w:r>
              <w:rPr>
                <w:rFonts w:asciiTheme="minorEastAsia" w:hAnsiTheme="minorEastAsia" w:eastAsiaTheme="minorEastAsia"/>
                <w:color w:val="000000"/>
                <w:szCs w:val="21"/>
              </w:rPr>
              <w:t>7</w:t>
            </w:r>
            <w:r>
              <w:rPr>
                <w:rFonts w:hint="eastAsia" w:asciiTheme="minorEastAsia" w:hAnsiTheme="minorEastAsia" w:eastAsiaTheme="minorEastAsia"/>
                <w:color w:val="000000"/>
                <w:szCs w:val="21"/>
              </w:rPr>
              <w:t>个自然日（不少于）</w:t>
            </w:r>
          </w:p>
        </w:tc>
      </w:tr>
      <w:tr w14:paraId="5050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00" w:type="dxa"/>
            <w:vAlign w:val="center"/>
          </w:tcPr>
          <w:p w14:paraId="6EC7D351">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一般变更</w:t>
            </w:r>
          </w:p>
        </w:tc>
        <w:tc>
          <w:tcPr>
            <w:tcW w:w="6180" w:type="dxa"/>
            <w:vAlign w:val="center"/>
          </w:tcPr>
          <w:p w14:paraId="7D89E366">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计划实施时间前</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个自然日（不少于）</w:t>
            </w:r>
          </w:p>
        </w:tc>
      </w:tr>
      <w:tr w14:paraId="7003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00" w:type="dxa"/>
            <w:vAlign w:val="center"/>
          </w:tcPr>
          <w:p w14:paraId="4DA8C320">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标准变更</w:t>
            </w:r>
          </w:p>
        </w:tc>
        <w:tc>
          <w:tcPr>
            <w:tcW w:w="6180" w:type="dxa"/>
            <w:vAlign w:val="center"/>
          </w:tcPr>
          <w:p w14:paraId="4B30AD51">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无</w:t>
            </w:r>
          </w:p>
        </w:tc>
      </w:tr>
      <w:tr w14:paraId="6C3A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00" w:type="dxa"/>
            <w:vAlign w:val="center"/>
          </w:tcPr>
          <w:p w14:paraId="26E0EFFB">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紧急变更</w:t>
            </w:r>
          </w:p>
        </w:tc>
        <w:tc>
          <w:tcPr>
            <w:tcW w:w="6180" w:type="dxa"/>
            <w:vAlign w:val="center"/>
          </w:tcPr>
          <w:p w14:paraId="3301282C">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无</w:t>
            </w:r>
          </w:p>
        </w:tc>
      </w:tr>
    </w:tbl>
    <w:p w14:paraId="0296191A">
      <w:pPr>
        <w:spacing w:line="360" w:lineRule="auto"/>
        <w:rPr>
          <w:rFonts w:asciiTheme="minorEastAsia" w:hAnsiTheme="minorEastAsia" w:eastAsiaTheme="minorEastAsia"/>
          <w:szCs w:val="21"/>
          <w:lang w:bidi="en-US"/>
        </w:rPr>
      </w:pPr>
    </w:p>
    <w:p w14:paraId="2AE911D2">
      <w:pPr>
        <w:pStyle w:val="4"/>
        <w:numPr>
          <w:ilvl w:val="2"/>
          <w:numId w:val="2"/>
        </w:numPr>
        <w:spacing w:line="360" w:lineRule="auto"/>
        <w:rPr>
          <w:rFonts w:asciiTheme="minorEastAsia" w:hAnsiTheme="minorEastAsia" w:eastAsiaTheme="minorEastAsia"/>
          <w:sz w:val="21"/>
          <w:szCs w:val="21"/>
          <w:lang w:bidi="en-US"/>
        </w:rPr>
      </w:pPr>
      <w:bookmarkStart w:id="15" w:name="_Toc27090"/>
      <w:r>
        <w:rPr>
          <w:rFonts w:hint="eastAsia" w:asciiTheme="minorEastAsia" w:hAnsiTheme="minorEastAsia" w:eastAsiaTheme="minorEastAsia"/>
          <w:sz w:val="21"/>
          <w:szCs w:val="21"/>
          <w:lang w:bidi="en-US"/>
        </w:rPr>
        <w:t>变更状态</w:t>
      </w:r>
      <w:bookmarkEnd w:id="15"/>
    </w:p>
    <w:p w14:paraId="6566C1F1">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“变更状态”表明变更发布当前所处的处理状态，具体定义如下：</w:t>
      </w:r>
    </w:p>
    <w:tbl>
      <w:tblPr>
        <w:tblStyle w:val="24"/>
        <w:tblW w:w="9280" w:type="dxa"/>
        <w:jc w:val="center"/>
        <w:tblLayout w:type="fixed"/>
        <w:tblCellMar>
          <w:top w:w="0" w:type="dxa"/>
          <w:left w:w="108" w:type="dxa"/>
          <w:bottom w:w="0" w:type="dxa"/>
          <w:right w:w="108" w:type="dxa"/>
        </w:tblCellMar>
      </w:tblPr>
      <w:tblGrid>
        <w:gridCol w:w="2238"/>
        <w:gridCol w:w="7042"/>
      </w:tblGrid>
      <w:tr w14:paraId="7095BB69">
        <w:tblPrEx>
          <w:tblCellMar>
            <w:top w:w="0" w:type="dxa"/>
            <w:left w:w="108" w:type="dxa"/>
            <w:bottom w:w="0" w:type="dxa"/>
            <w:right w:w="108" w:type="dxa"/>
          </w:tblCellMar>
        </w:tblPrEx>
        <w:trPr>
          <w:trHeight w:val="285" w:hRule="atLeast"/>
          <w:jc w:val="center"/>
        </w:trPr>
        <w:tc>
          <w:tcPr>
            <w:tcW w:w="2238"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B4F323F">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状态代码</w:t>
            </w:r>
          </w:p>
        </w:tc>
        <w:tc>
          <w:tcPr>
            <w:tcW w:w="7042"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10F9A0B2">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描述</w:t>
            </w:r>
          </w:p>
        </w:tc>
      </w:tr>
      <w:tr w14:paraId="119CA58E">
        <w:tblPrEx>
          <w:tblCellMar>
            <w:top w:w="0" w:type="dxa"/>
            <w:left w:w="108" w:type="dxa"/>
            <w:bottom w:w="0" w:type="dxa"/>
            <w:right w:w="108" w:type="dxa"/>
          </w:tblCellMar>
        </w:tblPrEx>
        <w:trPr>
          <w:trHeight w:val="285" w:hRule="atLeast"/>
          <w:jc w:val="center"/>
        </w:trPr>
        <w:tc>
          <w:tcPr>
            <w:tcW w:w="2238" w:type="dxa"/>
            <w:tcBorders>
              <w:top w:val="nil"/>
              <w:left w:val="single" w:color="auto" w:sz="4" w:space="0"/>
              <w:bottom w:val="single" w:color="auto" w:sz="4" w:space="0"/>
              <w:right w:val="single" w:color="auto" w:sz="4" w:space="0"/>
            </w:tcBorders>
            <w:shd w:val="clear" w:color="auto" w:fill="auto"/>
          </w:tcPr>
          <w:p w14:paraId="5591595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新建</w:t>
            </w:r>
          </w:p>
        </w:tc>
        <w:tc>
          <w:tcPr>
            <w:tcW w:w="7042" w:type="dxa"/>
            <w:tcBorders>
              <w:top w:val="nil"/>
              <w:left w:val="nil"/>
              <w:bottom w:val="single" w:color="auto" w:sz="4" w:space="0"/>
              <w:right w:val="single" w:color="auto" w:sz="4" w:space="0"/>
            </w:tcBorders>
            <w:shd w:val="clear" w:color="auto" w:fill="auto"/>
          </w:tcPr>
          <w:p w14:paraId="1671CC6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新建的未检查的变更发布请求</w:t>
            </w:r>
          </w:p>
        </w:tc>
      </w:tr>
      <w:tr w14:paraId="66293CD0">
        <w:tblPrEx>
          <w:tblCellMar>
            <w:top w:w="0" w:type="dxa"/>
            <w:left w:w="108" w:type="dxa"/>
            <w:bottom w:w="0" w:type="dxa"/>
            <w:right w:w="108" w:type="dxa"/>
          </w:tblCellMar>
        </w:tblPrEx>
        <w:trPr>
          <w:trHeight w:val="285" w:hRule="atLeast"/>
          <w:jc w:val="center"/>
        </w:trPr>
        <w:tc>
          <w:tcPr>
            <w:tcW w:w="2238" w:type="dxa"/>
            <w:tcBorders>
              <w:top w:val="nil"/>
              <w:left w:val="single" w:color="auto" w:sz="4" w:space="0"/>
              <w:bottom w:val="single" w:color="auto" w:sz="4" w:space="0"/>
              <w:right w:val="single" w:color="auto" w:sz="4" w:space="0"/>
            </w:tcBorders>
            <w:shd w:val="clear" w:color="auto" w:fill="auto"/>
          </w:tcPr>
          <w:p w14:paraId="26AC2DC9">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已提交</w:t>
            </w:r>
          </w:p>
        </w:tc>
        <w:tc>
          <w:tcPr>
            <w:tcW w:w="7042" w:type="dxa"/>
            <w:tcBorders>
              <w:top w:val="nil"/>
              <w:left w:val="nil"/>
              <w:bottom w:val="single" w:color="auto" w:sz="4" w:space="0"/>
              <w:right w:val="single" w:color="auto" w:sz="4" w:space="0"/>
            </w:tcBorders>
            <w:shd w:val="clear" w:color="auto" w:fill="auto"/>
          </w:tcPr>
          <w:p w14:paraId="5573C53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已经提交的变更发布请求</w:t>
            </w:r>
          </w:p>
        </w:tc>
      </w:tr>
      <w:tr w14:paraId="2F4C989F">
        <w:tblPrEx>
          <w:tblCellMar>
            <w:top w:w="0" w:type="dxa"/>
            <w:left w:w="108" w:type="dxa"/>
            <w:bottom w:w="0" w:type="dxa"/>
            <w:right w:w="108" w:type="dxa"/>
          </w:tblCellMar>
        </w:tblPrEx>
        <w:trPr>
          <w:trHeight w:val="285" w:hRule="atLeast"/>
          <w:jc w:val="center"/>
        </w:trPr>
        <w:tc>
          <w:tcPr>
            <w:tcW w:w="2238" w:type="dxa"/>
            <w:tcBorders>
              <w:top w:val="nil"/>
              <w:left w:val="single" w:color="auto" w:sz="4" w:space="0"/>
              <w:bottom w:val="single" w:color="auto" w:sz="4" w:space="0"/>
              <w:right w:val="single" w:color="auto" w:sz="4" w:space="0"/>
            </w:tcBorders>
            <w:shd w:val="clear" w:color="auto" w:fill="auto"/>
          </w:tcPr>
          <w:p w14:paraId="5B217F28">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已评估和计划</w:t>
            </w:r>
          </w:p>
          <w:p w14:paraId="0EC2638A">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（标准变更无此状态）</w:t>
            </w:r>
          </w:p>
        </w:tc>
        <w:tc>
          <w:tcPr>
            <w:tcW w:w="7042" w:type="dxa"/>
            <w:tcBorders>
              <w:top w:val="nil"/>
              <w:left w:val="nil"/>
              <w:bottom w:val="single" w:color="auto" w:sz="4" w:space="0"/>
              <w:right w:val="single" w:color="auto" w:sz="4" w:space="0"/>
            </w:tcBorders>
            <w:shd w:val="clear" w:color="auto" w:fill="auto"/>
          </w:tcPr>
          <w:p w14:paraId="4DAFCF93">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经过评估，已经制定了变更发布计划，包括变更发布影响说明和回退计划的变更发布请求</w:t>
            </w:r>
          </w:p>
        </w:tc>
      </w:tr>
      <w:tr w14:paraId="4E39978E">
        <w:tblPrEx>
          <w:tblCellMar>
            <w:top w:w="0" w:type="dxa"/>
            <w:left w:w="108" w:type="dxa"/>
            <w:bottom w:w="0" w:type="dxa"/>
            <w:right w:w="108" w:type="dxa"/>
          </w:tblCellMar>
        </w:tblPrEx>
        <w:trPr>
          <w:trHeight w:val="285" w:hRule="atLeast"/>
          <w:jc w:val="center"/>
        </w:trPr>
        <w:tc>
          <w:tcPr>
            <w:tcW w:w="2238" w:type="dxa"/>
            <w:tcBorders>
              <w:top w:val="nil"/>
              <w:left w:val="single" w:color="auto" w:sz="4" w:space="0"/>
              <w:bottom w:val="single" w:color="auto" w:sz="4" w:space="0"/>
              <w:right w:val="single" w:color="auto" w:sz="4" w:space="0"/>
            </w:tcBorders>
            <w:shd w:val="clear" w:color="auto" w:fill="auto"/>
          </w:tcPr>
          <w:p w14:paraId="15E606B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已批准</w:t>
            </w:r>
          </w:p>
        </w:tc>
        <w:tc>
          <w:tcPr>
            <w:tcW w:w="7042" w:type="dxa"/>
            <w:tcBorders>
              <w:top w:val="nil"/>
              <w:left w:val="nil"/>
              <w:bottom w:val="single" w:color="auto" w:sz="4" w:space="0"/>
              <w:right w:val="single" w:color="auto" w:sz="4" w:space="0"/>
            </w:tcBorders>
            <w:shd w:val="clear" w:color="auto" w:fill="auto"/>
          </w:tcPr>
          <w:p w14:paraId="4419D0B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已经通过审批，允许变更发布实施</w:t>
            </w:r>
          </w:p>
        </w:tc>
      </w:tr>
      <w:tr w14:paraId="3054FB17">
        <w:tblPrEx>
          <w:tblCellMar>
            <w:top w:w="0" w:type="dxa"/>
            <w:left w:w="108" w:type="dxa"/>
            <w:bottom w:w="0" w:type="dxa"/>
            <w:right w:w="108" w:type="dxa"/>
          </w:tblCellMar>
        </w:tblPrEx>
        <w:trPr>
          <w:trHeight w:val="285" w:hRule="atLeast"/>
          <w:jc w:val="center"/>
        </w:trPr>
        <w:tc>
          <w:tcPr>
            <w:tcW w:w="2238" w:type="dxa"/>
            <w:tcBorders>
              <w:top w:val="single" w:color="auto" w:sz="4" w:space="0"/>
              <w:left w:val="single" w:color="auto" w:sz="4" w:space="0"/>
              <w:bottom w:val="single" w:color="auto" w:sz="4" w:space="0"/>
              <w:right w:val="single" w:color="auto" w:sz="4" w:space="0"/>
            </w:tcBorders>
            <w:shd w:val="clear" w:color="auto" w:fill="auto"/>
            <w:vAlign w:val="center"/>
          </w:tcPr>
          <w:p w14:paraId="5FEECB1A">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已实施</w:t>
            </w:r>
          </w:p>
        </w:tc>
        <w:tc>
          <w:tcPr>
            <w:tcW w:w="7042" w:type="dxa"/>
            <w:tcBorders>
              <w:top w:val="nil"/>
              <w:left w:val="nil"/>
              <w:bottom w:val="single" w:color="auto" w:sz="4" w:space="0"/>
              <w:right w:val="single" w:color="auto" w:sz="4" w:space="0"/>
            </w:tcBorders>
            <w:shd w:val="clear" w:color="auto" w:fill="auto"/>
          </w:tcPr>
          <w:p w14:paraId="6FB939F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已经实施完成的变更发布</w:t>
            </w:r>
          </w:p>
        </w:tc>
      </w:tr>
      <w:tr w14:paraId="2E0FBEAC">
        <w:tblPrEx>
          <w:tblCellMar>
            <w:top w:w="0" w:type="dxa"/>
            <w:left w:w="108" w:type="dxa"/>
            <w:bottom w:w="0" w:type="dxa"/>
            <w:right w:w="108" w:type="dxa"/>
          </w:tblCellMar>
        </w:tblPrEx>
        <w:trPr>
          <w:trHeight w:val="285" w:hRule="atLeast"/>
          <w:jc w:val="center"/>
        </w:trPr>
        <w:tc>
          <w:tcPr>
            <w:tcW w:w="2238" w:type="dxa"/>
            <w:tcBorders>
              <w:top w:val="nil"/>
              <w:left w:val="single" w:color="auto" w:sz="4" w:space="0"/>
              <w:bottom w:val="single" w:color="auto" w:sz="4" w:space="0"/>
              <w:right w:val="single" w:color="auto" w:sz="4" w:space="0"/>
            </w:tcBorders>
            <w:shd w:val="clear" w:color="auto" w:fill="auto"/>
            <w:vAlign w:val="center"/>
          </w:tcPr>
          <w:p w14:paraId="77E2777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已关闭</w:t>
            </w:r>
          </w:p>
        </w:tc>
        <w:tc>
          <w:tcPr>
            <w:tcW w:w="7042" w:type="dxa"/>
            <w:tcBorders>
              <w:top w:val="nil"/>
              <w:left w:val="nil"/>
              <w:bottom w:val="single" w:color="auto" w:sz="4" w:space="0"/>
              <w:right w:val="single" w:color="auto" w:sz="4" w:space="0"/>
            </w:tcBorders>
            <w:shd w:val="clear" w:color="auto" w:fill="auto"/>
            <w:vAlign w:val="center"/>
          </w:tcPr>
          <w:p w14:paraId="2E089C4D">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变更发布经确认已关闭</w:t>
            </w:r>
          </w:p>
        </w:tc>
      </w:tr>
    </w:tbl>
    <w:p w14:paraId="75578381">
      <w:pPr>
        <w:pStyle w:val="4"/>
        <w:numPr>
          <w:ilvl w:val="2"/>
          <w:numId w:val="2"/>
        </w:numPr>
        <w:spacing w:line="360" w:lineRule="auto"/>
        <w:rPr>
          <w:rFonts w:asciiTheme="minorEastAsia" w:hAnsiTheme="minorEastAsia" w:eastAsiaTheme="minorEastAsia"/>
          <w:sz w:val="21"/>
          <w:szCs w:val="21"/>
          <w:lang w:bidi="en-US"/>
        </w:rPr>
      </w:pPr>
      <w:bookmarkStart w:id="16" w:name="_Toc16016"/>
      <w:r>
        <w:rPr>
          <w:rFonts w:hint="eastAsia" w:asciiTheme="minorEastAsia" w:hAnsiTheme="minorEastAsia" w:eastAsiaTheme="minorEastAsia"/>
          <w:sz w:val="21"/>
          <w:szCs w:val="21"/>
          <w:lang w:bidi="en-US"/>
        </w:rPr>
        <w:t>变更关闭</w:t>
      </w:r>
      <w:bookmarkEnd w:id="16"/>
    </w:p>
    <w:p w14:paraId="2754EE0F">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用来表示变更关闭的方式，关闭的代码包括以下几种：</w:t>
      </w:r>
    </w:p>
    <w:tbl>
      <w:tblPr>
        <w:tblStyle w:val="24"/>
        <w:tblW w:w="6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4961"/>
      </w:tblGrid>
      <w:tr w14:paraId="756C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212" w:type="dxa"/>
            <w:shd w:val="clear" w:color="auto" w:fill="BEBEBE" w:themeFill="background1" w:themeFillShade="BF"/>
            <w:noWrap/>
            <w:vAlign w:val="center"/>
          </w:tcPr>
          <w:p w14:paraId="62D933B4">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关闭代码</w:t>
            </w:r>
          </w:p>
        </w:tc>
        <w:tc>
          <w:tcPr>
            <w:tcW w:w="4961" w:type="dxa"/>
            <w:shd w:val="clear" w:color="auto" w:fill="BEBEBE" w:themeFill="background1" w:themeFillShade="BF"/>
            <w:noWrap/>
            <w:vAlign w:val="center"/>
          </w:tcPr>
          <w:p w14:paraId="262EF27E">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描述</w:t>
            </w:r>
          </w:p>
        </w:tc>
      </w:tr>
      <w:tr w14:paraId="2D275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12" w:type="dxa"/>
            <w:shd w:val="clear" w:color="000000" w:fill="FFFFFF"/>
            <w:noWrap/>
            <w:vAlign w:val="center"/>
          </w:tcPr>
          <w:p w14:paraId="2C6B268F">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成功</w:t>
            </w:r>
          </w:p>
        </w:tc>
        <w:tc>
          <w:tcPr>
            <w:tcW w:w="4961" w:type="dxa"/>
            <w:shd w:val="clear" w:color="000000" w:fill="FFFFFF"/>
            <w:noWrap/>
            <w:vAlign w:val="center"/>
          </w:tcPr>
          <w:p w14:paraId="33FF8403">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变更成功实施，达到预期目标</w:t>
            </w:r>
          </w:p>
        </w:tc>
      </w:tr>
      <w:tr w14:paraId="3F21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12" w:type="dxa"/>
            <w:shd w:val="clear" w:color="000000" w:fill="FFFFFF"/>
            <w:noWrap/>
            <w:vAlign w:val="center"/>
          </w:tcPr>
          <w:p w14:paraId="08960292">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失败</w:t>
            </w:r>
          </w:p>
        </w:tc>
        <w:tc>
          <w:tcPr>
            <w:tcW w:w="4961" w:type="dxa"/>
            <w:shd w:val="clear" w:color="000000" w:fill="FFFFFF"/>
            <w:noWrap/>
            <w:vAlign w:val="center"/>
          </w:tcPr>
          <w:p w14:paraId="63388F6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变更实施失败，执行了回退方案或者补救措施</w:t>
            </w:r>
          </w:p>
        </w:tc>
      </w:tr>
      <w:tr w14:paraId="5E7A4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12" w:type="dxa"/>
            <w:shd w:val="clear" w:color="000000" w:fill="FFFFFF"/>
            <w:noWrap/>
            <w:vAlign w:val="center"/>
          </w:tcPr>
          <w:p w14:paraId="0D42E3D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取消</w:t>
            </w:r>
          </w:p>
        </w:tc>
        <w:tc>
          <w:tcPr>
            <w:tcW w:w="4961" w:type="dxa"/>
            <w:shd w:val="clear" w:color="000000" w:fill="FFFFFF"/>
            <w:noWrap/>
            <w:vAlign w:val="center"/>
          </w:tcPr>
          <w:p w14:paraId="4E90113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变更被取消</w:t>
            </w:r>
          </w:p>
        </w:tc>
      </w:tr>
    </w:tbl>
    <w:p w14:paraId="37A62671">
      <w:pPr>
        <w:spacing w:line="360" w:lineRule="auto"/>
        <w:ind w:firstLine="420" w:firstLineChars="200"/>
        <w:rPr>
          <w:rFonts w:asciiTheme="minorEastAsia" w:hAnsiTheme="minorEastAsia" w:eastAsiaTheme="minorEastAsia"/>
          <w:szCs w:val="21"/>
          <w:lang w:bidi="en-US"/>
        </w:rPr>
      </w:pPr>
    </w:p>
    <w:p w14:paraId="2A97CBC9">
      <w:pPr>
        <w:pStyle w:val="3"/>
        <w:numPr>
          <w:ilvl w:val="1"/>
          <w:numId w:val="2"/>
        </w:numPr>
        <w:spacing w:line="360" w:lineRule="auto"/>
        <w:rPr>
          <w:rFonts w:asciiTheme="minorEastAsia" w:hAnsiTheme="minorEastAsia" w:eastAsiaTheme="minorEastAsia"/>
          <w:sz w:val="21"/>
          <w:szCs w:val="21"/>
          <w:lang w:eastAsia="zh-CN"/>
        </w:rPr>
      </w:pPr>
      <w:bookmarkStart w:id="17" w:name="_Toc21144"/>
      <w:r>
        <w:rPr>
          <w:rFonts w:hint="eastAsia" w:asciiTheme="minorEastAsia" w:hAnsiTheme="minorEastAsia" w:eastAsiaTheme="minorEastAsia"/>
          <w:sz w:val="21"/>
          <w:szCs w:val="21"/>
          <w:lang w:eastAsia="zh-CN"/>
        </w:rPr>
        <w:t>管理策略</w:t>
      </w:r>
      <w:bookmarkEnd w:id="17"/>
    </w:p>
    <w:p w14:paraId="68C0B596">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变更申请人和变更审批人这两种角色不能由同一人担当；</w:t>
      </w:r>
    </w:p>
    <w:p w14:paraId="374C22CD">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变更发布在执行完成后，变更负责人需要邮件或其他形式通知所有的相关干系人；</w:t>
      </w:r>
    </w:p>
    <w:p w14:paraId="09BA691E">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非紧急变更发布必须先填写记录，不可事后补单；</w:t>
      </w:r>
    </w:p>
    <w:p w14:paraId="59571AB6">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紧急变更发布可通过口头形式审批，但事后必须补单；</w:t>
      </w:r>
    </w:p>
    <w:p w14:paraId="704FB72E">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紧急变更发布必须得到变更发布审批人的审批，变更发布审批人可依据实际状况，提请总经理共同对紧急变更发布进行审批授权；</w:t>
      </w:r>
    </w:p>
    <w:p w14:paraId="2952BA4F">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标准变更发布需经协商确定，每个标准变更发布需以文字描述形式阐明变更发布分类、变更发布风险等，以确保在变更发布风险可控的前提下合理调配变更发布管理资源，同时由变更发布流程经理组织定期回顾评审；</w:t>
      </w:r>
    </w:p>
    <w:p w14:paraId="1F0822FE">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标准变更发布可跳过风险评估阶段，并按照预授权定义，实现快速审批；</w:t>
      </w:r>
    </w:p>
    <w:p w14:paraId="1AF3AF9C">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应依照变更发布管理报告周期，定期回顾变更发布的执行结果，结果应记录到变更发布管理服务报告中。需要改进的内容应纳入服务改进管理；</w:t>
      </w:r>
    </w:p>
    <w:p w14:paraId="27CEA9F4">
      <w:pPr>
        <w:pStyle w:val="42"/>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确保所有变更中涉及到配置项信息变化的，均应该更新到C</w:t>
      </w:r>
      <w:r>
        <w:rPr>
          <w:rFonts w:asciiTheme="minorEastAsia" w:hAnsiTheme="minorEastAsia" w:eastAsiaTheme="minorEastAsia"/>
          <w:sz w:val="21"/>
          <w:szCs w:val="21"/>
          <w:lang w:eastAsia="zh-CN"/>
        </w:rPr>
        <w:t>MDB</w:t>
      </w:r>
      <w:r>
        <w:rPr>
          <w:rFonts w:hint="eastAsia" w:asciiTheme="minorEastAsia" w:hAnsiTheme="minorEastAsia" w:eastAsiaTheme="minorEastAsia"/>
          <w:sz w:val="21"/>
          <w:szCs w:val="21"/>
          <w:lang w:eastAsia="zh-CN"/>
        </w:rPr>
        <w:t>。</w:t>
      </w:r>
    </w:p>
    <w:p w14:paraId="61670043">
      <w:pPr>
        <w:pStyle w:val="3"/>
        <w:numPr>
          <w:ilvl w:val="1"/>
          <w:numId w:val="2"/>
        </w:numPr>
        <w:spacing w:line="360" w:lineRule="auto"/>
        <w:rPr>
          <w:rFonts w:asciiTheme="minorEastAsia" w:hAnsiTheme="minorEastAsia" w:eastAsiaTheme="minorEastAsia"/>
          <w:sz w:val="21"/>
          <w:szCs w:val="21"/>
          <w:lang w:eastAsia="zh-CN"/>
        </w:rPr>
      </w:pPr>
      <w:bookmarkStart w:id="18" w:name="_Toc31914"/>
      <w:r>
        <w:rPr>
          <w:rFonts w:hint="eastAsia" w:asciiTheme="minorEastAsia" w:hAnsiTheme="minorEastAsia" w:eastAsiaTheme="minorEastAsia"/>
          <w:sz w:val="21"/>
          <w:szCs w:val="21"/>
          <w:lang w:eastAsia="zh-CN"/>
        </w:rPr>
        <w:t>变更管理流程</w:t>
      </w:r>
      <w:bookmarkEnd w:id="18"/>
    </w:p>
    <w:p w14:paraId="298D77B2">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除标准变更（标准变更直接走服务请求管理流程）以外，一般变更、重大变更、紧急变更都执行以下变更发布流程。紧急变更发布可先执行后补工单，其他变更发布需严格按照步骤进行工单系统内的更新。</w:t>
      </w:r>
    </w:p>
    <w:p w14:paraId="15814A05">
      <w:pPr>
        <w:spacing w:line="360" w:lineRule="auto"/>
        <w:rPr>
          <w:rFonts w:asciiTheme="minorEastAsia" w:hAnsiTheme="minorEastAsia" w:eastAsiaTheme="minorEastAsia"/>
          <w:szCs w:val="21"/>
          <w:lang w:bidi="en-US"/>
        </w:rPr>
      </w:pPr>
    </w:p>
    <w:p w14:paraId="767549AC">
      <w:pPr>
        <w:spacing w:line="360" w:lineRule="auto"/>
        <w:rPr>
          <w:rFonts w:asciiTheme="minorEastAsia" w:hAnsiTheme="minorEastAsia" w:eastAsiaTheme="minorEastAsia"/>
          <w:szCs w:val="21"/>
          <w:lang w:bidi="en-US"/>
        </w:rPr>
      </w:pPr>
      <w:r>
        <w:object>
          <v:shape id="_x0000_i1025" o:spt="75" type="#_x0000_t75" style="height:255pt;width:453pt;" o:ole="t" filled="f" o:preferrelative="t" stroked="f" coordsize="21600,21600">
            <v:path/>
            <v:fill on="f" focussize="0,0"/>
            <v:stroke on="f" joinstyle="miter"/>
            <v:imagedata r:id="rId13" o:title=""/>
            <o:lock v:ext="edit" aspectratio="t"/>
            <w10:wrap type="none"/>
            <w10:anchorlock/>
          </v:shape>
          <o:OLEObject Type="Embed" ProgID="Visio.Drawing.11" ShapeID="_x0000_i1025" DrawAspect="Content" ObjectID="_1468075725" r:id="rId12">
            <o:LockedField>false</o:LockedField>
          </o:OLEObject>
        </w:object>
      </w:r>
    </w:p>
    <w:p w14:paraId="3F82491A">
      <w:pPr>
        <w:pStyle w:val="4"/>
        <w:numPr>
          <w:ilvl w:val="2"/>
          <w:numId w:val="2"/>
        </w:numPr>
        <w:spacing w:line="360" w:lineRule="auto"/>
        <w:rPr>
          <w:rFonts w:asciiTheme="minorEastAsia" w:hAnsiTheme="minorEastAsia" w:eastAsiaTheme="minorEastAsia"/>
          <w:sz w:val="21"/>
          <w:szCs w:val="21"/>
          <w:lang w:bidi="en-US"/>
        </w:rPr>
      </w:pPr>
      <w:bookmarkStart w:id="19" w:name="_Toc13610"/>
      <w:r>
        <w:rPr>
          <w:rFonts w:hint="eastAsia" w:asciiTheme="minorEastAsia" w:hAnsiTheme="minorEastAsia" w:eastAsiaTheme="minorEastAsia"/>
          <w:sz w:val="21"/>
          <w:szCs w:val="21"/>
          <w:lang w:bidi="en-US"/>
        </w:rPr>
        <w:t>提交和评估</w:t>
      </w:r>
      <w:bookmarkEnd w:id="19"/>
    </w:p>
    <w:tbl>
      <w:tblPr>
        <w:tblStyle w:val="24"/>
        <w:tblW w:w="9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722"/>
        <w:gridCol w:w="1767"/>
        <w:gridCol w:w="5008"/>
      </w:tblGrid>
      <w:tr w14:paraId="1FA2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83" w:type="dxa"/>
            <w:shd w:val="clear" w:color="auto" w:fill="BEBEBE" w:themeFill="background1" w:themeFillShade="BF"/>
            <w:vAlign w:val="center"/>
          </w:tcPr>
          <w:p w14:paraId="51E6DF38">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722" w:type="dxa"/>
            <w:shd w:val="clear" w:color="auto" w:fill="BEBEBE" w:themeFill="background1" w:themeFillShade="BF"/>
            <w:vAlign w:val="center"/>
          </w:tcPr>
          <w:p w14:paraId="3151DA44">
            <w:pPr>
              <w:spacing w:before="120" w:after="120" w:line="360" w:lineRule="auto"/>
              <w:ind w:firstLine="211" w:firstLineChars="1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767" w:type="dxa"/>
            <w:shd w:val="clear" w:color="auto" w:fill="BEBEBE" w:themeFill="background1" w:themeFillShade="BF"/>
            <w:vAlign w:val="center"/>
          </w:tcPr>
          <w:p w14:paraId="311EBF76">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5008" w:type="dxa"/>
            <w:shd w:val="clear" w:color="auto" w:fill="BEBEBE" w:themeFill="background1" w:themeFillShade="BF"/>
            <w:vAlign w:val="center"/>
          </w:tcPr>
          <w:p w14:paraId="58977035">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19DC1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dxa"/>
            <w:vAlign w:val="center"/>
          </w:tcPr>
          <w:p w14:paraId="7F770DB5">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1.1</w:t>
            </w:r>
          </w:p>
        </w:tc>
        <w:tc>
          <w:tcPr>
            <w:tcW w:w="1722" w:type="dxa"/>
            <w:vAlign w:val="center"/>
          </w:tcPr>
          <w:p w14:paraId="0FCCB40D">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提交变更</w:t>
            </w:r>
          </w:p>
        </w:tc>
        <w:tc>
          <w:tcPr>
            <w:tcW w:w="1767" w:type="dxa"/>
            <w:vAlign w:val="center"/>
          </w:tcPr>
          <w:p w14:paraId="3E166B58">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变更申请人</w:t>
            </w:r>
          </w:p>
        </w:tc>
        <w:tc>
          <w:tcPr>
            <w:tcW w:w="5008" w:type="dxa"/>
            <w:vAlign w:val="center"/>
          </w:tcPr>
          <w:p w14:paraId="74E965DC">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变更申请人在系统中创建并提交变更请求工单。</w:t>
            </w:r>
          </w:p>
          <w:p w14:paraId="2247E5B8">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变更申请人需提供变更发布的详细信息，包括：变更分类、变更来源、变更原因、变更对象、变更发布影响和风险评估、变更发布实施方案、回退和补救措施等，并关联变更发布的对象（配置项）。</w:t>
            </w:r>
          </w:p>
        </w:tc>
      </w:tr>
    </w:tbl>
    <w:p w14:paraId="303BB115">
      <w:pPr>
        <w:spacing w:line="360" w:lineRule="auto"/>
        <w:rPr>
          <w:rFonts w:asciiTheme="minorEastAsia" w:hAnsiTheme="minorEastAsia" w:eastAsiaTheme="minorEastAsia"/>
          <w:szCs w:val="21"/>
          <w:lang w:bidi="en-US"/>
        </w:rPr>
      </w:pPr>
    </w:p>
    <w:p w14:paraId="36A345F6">
      <w:pPr>
        <w:pStyle w:val="4"/>
        <w:numPr>
          <w:ilvl w:val="2"/>
          <w:numId w:val="2"/>
        </w:numPr>
        <w:spacing w:line="360" w:lineRule="auto"/>
        <w:rPr>
          <w:rFonts w:asciiTheme="minorEastAsia" w:hAnsiTheme="minorEastAsia" w:eastAsiaTheme="minorEastAsia"/>
          <w:sz w:val="21"/>
          <w:szCs w:val="21"/>
          <w:lang w:bidi="en-US"/>
        </w:rPr>
      </w:pPr>
      <w:bookmarkStart w:id="20" w:name="_Toc27639"/>
      <w:r>
        <w:rPr>
          <w:rFonts w:hint="eastAsia" w:asciiTheme="minorEastAsia" w:hAnsiTheme="minorEastAsia" w:eastAsiaTheme="minorEastAsia"/>
          <w:sz w:val="21"/>
          <w:szCs w:val="21"/>
          <w:lang w:bidi="en-US"/>
        </w:rPr>
        <w:t>计划和方案审核</w:t>
      </w:r>
      <w:bookmarkEnd w:id="20"/>
    </w:p>
    <w:tbl>
      <w:tblPr>
        <w:tblStyle w:val="24"/>
        <w:tblW w:w="9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722"/>
        <w:gridCol w:w="1767"/>
        <w:gridCol w:w="5008"/>
      </w:tblGrid>
      <w:tr w14:paraId="266E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83" w:type="dxa"/>
            <w:shd w:val="clear" w:color="auto" w:fill="BEBEBE" w:themeFill="background1" w:themeFillShade="BF"/>
            <w:vAlign w:val="center"/>
          </w:tcPr>
          <w:p w14:paraId="4EAEFFDC">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722" w:type="dxa"/>
            <w:shd w:val="clear" w:color="auto" w:fill="BEBEBE" w:themeFill="background1" w:themeFillShade="BF"/>
            <w:vAlign w:val="center"/>
          </w:tcPr>
          <w:p w14:paraId="0DEC97D6">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767" w:type="dxa"/>
            <w:shd w:val="clear" w:color="auto" w:fill="BEBEBE" w:themeFill="background1" w:themeFillShade="BF"/>
            <w:vAlign w:val="center"/>
          </w:tcPr>
          <w:p w14:paraId="44D4A5C8">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5008" w:type="dxa"/>
            <w:shd w:val="clear" w:color="auto" w:fill="BEBEBE" w:themeFill="background1" w:themeFillShade="BF"/>
            <w:vAlign w:val="center"/>
          </w:tcPr>
          <w:p w14:paraId="2C8D54BD">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74A1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dxa"/>
            <w:vAlign w:val="center"/>
          </w:tcPr>
          <w:p w14:paraId="7FE6E2B3">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w:t>
            </w:r>
            <w:r>
              <w:rPr>
                <w:rFonts w:hint="eastAsia" w:asciiTheme="minorEastAsia" w:hAnsiTheme="minorEastAsia" w:eastAsiaTheme="minorEastAsia"/>
                <w:szCs w:val="21"/>
              </w:rPr>
              <w:t>1</w:t>
            </w:r>
          </w:p>
        </w:tc>
        <w:tc>
          <w:tcPr>
            <w:tcW w:w="1722" w:type="dxa"/>
            <w:vAlign w:val="center"/>
          </w:tcPr>
          <w:p w14:paraId="413E0E78">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变更发布计划和方案审核</w:t>
            </w:r>
          </w:p>
        </w:tc>
        <w:tc>
          <w:tcPr>
            <w:tcW w:w="1767" w:type="dxa"/>
            <w:vAlign w:val="center"/>
          </w:tcPr>
          <w:p w14:paraId="6D798E92">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变更负责人</w:t>
            </w:r>
          </w:p>
          <w:p w14:paraId="1F38D8BD">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变更实施人</w:t>
            </w:r>
          </w:p>
        </w:tc>
        <w:tc>
          <w:tcPr>
            <w:tcW w:w="5008" w:type="dxa"/>
            <w:vAlign w:val="center"/>
          </w:tcPr>
          <w:p w14:paraId="66ABD2EA">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变更负责人指派变更实施人，同时会同变更实施人一起对变更发布的内容、影响和存在的风险、变更发布的实施方案以及回退计划等进行审核和确认。</w:t>
            </w:r>
          </w:p>
        </w:tc>
      </w:tr>
      <w:tr w14:paraId="0AF6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dxa"/>
            <w:vAlign w:val="center"/>
          </w:tcPr>
          <w:p w14:paraId="510F1C0F">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2.2</w:t>
            </w:r>
          </w:p>
        </w:tc>
        <w:tc>
          <w:tcPr>
            <w:tcW w:w="1722" w:type="dxa"/>
            <w:vAlign w:val="center"/>
          </w:tcPr>
          <w:p w14:paraId="1BBF0121">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审核是否通过？</w:t>
            </w:r>
          </w:p>
        </w:tc>
        <w:tc>
          <w:tcPr>
            <w:tcW w:w="1767" w:type="dxa"/>
            <w:vAlign w:val="center"/>
          </w:tcPr>
          <w:p w14:paraId="38616689">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变更负责人</w:t>
            </w:r>
          </w:p>
        </w:tc>
        <w:tc>
          <w:tcPr>
            <w:tcW w:w="5008" w:type="dxa"/>
            <w:vAlign w:val="center"/>
          </w:tcPr>
          <w:p w14:paraId="3A93D58B">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若审核通过，则提交变更发布审批。</w:t>
            </w:r>
          </w:p>
          <w:p w14:paraId="7AC30513">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若审核未通过，则退回变更发布提交人对内容进行修改。</w:t>
            </w:r>
          </w:p>
        </w:tc>
      </w:tr>
    </w:tbl>
    <w:p w14:paraId="0DE14C5C">
      <w:pPr>
        <w:spacing w:line="360" w:lineRule="auto"/>
        <w:rPr>
          <w:rFonts w:asciiTheme="minorEastAsia" w:hAnsiTheme="minorEastAsia" w:eastAsiaTheme="minorEastAsia"/>
          <w:szCs w:val="21"/>
          <w:lang w:bidi="en-US"/>
        </w:rPr>
      </w:pPr>
    </w:p>
    <w:p w14:paraId="1084D2D0">
      <w:pPr>
        <w:pStyle w:val="4"/>
        <w:numPr>
          <w:ilvl w:val="2"/>
          <w:numId w:val="2"/>
        </w:numPr>
        <w:spacing w:line="360" w:lineRule="auto"/>
        <w:rPr>
          <w:rFonts w:asciiTheme="minorEastAsia" w:hAnsiTheme="minorEastAsia" w:eastAsiaTheme="minorEastAsia"/>
          <w:sz w:val="21"/>
          <w:szCs w:val="21"/>
          <w:lang w:bidi="en-US"/>
        </w:rPr>
      </w:pPr>
      <w:bookmarkStart w:id="21" w:name="_Toc22873"/>
      <w:r>
        <w:rPr>
          <w:rFonts w:hint="eastAsia" w:asciiTheme="minorEastAsia" w:hAnsiTheme="minorEastAsia" w:eastAsiaTheme="minorEastAsia"/>
          <w:sz w:val="21"/>
          <w:szCs w:val="21"/>
          <w:lang w:bidi="en-US"/>
        </w:rPr>
        <w:t>审批</w:t>
      </w:r>
      <w:bookmarkEnd w:id="21"/>
    </w:p>
    <w:tbl>
      <w:tblPr>
        <w:tblStyle w:val="24"/>
        <w:tblW w:w="9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722"/>
        <w:gridCol w:w="1767"/>
        <w:gridCol w:w="5008"/>
      </w:tblGrid>
      <w:tr w14:paraId="5B05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83" w:type="dxa"/>
            <w:shd w:val="clear" w:color="auto" w:fill="BEBEBE" w:themeFill="background1" w:themeFillShade="BF"/>
            <w:vAlign w:val="center"/>
          </w:tcPr>
          <w:p w14:paraId="2D417569">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722" w:type="dxa"/>
            <w:shd w:val="clear" w:color="auto" w:fill="BEBEBE" w:themeFill="background1" w:themeFillShade="BF"/>
            <w:vAlign w:val="center"/>
          </w:tcPr>
          <w:p w14:paraId="45B71611">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767" w:type="dxa"/>
            <w:shd w:val="clear" w:color="auto" w:fill="BEBEBE" w:themeFill="background1" w:themeFillShade="BF"/>
            <w:vAlign w:val="center"/>
          </w:tcPr>
          <w:p w14:paraId="52870F4A">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5008" w:type="dxa"/>
            <w:shd w:val="clear" w:color="auto" w:fill="BEBEBE" w:themeFill="background1" w:themeFillShade="BF"/>
            <w:vAlign w:val="center"/>
          </w:tcPr>
          <w:p w14:paraId="15162706">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45EE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dxa"/>
            <w:vAlign w:val="center"/>
          </w:tcPr>
          <w:p w14:paraId="22A0FCDD">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3</w:t>
            </w:r>
            <w:r>
              <w:rPr>
                <w:rFonts w:asciiTheme="minorEastAsia" w:hAnsiTheme="minorEastAsia" w:eastAsiaTheme="minorEastAsia"/>
                <w:szCs w:val="21"/>
              </w:rPr>
              <w:t>.</w:t>
            </w:r>
            <w:r>
              <w:rPr>
                <w:rFonts w:hint="eastAsia" w:asciiTheme="minorEastAsia" w:hAnsiTheme="minorEastAsia" w:eastAsiaTheme="minorEastAsia"/>
                <w:szCs w:val="21"/>
              </w:rPr>
              <w:t>1</w:t>
            </w:r>
          </w:p>
        </w:tc>
        <w:tc>
          <w:tcPr>
            <w:tcW w:w="1722" w:type="dxa"/>
            <w:vAlign w:val="center"/>
          </w:tcPr>
          <w:p w14:paraId="10BA0E68">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变更发布审批</w:t>
            </w:r>
          </w:p>
        </w:tc>
        <w:tc>
          <w:tcPr>
            <w:tcW w:w="1767" w:type="dxa"/>
            <w:vAlign w:val="center"/>
          </w:tcPr>
          <w:p w14:paraId="07008E35">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变更审批人</w:t>
            </w:r>
          </w:p>
        </w:tc>
        <w:tc>
          <w:tcPr>
            <w:tcW w:w="5008" w:type="dxa"/>
            <w:vAlign w:val="center"/>
          </w:tcPr>
          <w:p w14:paraId="0C5387AD">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对于重大变更发布，变更负责人需组织变更实施人、变更发布审批人和总经理进行变更发布评审；</w:t>
            </w:r>
          </w:p>
          <w:p w14:paraId="52DBC2B6">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对于一般变更发布，变更负责人需组织变更实施人、变更发布审批人进行变更发布评审；</w:t>
            </w:r>
          </w:p>
          <w:p w14:paraId="612C975E">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变更评审对变更存在的风险或测试结果进行评审，形成变更是否审批通过的决议，以会议纪要或邮件审批形式形成书面证明材料，作为附件由变更审批人上传至管理系统中。</w:t>
            </w:r>
          </w:p>
          <w:p w14:paraId="397628D2">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对于紧急变更发布，可先通过口头审批完成快速的审批流程。</w:t>
            </w:r>
          </w:p>
        </w:tc>
      </w:tr>
      <w:tr w14:paraId="3D4E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dxa"/>
            <w:vAlign w:val="center"/>
          </w:tcPr>
          <w:p w14:paraId="2D75500D">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3</w:t>
            </w:r>
            <w:r>
              <w:rPr>
                <w:rFonts w:asciiTheme="minorEastAsia" w:hAnsiTheme="minorEastAsia" w:eastAsiaTheme="minorEastAsia"/>
                <w:szCs w:val="21"/>
              </w:rPr>
              <w:t>.</w:t>
            </w:r>
            <w:r>
              <w:rPr>
                <w:rFonts w:hint="eastAsia" w:asciiTheme="minorEastAsia" w:hAnsiTheme="minorEastAsia" w:eastAsiaTheme="minorEastAsia"/>
                <w:szCs w:val="21"/>
              </w:rPr>
              <w:t>2</w:t>
            </w:r>
          </w:p>
        </w:tc>
        <w:tc>
          <w:tcPr>
            <w:tcW w:w="1722" w:type="dxa"/>
            <w:vAlign w:val="center"/>
          </w:tcPr>
          <w:p w14:paraId="44567851">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审批是否通过？</w:t>
            </w:r>
          </w:p>
        </w:tc>
        <w:tc>
          <w:tcPr>
            <w:tcW w:w="1767" w:type="dxa"/>
            <w:vAlign w:val="center"/>
          </w:tcPr>
          <w:p w14:paraId="3E50E9E0">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变更审批人</w:t>
            </w:r>
          </w:p>
        </w:tc>
        <w:tc>
          <w:tcPr>
            <w:tcW w:w="5008" w:type="dxa"/>
            <w:vAlign w:val="center"/>
          </w:tcPr>
          <w:p w14:paraId="5E6EE292">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若审批通过，则进入3.1 “变更发布准备和实施”；</w:t>
            </w:r>
          </w:p>
          <w:p w14:paraId="7B091248">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若未通过，则关闭变更发布，关闭代码选择“取消”；</w:t>
            </w:r>
          </w:p>
          <w:p w14:paraId="3FD9B14A">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若需要对变更内容进行修订，则退回1.1，由变更申请人对变更发布申请内容进行修改。</w:t>
            </w:r>
          </w:p>
        </w:tc>
      </w:tr>
    </w:tbl>
    <w:p w14:paraId="573657A9">
      <w:pPr>
        <w:spacing w:line="360" w:lineRule="auto"/>
        <w:rPr>
          <w:rFonts w:asciiTheme="minorEastAsia" w:hAnsiTheme="minorEastAsia" w:eastAsiaTheme="minorEastAsia"/>
          <w:szCs w:val="21"/>
          <w:lang w:bidi="en-US"/>
        </w:rPr>
      </w:pPr>
    </w:p>
    <w:p w14:paraId="6765F5CD">
      <w:pPr>
        <w:pStyle w:val="4"/>
        <w:numPr>
          <w:ilvl w:val="2"/>
          <w:numId w:val="2"/>
        </w:numPr>
        <w:spacing w:line="360" w:lineRule="auto"/>
        <w:rPr>
          <w:rFonts w:asciiTheme="minorEastAsia" w:hAnsiTheme="minorEastAsia" w:eastAsiaTheme="minorEastAsia"/>
          <w:sz w:val="21"/>
          <w:szCs w:val="21"/>
          <w:lang w:bidi="en-US"/>
        </w:rPr>
      </w:pPr>
      <w:bookmarkStart w:id="22" w:name="_Toc967"/>
      <w:r>
        <w:rPr>
          <w:rFonts w:hint="eastAsia" w:asciiTheme="minorEastAsia" w:hAnsiTheme="minorEastAsia" w:eastAsiaTheme="minorEastAsia"/>
          <w:sz w:val="21"/>
          <w:szCs w:val="21"/>
          <w:lang w:bidi="en-US"/>
        </w:rPr>
        <w:t>安排和实施</w:t>
      </w:r>
      <w:bookmarkEnd w:id="22"/>
    </w:p>
    <w:tbl>
      <w:tblPr>
        <w:tblStyle w:val="24"/>
        <w:tblW w:w="9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722"/>
        <w:gridCol w:w="1915"/>
        <w:gridCol w:w="4861"/>
      </w:tblGrid>
      <w:tr w14:paraId="0CF4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82" w:type="dxa"/>
            <w:shd w:val="clear" w:color="auto" w:fill="BEBEBE" w:themeFill="background1" w:themeFillShade="BF"/>
            <w:vAlign w:val="center"/>
          </w:tcPr>
          <w:p w14:paraId="7D15DC29">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722" w:type="dxa"/>
            <w:shd w:val="clear" w:color="auto" w:fill="BEBEBE" w:themeFill="background1" w:themeFillShade="BF"/>
            <w:vAlign w:val="center"/>
          </w:tcPr>
          <w:p w14:paraId="57E8FA1D">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915" w:type="dxa"/>
            <w:shd w:val="clear" w:color="auto" w:fill="BEBEBE" w:themeFill="background1" w:themeFillShade="BF"/>
            <w:vAlign w:val="center"/>
          </w:tcPr>
          <w:p w14:paraId="43FE252B">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861" w:type="dxa"/>
            <w:shd w:val="clear" w:color="auto" w:fill="BEBEBE" w:themeFill="background1" w:themeFillShade="BF"/>
            <w:vAlign w:val="center"/>
          </w:tcPr>
          <w:p w14:paraId="1578B369">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609D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5622E940">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.1</w:t>
            </w:r>
          </w:p>
        </w:tc>
        <w:tc>
          <w:tcPr>
            <w:tcW w:w="1722" w:type="dxa"/>
            <w:vAlign w:val="center"/>
          </w:tcPr>
          <w:p w14:paraId="5C7FE56D">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变更发布准备和实施</w:t>
            </w:r>
          </w:p>
        </w:tc>
        <w:tc>
          <w:tcPr>
            <w:tcW w:w="1915" w:type="dxa"/>
            <w:vAlign w:val="center"/>
          </w:tcPr>
          <w:p w14:paraId="44427123">
            <w:pPr>
              <w:spacing w:before="24" w:beforeLines="10" w:after="24" w:afterLines="10" w:line="360" w:lineRule="auto"/>
              <w:ind w:firstLine="210" w:firstLineChars="100"/>
              <w:rPr>
                <w:rFonts w:asciiTheme="minorEastAsia" w:hAnsiTheme="minorEastAsia" w:eastAsiaTheme="minorEastAsia"/>
                <w:szCs w:val="21"/>
              </w:rPr>
            </w:pPr>
            <w:r>
              <w:rPr>
                <w:rFonts w:hint="eastAsia" w:asciiTheme="minorEastAsia" w:hAnsiTheme="minorEastAsia" w:eastAsiaTheme="minorEastAsia"/>
                <w:szCs w:val="21"/>
              </w:rPr>
              <w:t>变更实施人</w:t>
            </w:r>
          </w:p>
        </w:tc>
        <w:tc>
          <w:tcPr>
            <w:tcW w:w="4861" w:type="dxa"/>
            <w:vAlign w:val="center"/>
          </w:tcPr>
          <w:p w14:paraId="6C7E0CE0">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变更审批通过后，变更实施人对变更发布进行准备。</w:t>
            </w:r>
          </w:p>
          <w:p w14:paraId="62FBB24C">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若涉及到硬件更换，则需由备件管理作为硬件更换的输入；</w:t>
            </w:r>
          </w:p>
          <w:p w14:paraId="2D2EBD4F">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变更实施的具体时间需与机场相关责任人进行协商制定，明确机场方面需配合事项或环境的准备。</w:t>
            </w:r>
          </w:p>
        </w:tc>
      </w:tr>
      <w:tr w14:paraId="1AA82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AE7A567">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.2</w:t>
            </w:r>
          </w:p>
        </w:tc>
        <w:tc>
          <w:tcPr>
            <w:tcW w:w="1722" w:type="dxa"/>
            <w:vAlign w:val="center"/>
          </w:tcPr>
          <w:p w14:paraId="315377BD">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实施是否成功？</w:t>
            </w:r>
          </w:p>
        </w:tc>
        <w:tc>
          <w:tcPr>
            <w:tcW w:w="1915" w:type="dxa"/>
            <w:vAlign w:val="center"/>
          </w:tcPr>
          <w:p w14:paraId="4D3CEC37">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变更实施人</w:t>
            </w:r>
          </w:p>
        </w:tc>
        <w:tc>
          <w:tcPr>
            <w:tcW w:w="4861" w:type="dxa"/>
            <w:vAlign w:val="center"/>
          </w:tcPr>
          <w:p w14:paraId="67BB909B">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变更实施人判断变更发布是否实施成功，若是，则更新变更发布记录；</w:t>
            </w:r>
          </w:p>
          <w:p w14:paraId="5F81F422">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若否，则执行回退计划。</w:t>
            </w:r>
          </w:p>
        </w:tc>
      </w:tr>
      <w:tr w14:paraId="03E1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7F19685">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.3</w:t>
            </w:r>
          </w:p>
        </w:tc>
        <w:tc>
          <w:tcPr>
            <w:tcW w:w="1722" w:type="dxa"/>
            <w:vAlign w:val="center"/>
          </w:tcPr>
          <w:p w14:paraId="00A13099">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更新变更发布记录</w:t>
            </w:r>
          </w:p>
        </w:tc>
        <w:tc>
          <w:tcPr>
            <w:tcW w:w="1915" w:type="dxa"/>
            <w:vAlign w:val="center"/>
          </w:tcPr>
          <w:p w14:paraId="7B4BFE57">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变更实施人</w:t>
            </w:r>
          </w:p>
        </w:tc>
        <w:tc>
          <w:tcPr>
            <w:tcW w:w="4861" w:type="dxa"/>
            <w:vAlign w:val="center"/>
          </w:tcPr>
          <w:p w14:paraId="5ABB9577">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变更实施人更新变更发布实施的过程和结果记录。可上传必要的附件作为证据支持。</w:t>
            </w:r>
          </w:p>
        </w:tc>
      </w:tr>
      <w:tr w14:paraId="57BF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F79DD34">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4</w:t>
            </w:r>
            <w:r>
              <w:rPr>
                <w:rFonts w:asciiTheme="minorEastAsia" w:hAnsiTheme="minorEastAsia" w:eastAsiaTheme="minorEastAsia"/>
                <w:szCs w:val="21"/>
              </w:rPr>
              <w:t>.4</w:t>
            </w:r>
          </w:p>
        </w:tc>
        <w:tc>
          <w:tcPr>
            <w:tcW w:w="1722" w:type="dxa"/>
            <w:vAlign w:val="center"/>
          </w:tcPr>
          <w:p w14:paraId="39C8F889">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执行回退</w:t>
            </w:r>
          </w:p>
        </w:tc>
        <w:tc>
          <w:tcPr>
            <w:tcW w:w="1915" w:type="dxa"/>
            <w:vAlign w:val="center"/>
          </w:tcPr>
          <w:p w14:paraId="5F3B78C1">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变更实施人</w:t>
            </w:r>
          </w:p>
        </w:tc>
        <w:tc>
          <w:tcPr>
            <w:tcW w:w="4861" w:type="dxa"/>
            <w:vAlign w:val="center"/>
          </w:tcPr>
          <w:p w14:paraId="13BF3C46">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若变更实施失败，则按照事先制定的回退计划执行变更发布的回退，如回退到前一版本的系统、恢复备份或撤销新设备的上架等。</w:t>
            </w:r>
          </w:p>
        </w:tc>
      </w:tr>
    </w:tbl>
    <w:p w14:paraId="2DF533DE">
      <w:pPr>
        <w:spacing w:line="360" w:lineRule="auto"/>
        <w:rPr>
          <w:rFonts w:asciiTheme="minorEastAsia" w:hAnsiTheme="minorEastAsia" w:eastAsiaTheme="minorEastAsia"/>
          <w:szCs w:val="21"/>
          <w:lang w:bidi="en-US"/>
        </w:rPr>
      </w:pPr>
    </w:p>
    <w:p w14:paraId="6F68CFBE">
      <w:pPr>
        <w:pStyle w:val="4"/>
        <w:numPr>
          <w:ilvl w:val="2"/>
          <w:numId w:val="2"/>
        </w:numPr>
        <w:spacing w:line="360" w:lineRule="auto"/>
        <w:rPr>
          <w:rFonts w:asciiTheme="minorEastAsia" w:hAnsiTheme="minorEastAsia" w:eastAsiaTheme="minorEastAsia"/>
          <w:sz w:val="21"/>
          <w:szCs w:val="21"/>
          <w:lang w:bidi="en-US"/>
        </w:rPr>
      </w:pPr>
      <w:bookmarkStart w:id="23" w:name="_Toc29936"/>
      <w:r>
        <w:rPr>
          <w:rFonts w:hint="eastAsia" w:asciiTheme="minorEastAsia" w:hAnsiTheme="minorEastAsia" w:eastAsiaTheme="minorEastAsia"/>
          <w:sz w:val="21"/>
          <w:szCs w:val="21"/>
          <w:lang w:bidi="en-US"/>
        </w:rPr>
        <w:t>回顾和关闭</w:t>
      </w:r>
      <w:bookmarkEnd w:id="23"/>
    </w:p>
    <w:tbl>
      <w:tblPr>
        <w:tblStyle w:val="24"/>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657"/>
        <w:gridCol w:w="1843"/>
        <w:gridCol w:w="4678"/>
      </w:tblGrid>
      <w:tr w14:paraId="7C0E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3" w:type="dxa"/>
            <w:shd w:val="clear" w:color="auto" w:fill="BEBEBE" w:themeFill="background1" w:themeFillShade="BF"/>
            <w:vAlign w:val="center"/>
          </w:tcPr>
          <w:p w14:paraId="16022F99">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657" w:type="dxa"/>
            <w:shd w:val="clear" w:color="auto" w:fill="BEBEBE" w:themeFill="background1" w:themeFillShade="BF"/>
            <w:vAlign w:val="center"/>
          </w:tcPr>
          <w:p w14:paraId="4255AB7E">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843" w:type="dxa"/>
            <w:shd w:val="clear" w:color="auto" w:fill="BEBEBE" w:themeFill="background1" w:themeFillShade="BF"/>
            <w:vAlign w:val="center"/>
          </w:tcPr>
          <w:p w14:paraId="3B5609C6">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678" w:type="dxa"/>
            <w:shd w:val="clear" w:color="auto" w:fill="BEBEBE" w:themeFill="background1" w:themeFillShade="BF"/>
            <w:vAlign w:val="center"/>
          </w:tcPr>
          <w:p w14:paraId="17626FD2">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7E95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513F9F95">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5</w:t>
            </w:r>
            <w:r>
              <w:rPr>
                <w:rFonts w:asciiTheme="minorEastAsia" w:hAnsiTheme="minorEastAsia" w:eastAsiaTheme="minorEastAsia"/>
                <w:szCs w:val="21"/>
              </w:rPr>
              <w:t>.1</w:t>
            </w:r>
          </w:p>
        </w:tc>
        <w:tc>
          <w:tcPr>
            <w:tcW w:w="1657" w:type="dxa"/>
            <w:vAlign w:val="center"/>
          </w:tcPr>
          <w:p w14:paraId="003C7B84">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变更发布回顾和关闭</w:t>
            </w:r>
          </w:p>
        </w:tc>
        <w:tc>
          <w:tcPr>
            <w:tcW w:w="1843" w:type="dxa"/>
            <w:vAlign w:val="center"/>
          </w:tcPr>
          <w:p w14:paraId="19A99C43">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变更负责人</w:t>
            </w:r>
          </w:p>
          <w:p w14:paraId="5D590731">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变更申请人</w:t>
            </w:r>
          </w:p>
        </w:tc>
        <w:tc>
          <w:tcPr>
            <w:tcW w:w="4678" w:type="dxa"/>
            <w:vAlign w:val="center"/>
          </w:tcPr>
          <w:p w14:paraId="2D1631F0">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变更负责人会同变更申请人对变更发布的实施结果和预期目标进行验证回顾。对实施失败执行回退的变更发布，需与变更申请人协商重新安排提交新的变更发布申请。</w:t>
            </w:r>
          </w:p>
          <w:p w14:paraId="6FB797BD">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变更负责人对变更过程和结果进行总结，选择关闭代码，对变更进行关闭。</w:t>
            </w:r>
          </w:p>
          <w:p w14:paraId="03C056A0">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变更负责人邮件或其他形式通知相关干系人变更执行完成。</w:t>
            </w:r>
          </w:p>
          <w:p w14:paraId="3EFA35B2">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同时对变更所引起的配置项的信息更改提交配置管理员进行及时更新。</w:t>
            </w:r>
          </w:p>
        </w:tc>
      </w:tr>
    </w:tbl>
    <w:p w14:paraId="7A8D19C8">
      <w:pPr>
        <w:pStyle w:val="2"/>
        <w:numPr>
          <w:ilvl w:val="0"/>
          <w:numId w:val="2"/>
        </w:numPr>
        <w:spacing w:line="360" w:lineRule="auto"/>
        <w:rPr>
          <w:rFonts w:asciiTheme="minorEastAsia" w:hAnsiTheme="minorEastAsia" w:eastAsiaTheme="minorEastAsia"/>
          <w:sz w:val="21"/>
          <w:szCs w:val="21"/>
          <w:lang w:bidi="en-US"/>
        </w:rPr>
      </w:pPr>
      <w:bookmarkStart w:id="24" w:name="_Toc14219"/>
      <w:r>
        <w:rPr>
          <w:rFonts w:hint="eastAsia" w:asciiTheme="minorEastAsia" w:hAnsiTheme="minorEastAsia" w:eastAsiaTheme="minorEastAsia"/>
          <w:sz w:val="21"/>
          <w:szCs w:val="21"/>
          <w:lang w:bidi="en-US"/>
        </w:rPr>
        <w:t>关键绩效指标</w:t>
      </w:r>
      <w:bookmarkEnd w:id="24"/>
    </w:p>
    <w:tbl>
      <w:tblPr>
        <w:tblStyle w:val="2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418"/>
        <w:gridCol w:w="3402"/>
        <w:gridCol w:w="2126"/>
      </w:tblGrid>
      <w:tr w14:paraId="4350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blHeader/>
        </w:trPr>
        <w:tc>
          <w:tcPr>
            <w:tcW w:w="1951" w:type="dxa"/>
            <w:shd w:val="clear" w:color="auto" w:fill="CCCCCC"/>
            <w:vAlign w:val="center"/>
          </w:tcPr>
          <w:p w14:paraId="3063CE5F">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绩效指标</w:t>
            </w:r>
          </w:p>
        </w:tc>
        <w:tc>
          <w:tcPr>
            <w:tcW w:w="1418" w:type="dxa"/>
            <w:shd w:val="clear" w:color="auto" w:fill="CCCCCC"/>
            <w:vAlign w:val="center"/>
          </w:tcPr>
          <w:p w14:paraId="70CD2F79">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目标值</w:t>
            </w:r>
          </w:p>
        </w:tc>
        <w:tc>
          <w:tcPr>
            <w:tcW w:w="3402" w:type="dxa"/>
            <w:shd w:val="clear" w:color="auto" w:fill="CCCCCC"/>
            <w:vAlign w:val="center"/>
          </w:tcPr>
          <w:p w14:paraId="111C4B2F">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衡量方式</w:t>
            </w:r>
          </w:p>
        </w:tc>
        <w:tc>
          <w:tcPr>
            <w:tcW w:w="2126" w:type="dxa"/>
            <w:shd w:val="clear" w:color="auto" w:fill="CCCCCC"/>
            <w:vAlign w:val="center"/>
          </w:tcPr>
          <w:p w14:paraId="40A977FE">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负责人</w:t>
            </w:r>
          </w:p>
        </w:tc>
      </w:tr>
      <w:tr w14:paraId="1D3BF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951" w:type="dxa"/>
            <w:vAlign w:val="center"/>
          </w:tcPr>
          <w:p w14:paraId="4A8253B5">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变更</w:t>
            </w:r>
            <w:r>
              <w:rPr>
                <w:sz w:val="21"/>
                <w:szCs w:val="21"/>
                <w:lang w:val="en-GB"/>
              </w:rPr>
              <w:t>总数</w:t>
            </w:r>
          </w:p>
        </w:tc>
        <w:tc>
          <w:tcPr>
            <w:tcW w:w="1418" w:type="dxa"/>
            <w:vAlign w:val="center"/>
          </w:tcPr>
          <w:p w14:paraId="4BF74A7D">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r>
              <w:rPr>
                <w:rFonts w:hint="eastAsia" w:cs="Arial" w:asciiTheme="minorEastAsia" w:hAnsiTheme="minorEastAsia" w:eastAsiaTheme="minorEastAsia"/>
                <w:bCs/>
                <w:color w:val="000000"/>
                <w:sz w:val="21"/>
                <w:szCs w:val="21"/>
                <w:highlight w:val="green"/>
              </w:rPr>
              <w:t>确认指标后再确认</w:t>
            </w:r>
          </w:p>
        </w:tc>
        <w:tc>
          <w:tcPr>
            <w:tcW w:w="3402" w:type="dxa"/>
            <w:vAlign w:val="center"/>
          </w:tcPr>
          <w:p w14:paraId="4D3E4CA0">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变更数 /</w:t>
            </w:r>
            <w:r>
              <w:rPr>
                <w:sz w:val="21"/>
                <w:szCs w:val="21"/>
                <w:lang w:val="en-GB"/>
              </w:rPr>
              <w:t xml:space="preserve"> 统计周期</w:t>
            </w:r>
          </w:p>
        </w:tc>
        <w:tc>
          <w:tcPr>
            <w:tcW w:w="2126" w:type="dxa"/>
            <w:vAlign w:val="center"/>
          </w:tcPr>
          <w:p w14:paraId="4A2C34C9">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r>
              <w:rPr>
                <w:rFonts w:hint="eastAsia" w:cs="Arial" w:asciiTheme="minorEastAsia" w:hAnsiTheme="minorEastAsia" w:eastAsiaTheme="minorEastAsia"/>
                <w:bCs/>
                <w:color w:val="000000"/>
                <w:sz w:val="21"/>
                <w:szCs w:val="21"/>
                <w:highlight w:val="green"/>
              </w:rPr>
              <w:t>确认指标后再确认</w:t>
            </w:r>
          </w:p>
        </w:tc>
      </w:tr>
      <w:tr w14:paraId="1497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951" w:type="dxa"/>
            <w:vAlign w:val="center"/>
          </w:tcPr>
          <w:p w14:paraId="7223EF73">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变更</w:t>
            </w:r>
            <w:r>
              <w:rPr>
                <w:sz w:val="21"/>
                <w:szCs w:val="21"/>
                <w:lang w:val="en-GB"/>
              </w:rPr>
              <w:t>关闭的数量</w:t>
            </w:r>
            <w:r>
              <w:rPr>
                <w:rFonts w:hint="eastAsia"/>
                <w:sz w:val="21"/>
                <w:szCs w:val="21"/>
                <w:lang w:val="en-GB"/>
              </w:rPr>
              <w:t>/比率</w:t>
            </w:r>
          </w:p>
        </w:tc>
        <w:tc>
          <w:tcPr>
            <w:tcW w:w="1418" w:type="dxa"/>
            <w:vAlign w:val="center"/>
          </w:tcPr>
          <w:p w14:paraId="6E58796C">
            <w:pPr>
              <w:pStyle w:val="21"/>
              <w:spacing w:before="0" w:beforeAutospacing="0" w:after="0" w:afterAutospacing="0" w:line="360" w:lineRule="auto"/>
              <w:jc w:val="both"/>
              <w:rPr>
                <w:rFonts w:cs="Arial" w:asciiTheme="minorEastAsia" w:hAnsiTheme="minorEastAsia" w:eastAsiaTheme="minorEastAsia"/>
                <w:color w:val="000000"/>
                <w:sz w:val="21"/>
                <w:szCs w:val="21"/>
              </w:rPr>
            </w:pPr>
          </w:p>
        </w:tc>
        <w:tc>
          <w:tcPr>
            <w:tcW w:w="3402" w:type="dxa"/>
            <w:vAlign w:val="center"/>
          </w:tcPr>
          <w:p w14:paraId="47B59F95">
            <w:pPr>
              <w:spacing w:before="24" w:beforeLines="10" w:after="24" w:afterLines="10"/>
              <w:rPr>
                <w:rFonts w:ascii="宋体" w:hAnsi="宋体"/>
                <w:szCs w:val="21"/>
                <w:lang w:val="en-GB"/>
              </w:rPr>
            </w:pPr>
            <w:r>
              <w:rPr>
                <w:rFonts w:hint="eastAsia"/>
                <w:szCs w:val="21"/>
                <w:lang w:val="en-GB"/>
              </w:rPr>
              <w:t>关闭变更数 /</w:t>
            </w:r>
            <w:r>
              <w:rPr>
                <w:szCs w:val="21"/>
                <w:lang w:val="en-GB"/>
              </w:rPr>
              <w:t xml:space="preserve"> </w:t>
            </w:r>
            <w:r>
              <w:rPr>
                <w:rFonts w:ascii="宋体" w:hAnsi="宋体"/>
                <w:szCs w:val="21"/>
                <w:lang w:val="en-GB"/>
              </w:rPr>
              <w:t>统计周期</w:t>
            </w:r>
          </w:p>
          <w:p w14:paraId="0EACC532">
            <w:pPr>
              <w:spacing w:before="24" w:beforeLines="10" w:after="24" w:afterLines="10"/>
              <w:rPr>
                <w:rFonts w:cs="Arial" w:asciiTheme="minorEastAsia" w:hAnsiTheme="minorEastAsia" w:eastAsiaTheme="minorEastAsia"/>
                <w:color w:val="000000"/>
                <w:szCs w:val="21"/>
              </w:rPr>
            </w:pPr>
            <w:r>
              <w:rPr>
                <w:rFonts w:ascii="宋体" w:hAnsi="宋体"/>
                <w:szCs w:val="21"/>
                <w:lang w:val="en-GB"/>
              </w:rPr>
              <w:t xml:space="preserve">数量 / </w:t>
            </w:r>
            <w:r>
              <w:rPr>
                <w:rFonts w:hint="eastAsia" w:ascii="宋体" w:hAnsi="宋体"/>
                <w:szCs w:val="21"/>
                <w:lang w:val="en-GB"/>
              </w:rPr>
              <w:t>变更总数</w:t>
            </w:r>
            <w:r>
              <w:rPr>
                <w:rFonts w:ascii="宋体" w:hAnsi="宋体"/>
                <w:szCs w:val="21"/>
                <w:lang w:val="en-GB"/>
              </w:rPr>
              <w:t xml:space="preserve">  × 100 %</w:t>
            </w:r>
          </w:p>
        </w:tc>
        <w:tc>
          <w:tcPr>
            <w:tcW w:w="2126" w:type="dxa"/>
            <w:vAlign w:val="center"/>
          </w:tcPr>
          <w:p w14:paraId="299C7734">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2FE24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78308EDC">
            <w:pPr>
              <w:pStyle w:val="21"/>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紧急变更的数量/比率</w:t>
            </w:r>
          </w:p>
        </w:tc>
        <w:tc>
          <w:tcPr>
            <w:tcW w:w="1418" w:type="dxa"/>
            <w:vAlign w:val="center"/>
          </w:tcPr>
          <w:p w14:paraId="1403FE96">
            <w:pPr>
              <w:pStyle w:val="21"/>
              <w:spacing w:before="0" w:beforeAutospacing="0" w:after="0" w:afterAutospacing="0" w:line="360" w:lineRule="auto"/>
              <w:jc w:val="both"/>
              <w:rPr>
                <w:rFonts w:cs="Arial" w:asciiTheme="minorEastAsia" w:hAnsiTheme="minorEastAsia" w:eastAsiaTheme="minorEastAsia"/>
                <w:sz w:val="21"/>
                <w:szCs w:val="21"/>
              </w:rPr>
            </w:pPr>
          </w:p>
        </w:tc>
        <w:tc>
          <w:tcPr>
            <w:tcW w:w="3402" w:type="dxa"/>
            <w:vAlign w:val="center"/>
          </w:tcPr>
          <w:p w14:paraId="004B965B">
            <w:pPr>
              <w:spacing w:before="24" w:beforeLines="10" w:after="24" w:afterLines="10"/>
              <w:rPr>
                <w:rFonts w:ascii="宋体" w:hAnsi="宋体"/>
                <w:szCs w:val="21"/>
                <w:lang w:val="en-GB"/>
              </w:rPr>
            </w:pPr>
            <w:r>
              <w:rPr>
                <w:rFonts w:hint="eastAsia"/>
                <w:szCs w:val="21"/>
                <w:lang w:val="en-GB"/>
              </w:rPr>
              <w:t>紧急变更数 /</w:t>
            </w:r>
            <w:r>
              <w:rPr>
                <w:szCs w:val="21"/>
                <w:lang w:val="en-GB"/>
              </w:rPr>
              <w:t xml:space="preserve"> </w:t>
            </w:r>
            <w:r>
              <w:rPr>
                <w:rFonts w:ascii="宋体" w:hAnsi="宋体"/>
                <w:szCs w:val="21"/>
                <w:lang w:val="en-GB"/>
              </w:rPr>
              <w:t>统计周期</w:t>
            </w:r>
          </w:p>
          <w:p w14:paraId="7D9AE502">
            <w:pPr>
              <w:pStyle w:val="21"/>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74F27078">
            <w:pPr>
              <w:pStyle w:val="21"/>
              <w:spacing w:before="0" w:beforeAutospacing="0" w:after="0" w:afterAutospacing="0" w:line="360" w:lineRule="auto"/>
              <w:jc w:val="both"/>
              <w:rPr>
                <w:rFonts w:cs="Arial" w:asciiTheme="minorEastAsia" w:hAnsiTheme="minorEastAsia" w:eastAsiaTheme="minorEastAsia"/>
                <w:bCs/>
                <w:sz w:val="21"/>
                <w:szCs w:val="21"/>
              </w:rPr>
            </w:pPr>
          </w:p>
        </w:tc>
      </w:tr>
      <w:tr w14:paraId="1E14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269E7124">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被拒绝的变更数量/比率</w:t>
            </w:r>
          </w:p>
        </w:tc>
        <w:tc>
          <w:tcPr>
            <w:tcW w:w="1418" w:type="dxa"/>
            <w:vAlign w:val="center"/>
          </w:tcPr>
          <w:p w14:paraId="5A484DD9">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31F53F6E">
            <w:pPr>
              <w:spacing w:before="24" w:beforeLines="10" w:after="24" w:afterLines="10"/>
              <w:rPr>
                <w:rFonts w:ascii="宋体" w:hAnsi="宋体"/>
                <w:szCs w:val="21"/>
                <w:lang w:val="en-GB"/>
              </w:rPr>
            </w:pPr>
            <w:r>
              <w:rPr>
                <w:rFonts w:hint="eastAsia"/>
                <w:szCs w:val="21"/>
                <w:lang w:val="en-GB"/>
              </w:rPr>
              <w:t>被拒绝变更数 /</w:t>
            </w:r>
            <w:r>
              <w:rPr>
                <w:szCs w:val="21"/>
                <w:lang w:val="en-GB"/>
              </w:rPr>
              <w:t xml:space="preserve"> </w:t>
            </w:r>
            <w:r>
              <w:rPr>
                <w:rFonts w:ascii="宋体" w:hAnsi="宋体"/>
                <w:szCs w:val="21"/>
                <w:lang w:val="en-GB"/>
              </w:rPr>
              <w:t>统计周期</w:t>
            </w:r>
          </w:p>
          <w:p w14:paraId="00F52514">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2A8491E7">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5BE4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37A34CE0">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被退回变更请求单</w:t>
            </w:r>
            <w:r>
              <w:rPr>
                <w:sz w:val="21"/>
                <w:szCs w:val="21"/>
                <w:lang w:val="en-GB"/>
              </w:rPr>
              <w:t>的数量/比率</w:t>
            </w:r>
          </w:p>
        </w:tc>
        <w:tc>
          <w:tcPr>
            <w:tcW w:w="1418" w:type="dxa"/>
            <w:vAlign w:val="center"/>
          </w:tcPr>
          <w:p w14:paraId="54F63193">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50A2E064">
            <w:pPr>
              <w:spacing w:before="24" w:beforeLines="10" w:after="24" w:afterLines="10"/>
              <w:rPr>
                <w:rFonts w:ascii="宋体" w:hAnsi="宋体"/>
                <w:szCs w:val="21"/>
                <w:lang w:val="en-GB"/>
              </w:rPr>
            </w:pPr>
            <w:r>
              <w:rPr>
                <w:rFonts w:hint="eastAsia"/>
                <w:szCs w:val="21"/>
                <w:lang w:val="en-GB"/>
              </w:rPr>
              <w:t>被退回变更发布数 /</w:t>
            </w:r>
            <w:r>
              <w:rPr>
                <w:szCs w:val="21"/>
                <w:lang w:val="en-GB"/>
              </w:rPr>
              <w:t xml:space="preserve"> </w:t>
            </w:r>
            <w:r>
              <w:rPr>
                <w:rFonts w:ascii="宋体" w:hAnsi="宋体"/>
                <w:szCs w:val="21"/>
                <w:lang w:val="en-GB"/>
              </w:rPr>
              <w:t>统计周期</w:t>
            </w:r>
          </w:p>
          <w:p w14:paraId="70A33B82">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3DB2BCBD">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36B70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659CBC80">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变更</w:t>
            </w:r>
            <w:r>
              <w:rPr>
                <w:sz w:val="21"/>
                <w:szCs w:val="21"/>
                <w:lang w:val="en-GB"/>
              </w:rPr>
              <w:t>成功关闭的数量/比率</w:t>
            </w:r>
          </w:p>
        </w:tc>
        <w:tc>
          <w:tcPr>
            <w:tcW w:w="1418" w:type="dxa"/>
            <w:vAlign w:val="center"/>
          </w:tcPr>
          <w:p w14:paraId="04E4FD66">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2C4B8EAB">
            <w:pPr>
              <w:spacing w:before="24" w:beforeLines="10" w:after="24" w:afterLines="10"/>
              <w:rPr>
                <w:rFonts w:ascii="宋体" w:hAnsi="宋体"/>
                <w:szCs w:val="21"/>
                <w:lang w:val="en-GB"/>
              </w:rPr>
            </w:pPr>
            <w:r>
              <w:rPr>
                <w:rFonts w:hint="eastAsia"/>
                <w:szCs w:val="21"/>
                <w:lang w:val="en-GB"/>
              </w:rPr>
              <w:t>成功变更发布数 /</w:t>
            </w:r>
            <w:r>
              <w:rPr>
                <w:szCs w:val="21"/>
                <w:lang w:val="en-GB"/>
              </w:rPr>
              <w:t xml:space="preserve"> </w:t>
            </w:r>
            <w:r>
              <w:rPr>
                <w:rFonts w:ascii="宋体" w:hAnsi="宋体"/>
                <w:szCs w:val="21"/>
                <w:lang w:val="en-GB"/>
              </w:rPr>
              <w:t>统计周期</w:t>
            </w:r>
          </w:p>
          <w:p w14:paraId="42A1269E">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03128806">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29AEC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16674F41">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变更失败的数量/比率</w:t>
            </w:r>
          </w:p>
        </w:tc>
        <w:tc>
          <w:tcPr>
            <w:tcW w:w="1418" w:type="dxa"/>
            <w:vAlign w:val="center"/>
          </w:tcPr>
          <w:p w14:paraId="2438D94A">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6090C055">
            <w:pPr>
              <w:spacing w:before="24" w:beforeLines="10" w:after="24" w:afterLines="10"/>
              <w:rPr>
                <w:rFonts w:ascii="宋体" w:hAnsi="宋体"/>
                <w:szCs w:val="21"/>
                <w:lang w:val="en-GB"/>
              </w:rPr>
            </w:pPr>
            <w:r>
              <w:rPr>
                <w:rFonts w:hint="eastAsia"/>
                <w:szCs w:val="21"/>
                <w:lang w:val="en-GB"/>
              </w:rPr>
              <w:t>失败变更发布数 /</w:t>
            </w:r>
            <w:r>
              <w:rPr>
                <w:szCs w:val="21"/>
                <w:lang w:val="en-GB"/>
              </w:rPr>
              <w:t xml:space="preserve"> </w:t>
            </w:r>
            <w:r>
              <w:rPr>
                <w:rFonts w:ascii="宋体" w:hAnsi="宋体"/>
                <w:szCs w:val="21"/>
                <w:lang w:val="en-GB"/>
              </w:rPr>
              <w:t>统计周期</w:t>
            </w:r>
          </w:p>
          <w:p w14:paraId="713D5146">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2980F1C1">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1618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5F322464">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附带方案的变更的数量/比率</w:t>
            </w:r>
          </w:p>
        </w:tc>
        <w:tc>
          <w:tcPr>
            <w:tcW w:w="1418" w:type="dxa"/>
            <w:vAlign w:val="center"/>
          </w:tcPr>
          <w:p w14:paraId="0EF14161">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0CEF416C">
            <w:pPr>
              <w:spacing w:before="24" w:beforeLines="10" w:after="24" w:afterLines="10"/>
              <w:rPr>
                <w:rFonts w:ascii="宋体" w:hAnsi="宋体"/>
                <w:szCs w:val="21"/>
                <w:lang w:val="en-GB"/>
              </w:rPr>
            </w:pPr>
            <w:r>
              <w:rPr>
                <w:rFonts w:hint="eastAsia"/>
                <w:szCs w:val="21"/>
                <w:lang w:val="en-GB"/>
              </w:rPr>
              <w:t>附带方案的变更数 /</w:t>
            </w:r>
            <w:r>
              <w:rPr>
                <w:szCs w:val="21"/>
                <w:lang w:val="en-GB"/>
              </w:rPr>
              <w:t xml:space="preserve"> </w:t>
            </w:r>
            <w:r>
              <w:rPr>
                <w:rFonts w:ascii="宋体" w:hAnsi="宋体"/>
                <w:szCs w:val="21"/>
                <w:lang w:val="en-GB"/>
              </w:rPr>
              <w:t>统计周期</w:t>
            </w:r>
          </w:p>
          <w:p w14:paraId="62035831">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1B8231A6">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603E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2F8C4308">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经过风险评估的变更的数量/比率</w:t>
            </w:r>
          </w:p>
        </w:tc>
        <w:tc>
          <w:tcPr>
            <w:tcW w:w="1418" w:type="dxa"/>
            <w:vAlign w:val="center"/>
          </w:tcPr>
          <w:p w14:paraId="34172FF1">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619E1EFB">
            <w:pPr>
              <w:spacing w:before="24" w:beforeLines="10" w:after="24" w:afterLines="10"/>
              <w:rPr>
                <w:rFonts w:ascii="宋体" w:hAnsi="宋体"/>
                <w:szCs w:val="21"/>
                <w:lang w:val="en-GB"/>
              </w:rPr>
            </w:pPr>
            <w:r>
              <w:rPr>
                <w:rFonts w:hint="eastAsia"/>
                <w:szCs w:val="21"/>
                <w:lang w:val="en-GB"/>
              </w:rPr>
              <w:t>经过风险评估变更数 /</w:t>
            </w:r>
            <w:r>
              <w:rPr>
                <w:szCs w:val="21"/>
                <w:lang w:val="en-GB"/>
              </w:rPr>
              <w:t xml:space="preserve"> </w:t>
            </w:r>
            <w:r>
              <w:rPr>
                <w:rFonts w:ascii="宋体" w:hAnsi="宋体"/>
                <w:szCs w:val="21"/>
                <w:lang w:val="en-GB"/>
              </w:rPr>
              <w:t>统计周期</w:t>
            </w:r>
          </w:p>
          <w:p w14:paraId="23481D26">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0A44F06B">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6BC1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5B196162">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附带测试计划的变更的数量/比率</w:t>
            </w:r>
          </w:p>
        </w:tc>
        <w:tc>
          <w:tcPr>
            <w:tcW w:w="1418" w:type="dxa"/>
            <w:vAlign w:val="center"/>
          </w:tcPr>
          <w:p w14:paraId="6CF8D76A">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76656D80">
            <w:pPr>
              <w:spacing w:before="24" w:beforeLines="10" w:after="24" w:afterLines="10"/>
              <w:rPr>
                <w:rFonts w:ascii="宋体" w:hAnsi="宋体"/>
                <w:szCs w:val="21"/>
                <w:lang w:val="en-GB"/>
              </w:rPr>
            </w:pPr>
            <w:r>
              <w:rPr>
                <w:rFonts w:hint="eastAsia"/>
                <w:szCs w:val="21"/>
                <w:lang w:val="en-GB"/>
              </w:rPr>
              <w:t>附带测试计划的变更数 /</w:t>
            </w:r>
            <w:r>
              <w:rPr>
                <w:szCs w:val="21"/>
                <w:lang w:val="en-GB"/>
              </w:rPr>
              <w:t xml:space="preserve"> </w:t>
            </w:r>
            <w:r>
              <w:rPr>
                <w:rFonts w:ascii="宋体" w:hAnsi="宋体"/>
                <w:szCs w:val="21"/>
                <w:lang w:val="en-GB"/>
              </w:rPr>
              <w:t>统计周期</w:t>
            </w:r>
          </w:p>
          <w:p w14:paraId="5AA9E7B5">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3048FF5A">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6E7C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49A881B4">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附带紧急回退计划的变更的数量/比率</w:t>
            </w:r>
          </w:p>
        </w:tc>
        <w:tc>
          <w:tcPr>
            <w:tcW w:w="1418" w:type="dxa"/>
            <w:vAlign w:val="center"/>
          </w:tcPr>
          <w:p w14:paraId="7D7BEEFA">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41D4195E">
            <w:pPr>
              <w:spacing w:before="24" w:beforeLines="10" w:after="24" w:afterLines="10"/>
              <w:rPr>
                <w:rFonts w:ascii="宋体" w:hAnsi="宋体"/>
                <w:szCs w:val="21"/>
                <w:lang w:val="en-GB"/>
              </w:rPr>
            </w:pPr>
            <w:r>
              <w:rPr>
                <w:rFonts w:hint="eastAsia"/>
                <w:szCs w:val="21"/>
                <w:lang w:val="en-GB"/>
              </w:rPr>
              <w:t>附带紧急回退计划的变更数 /</w:t>
            </w:r>
            <w:r>
              <w:rPr>
                <w:szCs w:val="21"/>
                <w:lang w:val="en-GB"/>
              </w:rPr>
              <w:t xml:space="preserve"> </w:t>
            </w:r>
            <w:r>
              <w:rPr>
                <w:rFonts w:ascii="宋体" w:hAnsi="宋体"/>
                <w:szCs w:val="21"/>
                <w:lang w:val="en-GB"/>
              </w:rPr>
              <w:t>统计周期</w:t>
            </w:r>
          </w:p>
          <w:p w14:paraId="7D676208">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39A07C56">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21E7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0468E299">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超期完成的变更数量/比率</w:t>
            </w:r>
          </w:p>
        </w:tc>
        <w:tc>
          <w:tcPr>
            <w:tcW w:w="1418" w:type="dxa"/>
            <w:vAlign w:val="center"/>
          </w:tcPr>
          <w:p w14:paraId="60F3C99B">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24EBF25D">
            <w:pPr>
              <w:spacing w:before="24" w:beforeLines="10" w:after="24" w:afterLines="10"/>
              <w:rPr>
                <w:rFonts w:ascii="宋体" w:hAnsi="宋体"/>
                <w:szCs w:val="21"/>
                <w:lang w:val="en-GB"/>
              </w:rPr>
            </w:pPr>
            <w:r>
              <w:rPr>
                <w:rFonts w:hint="eastAsia"/>
                <w:szCs w:val="21"/>
                <w:lang w:val="en-GB"/>
              </w:rPr>
              <w:t>超期完成变更发布数 /</w:t>
            </w:r>
            <w:r>
              <w:rPr>
                <w:szCs w:val="21"/>
                <w:lang w:val="en-GB"/>
              </w:rPr>
              <w:t xml:space="preserve"> </w:t>
            </w:r>
            <w:r>
              <w:rPr>
                <w:rFonts w:ascii="宋体" w:hAnsi="宋体"/>
                <w:szCs w:val="21"/>
                <w:lang w:val="en-GB"/>
              </w:rPr>
              <w:t>统计周期</w:t>
            </w:r>
          </w:p>
          <w:p w14:paraId="3D54824E">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sz w:val="21"/>
                <w:szCs w:val="21"/>
                <w:lang w:val="en-GB"/>
              </w:rPr>
              <w:t xml:space="preserve">数量 / </w:t>
            </w:r>
            <w:r>
              <w:rPr>
                <w:rFonts w:hint="eastAsia"/>
                <w:sz w:val="21"/>
                <w:szCs w:val="21"/>
                <w:lang w:val="en-GB"/>
              </w:rPr>
              <w:t>变更总数</w:t>
            </w:r>
            <w:r>
              <w:rPr>
                <w:sz w:val="21"/>
                <w:szCs w:val="21"/>
                <w:lang w:val="en-GB"/>
              </w:rPr>
              <w:t xml:space="preserve">  × 100 %</w:t>
            </w:r>
          </w:p>
        </w:tc>
        <w:tc>
          <w:tcPr>
            <w:tcW w:w="2126" w:type="dxa"/>
            <w:vAlign w:val="center"/>
          </w:tcPr>
          <w:p w14:paraId="3D3138BB">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24E8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534D588B">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rPr>
              <w:t>变更负责人平均处理变更数量</w:t>
            </w:r>
          </w:p>
        </w:tc>
        <w:tc>
          <w:tcPr>
            <w:tcW w:w="1418" w:type="dxa"/>
            <w:vAlign w:val="center"/>
          </w:tcPr>
          <w:p w14:paraId="0D8A38A3">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3201668D">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rPr>
              <w:t>变更总数 / 变更负责人数量</w:t>
            </w:r>
          </w:p>
        </w:tc>
        <w:tc>
          <w:tcPr>
            <w:tcW w:w="2126" w:type="dxa"/>
            <w:vAlign w:val="center"/>
          </w:tcPr>
          <w:p w14:paraId="38AB93B8">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3391B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31CECE63">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客户对变更计划过程的投诉数量</w:t>
            </w:r>
          </w:p>
        </w:tc>
        <w:tc>
          <w:tcPr>
            <w:tcW w:w="1418" w:type="dxa"/>
            <w:vAlign w:val="center"/>
          </w:tcPr>
          <w:p w14:paraId="6F7ECBF7">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24A0C158">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因变更计划导致投诉数量 </w:t>
            </w:r>
            <w:r>
              <w:rPr>
                <w:rFonts w:cs="Arial" w:asciiTheme="minorEastAsia" w:hAnsiTheme="minorEastAsia" w:eastAsiaTheme="minorEastAsia"/>
                <w:color w:val="000000"/>
                <w:sz w:val="21"/>
                <w:szCs w:val="21"/>
              </w:rPr>
              <w:t xml:space="preserve">/ </w:t>
            </w:r>
            <w:r>
              <w:rPr>
                <w:rFonts w:hint="eastAsia" w:cs="Arial" w:asciiTheme="minorEastAsia" w:hAnsiTheme="minorEastAsia" w:eastAsiaTheme="minorEastAsia"/>
                <w:color w:val="000000"/>
                <w:sz w:val="21"/>
                <w:szCs w:val="21"/>
              </w:rPr>
              <w:t>周期</w:t>
            </w:r>
          </w:p>
        </w:tc>
        <w:tc>
          <w:tcPr>
            <w:tcW w:w="2126" w:type="dxa"/>
            <w:vAlign w:val="center"/>
          </w:tcPr>
          <w:p w14:paraId="3B53ABAD">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435B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33E34745">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客户对变更实施发布过程的投诉数量</w:t>
            </w:r>
          </w:p>
        </w:tc>
        <w:tc>
          <w:tcPr>
            <w:tcW w:w="1418" w:type="dxa"/>
            <w:vAlign w:val="center"/>
          </w:tcPr>
          <w:p w14:paraId="1FF38FF9">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6AC70662">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因变更发布过程导致投诉数量 </w:t>
            </w:r>
            <w:r>
              <w:rPr>
                <w:rFonts w:cs="Arial" w:asciiTheme="minorEastAsia" w:hAnsiTheme="minorEastAsia" w:eastAsiaTheme="minorEastAsia"/>
                <w:color w:val="000000"/>
                <w:sz w:val="21"/>
                <w:szCs w:val="21"/>
              </w:rPr>
              <w:t xml:space="preserve">/ </w:t>
            </w:r>
            <w:r>
              <w:rPr>
                <w:rFonts w:hint="eastAsia" w:cs="Arial" w:asciiTheme="minorEastAsia" w:hAnsiTheme="minorEastAsia" w:eastAsiaTheme="minorEastAsia"/>
                <w:color w:val="000000"/>
                <w:sz w:val="21"/>
                <w:szCs w:val="21"/>
              </w:rPr>
              <w:t>周期</w:t>
            </w:r>
          </w:p>
        </w:tc>
        <w:tc>
          <w:tcPr>
            <w:tcW w:w="2126" w:type="dxa"/>
            <w:vAlign w:val="center"/>
          </w:tcPr>
          <w:p w14:paraId="6C75B19E">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7499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6D12A848">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流程执行人对流程环节的投诉数量</w:t>
            </w:r>
          </w:p>
        </w:tc>
        <w:tc>
          <w:tcPr>
            <w:tcW w:w="1418" w:type="dxa"/>
            <w:vAlign w:val="center"/>
          </w:tcPr>
          <w:p w14:paraId="4E9A1BA0">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1C9F48CD">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因变更流程导致投诉数量 </w:t>
            </w:r>
            <w:r>
              <w:rPr>
                <w:rFonts w:cs="Arial" w:asciiTheme="minorEastAsia" w:hAnsiTheme="minorEastAsia" w:eastAsiaTheme="minorEastAsia"/>
                <w:color w:val="000000"/>
                <w:sz w:val="21"/>
                <w:szCs w:val="21"/>
              </w:rPr>
              <w:t xml:space="preserve">/ </w:t>
            </w:r>
            <w:r>
              <w:rPr>
                <w:rFonts w:hint="eastAsia" w:cs="Arial" w:asciiTheme="minorEastAsia" w:hAnsiTheme="minorEastAsia" w:eastAsiaTheme="minorEastAsia"/>
                <w:color w:val="000000"/>
                <w:sz w:val="21"/>
                <w:szCs w:val="21"/>
              </w:rPr>
              <w:t>周期</w:t>
            </w:r>
          </w:p>
        </w:tc>
        <w:tc>
          <w:tcPr>
            <w:tcW w:w="2126" w:type="dxa"/>
            <w:vAlign w:val="center"/>
          </w:tcPr>
          <w:p w14:paraId="730FE101">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r w14:paraId="6216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51" w:type="dxa"/>
            <w:vAlign w:val="center"/>
          </w:tcPr>
          <w:p w14:paraId="07E19EE3">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sz w:val="21"/>
                <w:szCs w:val="21"/>
                <w:lang w:val="en-GB"/>
              </w:rPr>
              <w:t>其他流程对变更发布管理流程接口的投诉数量</w:t>
            </w:r>
          </w:p>
        </w:tc>
        <w:tc>
          <w:tcPr>
            <w:tcW w:w="1418" w:type="dxa"/>
            <w:vAlign w:val="center"/>
          </w:tcPr>
          <w:p w14:paraId="7B1C7A69">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c>
          <w:tcPr>
            <w:tcW w:w="3402" w:type="dxa"/>
            <w:vAlign w:val="center"/>
          </w:tcPr>
          <w:p w14:paraId="1608D8EF">
            <w:pPr>
              <w:pStyle w:val="21"/>
              <w:spacing w:before="0" w:beforeAutospacing="0" w:after="0" w:afterAutospacing="0" w:line="360" w:lineRule="auto"/>
              <w:jc w:val="both"/>
              <w:rPr>
                <w:rFonts w:cs="Arial" w:asciiTheme="minorEastAsia" w:hAnsiTheme="minorEastAsia" w:eastAsiaTheme="minorEastAsia"/>
                <w:color w:val="000000"/>
                <w:sz w:val="21"/>
                <w:szCs w:val="21"/>
              </w:rPr>
            </w:pPr>
            <w:r>
              <w:rPr>
                <w:rFonts w:hint="eastAsia" w:cs="Arial" w:asciiTheme="minorEastAsia" w:hAnsiTheme="minorEastAsia" w:eastAsiaTheme="minorEastAsia"/>
                <w:color w:val="000000"/>
                <w:sz w:val="21"/>
                <w:szCs w:val="21"/>
              </w:rPr>
              <w:t xml:space="preserve">因变更中涉及的其它流程导致投诉数量 </w:t>
            </w:r>
            <w:r>
              <w:rPr>
                <w:rFonts w:cs="Arial" w:asciiTheme="minorEastAsia" w:hAnsiTheme="minorEastAsia" w:eastAsiaTheme="minorEastAsia"/>
                <w:color w:val="000000"/>
                <w:sz w:val="21"/>
                <w:szCs w:val="21"/>
              </w:rPr>
              <w:t xml:space="preserve">/ </w:t>
            </w:r>
            <w:r>
              <w:rPr>
                <w:rFonts w:hint="eastAsia" w:cs="Arial" w:asciiTheme="minorEastAsia" w:hAnsiTheme="minorEastAsia" w:eastAsiaTheme="minorEastAsia"/>
                <w:color w:val="000000"/>
                <w:sz w:val="21"/>
                <w:szCs w:val="21"/>
              </w:rPr>
              <w:t>周期</w:t>
            </w:r>
          </w:p>
        </w:tc>
        <w:tc>
          <w:tcPr>
            <w:tcW w:w="2126" w:type="dxa"/>
            <w:vAlign w:val="center"/>
          </w:tcPr>
          <w:p w14:paraId="232C4435">
            <w:pPr>
              <w:pStyle w:val="21"/>
              <w:spacing w:before="0" w:beforeAutospacing="0" w:after="0" w:afterAutospacing="0" w:line="360" w:lineRule="auto"/>
              <w:jc w:val="both"/>
              <w:rPr>
                <w:rFonts w:cs="Arial" w:asciiTheme="minorEastAsia" w:hAnsiTheme="minorEastAsia" w:eastAsiaTheme="minorEastAsia"/>
                <w:bCs/>
                <w:color w:val="000000"/>
                <w:sz w:val="21"/>
                <w:szCs w:val="21"/>
              </w:rPr>
            </w:pPr>
          </w:p>
        </w:tc>
      </w:tr>
    </w:tbl>
    <w:p w14:paraId="29AB168D">
      <w:pPr>
        <w:spacing w:line="360" w:lineRule="auto"/>
        <w:rPr>
          <w:rFonts w:asciiTheme="minorEastAsia" w:hAnsiTheme="minorEastAsia" w:eastAsiaTheme="minorEastAsia"/>
          <w:szCs w:val="21"/>
          <w:lang w:bidi="en-US"/>
        </w:rPr>
      </w:pPr>
    </w:p>
    <w:p w14:paraId="2F66D247">
      <w:pPr>
        <w:pStyle w:val="2"/>
        <w:numPr>
          <w:ilvl w:val="0"/>
          <w:numId w:val="2"/>
        </w:numPr>
        <w:spacing w:line="360" w:lineRule="auto"/>
        <w:rPr>
          <w:rFonts w:asciiTheme="minorEastAsia" w:hAnsiTheme="minorEastAsia" w:eastAsiaTheme="minorEastAsia"/>
          <w:sz w:val="21"/>
          <w:szCs w:val="21"/>
          <w:lang w:bidi="en-US"/>
        </w:rPr>
      </w:pPr>
      <w:bookmarkStart w:id="25" w:name="_Toc14119"/>
      <w:r>
        <w:rPr>
          <w:rFonts w:hint="eastAsia" w:asciiTheme="minorEastAsia" w:hAnsiTheme="minorEastAsia" w:eastAsiaTheme="minorEastAsia"/>
          <w:sz w:val="21"/>
          <w:szCs w:val="21"/>
          <w:lang w:bidi="en-US"/>
        </w:rPr>
        <w:t>相关文件和记录</w:t>
      </w:r>
      <w:bookmarkEnd w:id="25"/>
    </w:p>
    <w:tbl>
      <w:tblPr>
        <w:tblStyle w:val="2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3261"/>
        <w:gridCol w:w="2268"/>
      </w:tblGrid>
      <w:tr w14:paraId="2732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943" w:type="dxa"/>
            <w:shd w:val="clear" w:color="auto" w:fill="CCCCCC"/>
            <w:vAlign w:val="center"/>
          </w:tcPr>
          <w:p w14:paraId="5FE5B50D">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名称</w:t>
            </w:r>
          </w:p>
        </w:tc>
        <w:tc>
          <w:tcPr>
            <w:tcW w:w="3261" w:type="dxa"/>
            <w:shd w:val="clear" w:color="auto" w:fill="CCCCCC"/>
            <w:vAlign w:val="center"/>
          </w:tcPr>
          <w:p w14:paraId="082535FF">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说明</w:t>
            </w:r>
          </w:p>
        </w:tc>
        <w:tc>
          <w:tcPr>
            <w:tcW w:w="2268" w:type="dxa"/>
            <w:shd w:val="clear" w:color="auto" w:fill="CCCCCC"/>
            <w:vAlign w:val="center"/>
          </w:tcPr>
          <w:p w14:paraId="3B4930FD">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负责人</w:t>
            </w:r>
          </w:p>
        </w:tc>
      </w:tr>
      <w:tr w14:paraId="77C0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14:paraId="48F70885">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变更管理报告（模板）</w:t>
            </w:r>
          </w:p>
        </w:tc>
        <w:tc>
          <w:tcPr>
            <w:tcW w:w="3261" w:type="dxa"/>
            <w:vAlign w:val="center"/>
          </w:tcPr>
          <w:p w14:paraId="05B3272C">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定期发布的变更管理报告</w:t>
            </w:r>
          </w:p>
        </w:tc>
        <w:tc>
          <w:tcPr>
            <w:tcW w:w="2268" w:type="dxa"/>
            <w:vAlign w:val="center"/>
          </w:tcPr>
          <w:p w14:paraId="4853BA4C">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变更流程经理</w:t>
            </w:r>
          </w:p>
        </w:tc>
      </w:tr>
      <w:tr w14:paraId="2FFA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14:paraId="609F7679">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变更记录单</w:t>
            </w:r>
          </w:p>
        </w:tc>
        <w:tc>
          <w:tcPr>
            <w:tcW w:w="3261" w:type="dxa"/>
            <w:vAlign w:val="center"/>
          </w:tcPr>
          <w:p w14:paraId="3E217264">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记录变更的表单</w:t>
            </w:r>
          </w:p>
        </w:tc>
        <w:tc>
          <w:tcPr>
            <w:tcW w:w="2268" w:type="dxa"/>
            <w:vAlign w:val="center"/>
          </w:tcPr>
          <w:p w14:paraId="12CB14BE">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变更流程经理</w:t>
            </w:r>
          </w:p>
        </w:tc>
      </w:tr>
    </w:tbl>
    <w:p w14:paraId="1CBAFBB1">
      <w:pPr>
        <w:spacing w:line="360" w:lineRule="auto"/>
        <w:rPr>
          <w:rFonts w:asciiTheme="minorEastAsia" w:hAnsiTheme="minorEastAsia" w:eastAsiaTheme="minorEastAsia"/>
          <w:szCs w:val="21"/>
          <w:lang w:eastAsia="en-US" w:bidi="en-US"/>
        </w:rPr>
      </w:pPr>
    </w:p>
    <w:sectPr>
      <w:footerReference r:id="rId9" w:type="first"/>
      <w:headerReference r:id="rId5" w:type="default"/>
      <w:footerReference r:id="rId7" w:type="default"/>
      <w:headerReference r:id="rId6" w:type="even"/>
      <w:footerReference r:id="rId8" w:type="even"/>
      <w:pgSz w:w="11900" w:h="15880"/>
      <w:pgMar w:top="1418" w:right="1418" w:bottom="1134" w:left="1418" w:header="850" w:footer="680"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76FDE">
    <w:pPr>
      <w:pStyle w:val="14"/>
      <w:jc w:val="center"/>
    </w:pPr>
  </w:p>
  <w:p w14:paraId="772DA7D3">
    <w:pPr>
      <w:pStyle w:val="14"/>
      <w:tabs>
        <w:tab w:val="right" w:pos="9180"/>
        <w:tab w:val="clear" w:pos="8306"/>
      </w:tabs>
      <w:spacing w:before="120" w:after="120"/>
      <w:ind w:right="360" w:firstLine="420"/>
      <w:jc w:val="center"/>
      <w:rPr>
        <w:rFonts w:ascii="宋体" w:hAnsi="宋体"/>
        <w:sz w:val="21"/>
      </w:rPr>
    </w:pPr>
    <w:r>
      <w:pict>
        <v:shape id="直接箭头连接符 21" o:spid="_x0000_s2049" o:spt="32" type="#_x0000_t32" style="position:absolute;left:0pt;margin-left:-1.15pt;margin-top:-6.5pt;height:0pt;width:470.25pt;z-index:251663360;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">
          <v:path arrowok="t"/>
          <v:fill on="f" focussize="0,0"/>
          <v:stroke/>
          <v:imagedata o:title=""/>
          <o:lock v:ext="edit"/>
        </v:shape>
      </w:pict>
    </w:r>
    <w:r>
      <w:rPr>
        <w:rFonts w:hint="eastAsia" w:ascii="宋体" w:hAnsi="宋体" w:cs="Arial"/>
        <w:sz w:val="21"/>
      </w:rPr>
      <w:t>有限公司</w:t>
    </w:r>
  </w:p>
  <w:p w14:paraId="52DC5922">
    <w:pPr>
      <w:pStyle w:val="14"/>
      <w:ind w:right="360"/>
      <w:rPr>
        <w:b/>
        <w:color w:val="FF66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94C08">
    <w:pPr>
      <w:pStyle w:val="14"/>
      <w:framePr w:wrap="around" w:vAnchor="text" w:hAnchor="margin" w:xAlign="right" w:y="1"/>
      <w:rPr>
        <w:rStyle w:val="27"/>
      </w:rPr>
    </w:pPr>
    <w:r>
      <w:fldChar w:fldCharType="begin"/>
    </w:r>
    <w:r>
      <w:rPr>
        <w:rStyle w:val="27"/>
      </w:rPr>
      <w:instrText xml:space="preserve">PAGE  </w:instrText>
    </w:r>
    <w:r>
      <w:fldChar w:fldCharType="end"/>
    </w:r>
  </w:p>
  <w:p w14:paraId="3EAC1C4C">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4453504"/>
      <w:docPartObj>
        <w:docPartGallery w:val="autotext"/>
      </w:docPartObj>
    </w:sdtPr>
    <w:sdtContent>
      <w:p w14:paraId="3811AC55">
        <w:pPr>
          <w:pStyle w:val="14"/>
          <w:jc w:val="center"/>
        </w:pPr>
        <w:r>
          <w:fldChar w:fldCharType="begin"/>
        </w:r>
        <w:r>
          <w:instrText xml:space="preserve">PAGE   \* MERGEFORMAT</w:instrText>
        </w:r>
        <w:r>
          <w:fldChar w:fldCharType="separate"/>
        </w:r>
        <w:r>
          <w:rPr>
            <w:lang w:val="zh-CN"/>
          </w:rPr>
          <w:t>1</w:t>
        </w:r>
        <w:r>
          <w:fldChar w:fldCharType="end"/>
        </w:r>
      </w:p>
    </w:sdtContent>
  </w:sdt>
  <w:p w14:paraId="3344A234">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4"/>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226"/>
      <w:gridCol w:w="1260"/>
      <w:gridCol w:w="1980"/>
      <w:gridCol w:w="1620"/>
    </w:tblGrid>
    <w:tr w14:paraId="683D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82" w:type="dxa"/>
          <w:tcBorders>
            <w:top w:val="single" w:color="auto" w:sz="12" w:space="0"/>
            <w:left w:val="single" w:color="auto" w:sz="12" w:space="0"/>
            <w:right w:val="single" w:color="auto" w:sz="4" w:space="0"/>
          </w:tcBorders>
          <w:vAlign w:val="center"/>
        </w:tcPr>
        <w:p w14:paraId="4DD250E8">
          <w:pPr>
            <w:ind w:right="360"/>
            <w:jc w:val="center"/>
            <w:rPr>
              <w:rFonts w:ascii="宋体" w:hAnsi="宋体"/>
              <w:iCs/>
              <w:szCs w:val="21"/>
            </w:rPr>
          </w:pPr>
        </w:p>
      </w:tc>
      <w:tc>
        <w:tcPr>
          <w:tcW w:w="6466" w:type="dxa"/>
          <w:gridSpan w:val="3"/>
          <w:tcBorders>
            <w:top w:val="single" w:color="auto" w:sz="12" w:space="0"/>
            <w:left w:val="single" w:color="auto" w:sz="4" w:space="0"/>
            <w:right w:val="single" w:color="auto" w:sz="12" w:space="0"/>
          </w:tcBorders>
          <w:vAlign w:val="center"/>
        </w:tcPr>
        <w:p w14:paraId="2A61E05B">
          <w:pPr>
            <w:jc w:val="center"/>
            <w:rPr>
              <w:rFonts w:ascii="宋体" w:hAnsi="宋体"/>
              <w:iCs/>
              <w:szCs w:val="21"/>
            </w:rPr>
          </w:pPr>
          <w:r>
            <w:rPr>
              <w:rFonts w:hint="eastAsia" w:ascii="宋体" w:hAnsi="宋体"/>
              <w:b/>
              <w:iCs/>
              <w:szCs w:val="21"/>
            </w:rPr>
            <w:t>文件</w:t>
          </w:r>
        </w:p>
      </w:tc>
      <w:tc>
        <w:tcPr>
          <w:tcW w:w="1620" w:type="dxa"/>
          <w:tcBorders>
            <w:top w:val="single" w:color="auto" w:sz="12" w:space="0"/>
            <w:left w:val="single" w:color="auto" w:sz="12" w:space="0"/>
            <w:bottom w:val="single" w:color="auto" w:sz="12" w:space="0"/>
            <w:right w:val="single" w:color="auto" w:sz="12" w:space="0"/>
          </w:tcBorders>
          <w:vAlign w:val="center"/>
        </w:tcPr>
        <w:p w14:paraId="213FFFCD">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2</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20</w:t>
          </w:r>
          <w:r>
            <w:rPr>
              <w:rFonts w:ascii="宋体" w:hAnsi="宋体"/>
              <w:b/>
              <w:szCs w:val="21"/>
            </w:rPr>
            <w:fldChar w:fldCharType="end"/>
          </w:r>
        </w:p>
      </w:tc>
    </w:tr>
    <w:tr w14:paraId="74BDD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82" w:type="dxa"/>
          <w:tcBorders>
            <w:left w:val="single" w:color="auto" w:sz="12" w:space="0"/>
            <w:bottom w:val="single" w:color="auto" w:sz="12" w:space="0"/>
            <w:right w:val="single" w:color="auto" w:sz="4" w:space="0"/>
          </w:tcBorders>
          <w:vAlign w:val="center"/>
        </w:tcPr>
        <w:p w14:paraId="55BB620C">
          <w:pPr>
            <w:jc w:val="center"/>
            <w:rPr>
              <w:rFonts w:ascii="宋体" w:hAnsi="宋体"/>
              <w:b/>
              <w:szCs w:val="21"/>
            </w:rPr>
          </w:pPr>
          <w:r>
            <w:rPr>
              <w:rFonts w:hint="eastAsia" w:ascii="宋体" w:hAnsi="宋体"/>
              <w:b/>
              <w:szCs w:val="21"/>
            </w:rPr>
            <w:t>文件名称</w:t>
          </w:r>
        </w:p>
      </w:tc>
      <w:tc>
        <w:tcPr>
          <w:tcW w:w="3226" w:type="dxa"/>
          <w:tcBorders>
            <w:left w:val="single" w:color="auto" w:sz="4" w:space="0"/>
            <w:bottom w:val="single" w:color="auto" w:sz="12" w:space="0"/>
            <w:right w:val="single" w:color="auto" w:sz="4" w:space="0"/>
          </w:tcBorders>
          <w:vAlign w:val="center"/>
        </w:tcPr>
        <w:p w14:paraId="0A280905">
          <w:pPr>
            <w:jc w:val="center"/>
            <w:rPr>
              <w:rFonts w:ascii="宋体" w:hAnsi="宋体"/>
              <w:b/>
              <w:color w:val="FF0000"/>
              <w:szCs w:val="21"/>
            </w:rPr>
          </w:pPr>
          <w:r>
            <w:rPr>
              <w:rFonts w:hint="eastAsia" w:ascii="宋体" w:hAnsi="宋体"/>
              <w:b/>
              <w:szCs w:val="21"/>
            </w:rPr>
            <w:t>变更管理流程手册</w:t>
          </w:r>
        </w:p>
      </w:tc>
      <w:tc>
        <w:tcPr>
          <w:tcW w:w="1260" w:type="dxa"/>
          <w:tcBorders>
            <w:left w:val="single" w:color="auto" w:sz="4" w:space="0"/>
            <w:bottom w:val="single" w:color="auto" w:sz="12" w:space="0"/>
            <w:right w:val="single" w:color="auto" w:sz="4" w:space="0"/>
          </w:tcBorders>
          <w:vAlign w:val="center"/>
        </w:tcPr>
        <w:p w14:paraId="0C9633E9">
          <w:pPr>
            <w:rPr>
              <w:rFonts w:ascii="宋体" w:hAnsi="宋体"/>
              <w:b/>
              <w:szCs w:val="21"/>
            </w:rPr>
          </w:pPr>
          <w:r>
            <w:rPr>
              <w:rFonts w:hint="eastAsia" w:ascii="宋体" w:hAnsi="宋体"/>
              <w:b/>
              <w:szCs w:val="21"/>
            </w:rPr>
            <w:t>文件编号</w:t>
          </w:r>
        </w:p>
      </w:tc>
      <w:tc>
        <w:tcPr>
          <w:tcW w:w="1980" w:type="dxa"/>
          <w:tcBorders>
            <w:left w:val="single" w:color="auto" w:sz="4" w:space="0"/>
            <w:bottom w:val="single" w:color="auto" w:sz="12" w:space="0"/>
            <w:right w:val="single" w:color="auto" w:sz="12" w:space="0"/>
          </w:tcBorders>
          <w:vAlign w:val="center"/>
        </w:tcPr>
        <w:p w14:paraId="1D6638C3">
          <w:pPr>
            <w:jc w:val="center"/>
            <w:rPr>
              <w:rFonts w:ascii="宋体" w:hAnsi="宋体"/>
              <w:b/>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15EC8EC1">
          <w:pPr>
            <w:pStyle w:val="15"/>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11FE64FB">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634D">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4"/>
    <w:multiLevelType w:val="multilevel"/>
    <w:tmpl w:val="00000024"/>
    <w:lvl w:ilvl="0" w:tentative="0">
      <w:start w:val="1"/>
      <w:numFmt w:val="bullet"/>
      <w:pStyle w:val="59"/>
      <w:lvlText w:val=""/>
      <w:lvlJc w:val="left"/>
      <w:pPr>
        <w:ind w:left="780" w:hanging="360"/>
      </w:pPr>
      <w:rPr>
        <w:rFonts w:hint="default" w:ascii="Wingdings" w:hAnsi="Wingdings" w:eastAsia="宋体"/>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20BE565D"/>
    <w:multiLevelType w:val="multilevel"/>
    <w:tmpl w:val="20BE565D"/>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2">
    <w:nsid w:val="2C131300"/>
    <w:multiLevelType w:val="multilevel"/>
    <w:tmpl w:val="2C131300"/>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306B246C"/>
    <w:multiLevelType w:val="multilevel"/>
    <w:tmpl w:val="306B246C"/>
    <w:lvl w:ilvl="0" w:tentative="0">
      <w:start w:val="1"/>
      <w:numFmt w:val="decimal"/>
      <w:lvlText w:val="%1."/>
      <w:lvlJc w:val="center"/>
      <w:pPr>
        <w:tabs>
          <w:tab w:val="left" w:pos="501"/>
        </w:tabs>
        <w:ind w:left="501" w:hanging="420"/>
      </w:pPr>
      <w:rPr>
        <w:rFonts w:hint="eastAsia"/>
        <w:b w:val="0"/>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4">
    <w:nsid w:val="35F81F3D"/>
    <w:multiLevelType w:val="multilevel"/>
    <w:tmpl w:val="35F81F3D"/>
    <w:lvl w:ilvl="0" w:tentative="0">
      <w:start w:val="1"/>
      <w:numFmt w:val="decimal"/>
      <w:lvlText w:val="%1."/>
      <w:lvlJc w:val="center"/>
      <w:pPr>
        <w:tabs>
          <w:tab w:val="left" w:pos="501"/>
        </w:tabs>
        <w:ind w:left="501" w:hanging="420"/>
      </w:pPr>
      <w:rPr>
        <w:rFonts w:hint="eastAsia"/>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5">
    <w:nsid w:val="3D897192"/>
    <w:multiLevelType w:val="multilevel"/>
    <w:tmpl w:val="3D897192"/>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4D6C5BE0"/>
    <w:multiLevelType w:val="multilevel"/>
    <w:tmpl w:val="4D6C5BE0"/>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61C17511"/>
    <w:multiLevelType w:val="multilevel"/>
    <w:tmpl w:val="61C17511"/>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EF16D5D"/>
    <w:multiLevelType w:val="multilevel"/>
    <w:tmpl w:val="6EF16D5D"/>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6"/>
  </w:num>
  <w:num w:numId="3">
    <w:abstractNumId w:val="5"/>
  </w:num>
  <w:num w:numId="4">
    <w:abstractNumId w:val="8"/>
  </w:num>
  <w:num w:numId="5">
    <w:abstractNumId w:val="4"/>
  </w:num>
  <w:num w:numId="6">
    <w:abstractNumId w:val="3"/>
  </w:num>
  <w:num w:numId="7">
    <w:abstractNumId w:val="9"/>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rules v:ext="edit">
        <o:r id="V:Rule1" type="connector" idref="#直接箭头连接符 21"/>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13882"/>
    <w:rsid w:val="000149A5"/>
    <w:rsid w:val="00020CDC"/>
    <w:rsid w:val="000275DF"/>
    <w:rsid w:val="00027628"/>
    <w:rsid w:val="0003071D"/>
    <w:rsid w:val="00034DA4"/>
    <w:rsid w:val="00034E5C"/>
    <w:rsid w:val="00036CAB"/>
    <w:rsid w:val="000402FC"/>
    <w:rsid w:val="000439E6"/>
    <w:rsid w:val="000467AA"/>
    <w:rsid w:val="00052011"/>
    <w:rsid w:val="000553BD"/>
    <w:rsid w:val="00062B3E"/>
    <w:rsid w:val="00066CB8"/>
    <w:rsid w:val="000757F8"/>
    <w:rsid w:val="00076D80"/>
    <w:rsid w:val="00076F74"/>
    <w:rsid w:val="000847C9"/>
    <w:rsid w:val="00090502"/>
    <w:rsid w:val="00091E86"/>
    <w:rsid w:val="0009663F"/>
    <w:rsid w:val="000A017A"/>
    <w:rsid w:val="000A2CFF"/>
    <w:rsid w:val="000A7869"/>
    <w:rsid w:val="000A7D4D"/>
    <w:rsid w:val="000B0152"/>
    <w:rsid w:val="000B0C95"/>
    <w:rsid w:val="000B1434"/>
    <w:rsid w:val="000B1E2B"/>
    <w:rsid w:val="000B2105"/>
    <w:rsid w:val="000B323E"/>
    <w:rsid w:val="000C590B"/>
    <w:rsid w:val="000E4140"/>
    <w:rsid w:val="000F3A54"/>
    <w:rsid w:val="000F4FB6"/>
    <w:rsid w:val="001113C7"/>
    <w:rsid w:val="00113189"/>
    <w:rsid w:val="00113A1D"/>
    <w:rsid w:val="001142D6"/>
    <w:rsid w:val="001145FC"/>
    <w:rsid w:val="00117060"/>
    <w:rsid w:val="00126531"/>
    <w:rsid w:val="001273EF"/>
    <w:rsid w:val="00130677"/>
    <w:rsid w:val="00131663"/>
    <w:rsid w:val="00132065"/>
    <w:rsid w:val="001349DC"/>
    <w:rsid w:val="00134F3B"/>
    <w:rsid w:val="001363D1"/>
    <w:rsid w:val="00136C9B"/>
    <w:rsid w:val="00142A41"/>
    <w:rsid w:val="001477CD"/>
    <w:rsid w:val="00154E00"/>
    <w:rsid w:val="0015556B"/>
    <w:rsid w:val="00163A9B"/>
    <w:rsid w:val="00165DAF"/>
    <w:rsid w:val="00175EBA"/>
    <w:rsid w:val="00177823"/>
    <w:rsid w:val="00181342"/>
    <w:rsid w:val="00182624"/>
    <w:rsid w:val="00182AA5"/>
    <w:rsid w:val="00184260"/>
    <w:rsid w:val="001A33D8"/>
    <w:rsid w:val="001C7456"/>
    <w:rsid w:val="001D0F5C"/>
    <w:rsid w:val="001D4BE9"/>
    <w:rsid w:val="001E0D17"/>
    <w:rsid w:val="001E631C"/>
    <w:rsid w:val="001F075C"/>
    <w:rsid w:val="001F4828"/>
    <w:rsid w:val="001F6BCE"/>
    <w:rsid w:val="001F7089"/>
    <w:rsid w:val="00202B09"/>
    <w:rsid w:val="0021064C"/>
    <w:rsid w:val="0021157C"/>
    <w:rsid w:val="002133B2"/>
    <w:rsid w:val="00214103"/>
    <w:rsid w:val="00216DD4"/>
    <w:rsid w:val="00237255"/>
    <w:rsid w:val="0024039D"/>
    <w:rsid w:val="002430A8"/>
    <w:rsid w:val="0024588E"/>
    <w:rsid w:val="0024687B"/>
    <w:rsid w:val="00246E14"/>
    <w:rsid w:val="00247000"/>
    <w:rsid w:val="0025126B"/>
    <w:rsid w:val="00253C7C"/>
    <w:rsid w:val="00254D04"/>
    <w:rsid w:val="002555A9"/>
    <w:rsid w:val="00261C3D"/>
    <w:rsid w:val="00263297"/>
    <w:rsid w:val="0027241E"/>
    <w:rsid w:val="00273316"/>
    <w:rsid w:val="00273FDC"/>
    <w:rsid w:val="0027599B"/>
    <w:rsid w:val="0027664A"/>
    <w:rsid w:val="00283AF3"/>
    <w:rsid w:val="002841E4"/>
    <w:rsid w:val="00285571"/>
    <w:rsid w:val="00287DC7"/>
    <w:rsid w:val="002934CE"/>
    <w:rsid w:val="0029571E"/>
    <w:rsid w:val="002A05BB"/>
    <w:rsid w:val="002B156B"/>
    <w:rsid w:val="002B3AE4"/>
    <w:rsid w:val="002C2FA0"/>
    <w:rsid w:val="002C3490"/>
    <w:rsid w:val="002D1246"/>
    <w:rsid w:val="002E5338"/>
    <w:rsid w:val="002F6C36"/>
    <w:rsid w:val="002F71EA"/>
    <w:rsid w:val="003020AD"/>
    <w:rsid w:val="0030543C"/>
    <w:rsid w:val="00314AE2"/>
    <w:rsid w:val="003154AC"/>
    <w:rsid w:val="00323E8D"/>
    <w:rsid w:val="00325B08"/>
    <w:rsid w:val="00347D8B"/>
    <w:rsid w:val="00350D91"/>
    <w:rsid w:val="003556D3"/>
    <w:rsid w:val="003562C7"/>
    <w:rsid w:val="00361E3C"/>
    <w:rsid w:val="00367FB6"/>
    <w:rsid w:val="003754C5"/>
    <w:rsid w:val="003776C1"/>
    <w:rsid w:val="00380FE2"/>
    <w:rsid w:val="00381A11"/>
    <w:rsid w:val="00383931"/>
    <w:rsid w:val="00386B76"/>
    <w:rsid w:val="003875B3"/>
    <w:rsid w:val="00390CF2"/>
    <w:rsid w:val="003936BF"/>
    <w:rsid w:val="0039424C"/>
    <w:rsid w:val="0039460C"/>
    <w:rsid w:val="003A11C6"/>
    <w:rsid w:val="003A223D"/>
    <w:rsid w:val="003A5FEF"/>
    <w:rsid w:val="003B184D"/>
    <w:rsid w:val="003B26A6"/>
    <w:rsid w:val="003B34A2"/>
    <w:rsid w:val="003B660A"/>
    <w:rsid w:val="003C064D"/>
    <w:rsid w:val="003C537F"/>
    <w:rsid w:val="003C7FD4"/>
    <w:rsid w:val="003D1905"/>
    <w:rsid w:val="003E0A81"/>
    <w:rsid w:val="003E2E23"/>
    <w:rsid w:val="003E4129"/>
    <w:rsid w:val="003E5044"/>
    <w:rsid w:val="003F78DB"/>
    <w:rsid w:val="004011B7"/>
    <w:rsid w:val="00401B13"/>
    <w:rsid w:val="004033D1"/>
    <w:rsid w:val="00403F69"/>
    <w:rsid w:val="004118B6"/>
    <w:rsid w:val="00416DE8"/>
    <w:rsid w:val="004204A7"/>
    <w:rsid w:val="00421F8A"/>
    <w:rsid w:val="0042258E"/>
    <w:rsid w:val="00427BD3"/>
    <w:rsid w:val="004301B6"/>
    <w:rsid w:val="00432B7F"/>
    <w:rsid w:val="0044086B"/>
    <w:rsid w:val="004437FF"/>
    <w:rsid w:val="004461DA"/>
    <w:rsid w:val="00447AAB"/>
    <w:rsid w:val="00451019"/>
    <w:rsid w:val="00453CA5"/>
    <w:rsid w:val="004567FC"/>
    <w:rsid w:val="00457517"/>
    <w:rsid w:val="00473E7A"/>
    <w:rsid w:val="00476DBD"/>
    <w:rsid w:val="00483B04"/>
    <w:rsid w:val="0049465D"/>
    <w:rsid w:val="00494C50"/>
    <w:rsid w:val="004A128B"/>
    <w:rsid w:val="004A66B9"/>
    <w:rsid w:val="004B3D46"/>
    <w:rsid w:val="004B69DB"/>
    <w:rsid w:val="004C7665"/>
    <w:rsid w:val="004D0A5B"/>
    <w:rsid w:val="004D0CE6"/>
    <w:rsid w:val="004D5695"/>
    <w:rsid w:val="004E45CB"/>
    <w:rsid w:val="004E4FA4"/>
    <w:rsid w:val="004F6788"/>
    <w:rsid w:val="004F6BA5"/>
    <w:rsid w:val="005021D1"/>
    <w:rsid w:val="00503D43"/>
    <w:rsid w:val="005148D4"/>
    <w:rsid w:val="00520AF2"/>
    <w:rsid w:val="00523789"/>
    <w:rsid w:val="005342DA"/>
    <w:rsid w:val="00537ADE"/>
    <w:rsid w:val="00551046"/>
    <w:rsid w:val="00554300"/>
    <w:rsid w:val="00561026"/>
    <w:rsid w:val="00590176"/>
    <w:rsid w:val="00592DAC"/>
    <w:rsid w:val="00597941"/>
    <w:rsid w:val="005B0DDD"/>
    <w:rsid w:val="005B1604"/>
    <w:rsid w:val="005B1C0F"/>
    <w:rsid w:val="005B5EA6"/>
    <w:rsid w:val="005B7FCB"/>
    <w:rsid w:val="005D5E5D"/>
    <w:rsid w:val="005E093B"/>
    <w:rsid w:val="005E5C5F"/>
    <w:rsid w:val="005E70A1"/>
    <w:rsid w:val="005F26A7"/>
    <w:rsid w:val="005F3E79"/>
    <w:rsid w:val="005F5642"/>
    <w:rsid w:val="006050BD"/>
    <w:rsid w:val="0060711F"/>
    <w:rsid w:val="006155F1"/>
    <w:rsid w:val="0062113E"/>
    <w:rsid w:val="006312F4"/>
    <w:rsid w:val="00633E3F"/>
    <w:rsid w:val="00634FBE"/>
    <w:rsid w:val="00635D22"/>
    <w:rsid w:val="006444CC"/>
    <w:rsid w:val="0064594D"/>
    <w:rsid w:val="006505EE"/>
    <w:rsid w:val="006528C6"/>
    <w:rsid w:val="00660715"/>
    <w:rsid w:val="00664342"/>
    <w:rsid w:val="006816FA"/>
    <w:rsid w:val="006842D7"/>
    <w:rsid w:val="00687CE8"/>
    <w:rsid w:val="00691FEA"/>
    <w:rsid w:val="006A396D"/>
    <w:rsid w:val="006A7561"/>
    <w:rsid w:val="006B7037"/>
    <w:rsid w:val="006B71DE"/>
    <w:rsid w:val="006C0864"/>
    <w:rsid w:val="006C0F80"/>
    <w:rsid w:val="006C2789"/>
    <w:rsid w:val="006C35FB"/>
    <w:rsid w:val="006C4BB6"/>
    <w:rsid w:val="006C62F8"/>
    <w:rsid w:val="006D207E"/>
    <w:rsid w:val="006D3B04"/>
    <w:rsid w:val="006D4AD8"/>
    <w:rsid w:val="006E0BBD"/>
    <w:rsid w:val="006E1E40"/>
    <w:rsid w:val="006E718E"/>
    <w:rsid w:val="006F5DE6"/>
    <w:rsid w:val="006F635D"/>
    <w:rsid w:val="006F7E5C"/>
    <w:rsid w:val="007041D4"/>
    <w:rsid w:val="00704A37"/>
    <w:rsid w:val="00705322"/>
    <w:rsid w:val="00705CA8"/>
    <w:rsid w:val="00707B9D"/>
    <w:rsid w:val="0071022C"/>
    <w:rsid w:val="00711694"/>
    <w:rsid w:val="00712C83"/>
    <w:rsid w:val="00722DC4"/>
    <w:rsid w:val="00722FF5"/>
    <w:rsid w:val="00730F32"/>
    <w:rsid w:val="0073218D"/>
    <w:rsid w:val="007331B3"/>
    <w:rsid w:val="00733294"/>
    <w:rsid w:val="00734F37"/>
    <w:rsid w:val="007408A6"/>
    <w:rsid w:val="00750C77"/>
    <w:rsid w:val="007529B2"/>
    <w:rsid w:val="00761414"/>
    <w:rsid w:val="00765635"/>
    <w:rsid w:val="0076599D"/>
    <w:rsid w:val="007704CE"/>
    <w:rsid w:val="0077606D"/>
    <w:rsid w:val="00783DA4"/>
    <w:rsid w:val="00784791"/>
    <w:rsid w:val="00785D8A"/>
    <w:rsid w:val="007A0058"/>
    <w:rsid w:val="007A0B5B"/>
    <w:rsid w:val="007A4DC5"/>
    <w:rsid w:val="007A5532"/>
    <w:rsid w:val="007A7501"/>
    <w:rsid w:val="007A76DE"/>
    <w:rsid w:val="007A7A46"/>
    <w:rsid w:val="007B0682"/>
    <w:rsid w:val="007B198F"/>
    <w:rsid w:val="007B53EB"/>
    <w:rsid w:val="007B58F8"/>
    <w:rsid w:val="007C1A5A"/>
    <w:rsid w:val="007D4564"/>
    <w:rsid w:val="007D5A52"/>
    <w:rsid w:val="007E2E81"/>
    <w:rsid w:val="007E75F5"/>
    <w:rsid w:val="007E780C"/>
    <w:rsid w:val="007F1B85"/>
    <w:rsid w:val="007F3637"/>
    <w:rsid w:val="007F45A0"/>
    <w:rsid w:val="00807C09"/>
    <w:rsid w:val="00807E32"/>
    <w:rsid w:val="00816614"/>
    <w:rsid w:val="008167A1"/>
    <w:rsid w:val="00822436"/>
    <w:rsid w:val="00824E7C"/>
    <w:rsid w:val="00825D9B"/>
    <w:rsid w:val="00825DD3"/>
    <w:rsid w:val="008332AB"/>
    <w:rsid w:val="00840093"/>
    <w:rsid w:val="00842CD8"/>
    <w:rsid w:val="0085119D"/>
    <w:rsid w:val="00853239"/>
    <w:rsid w:val="0086039D"/>
    <w:rsid w:val="00861D7C"/>
    <w:rsid w:val="00871D7D"/>
    <w:rsid w:val="008818B0"/>
    <w:rsid w:val="00882D39"/>
    <w:rsid w:val="0088395A"/>
    <w:rsid w:val="0088589D"/>
    <w:rsid w:val="008906AE"/>
    <w:rsid w:val="00890C87"/>
    <w:rsid w:val="00892BFD"/>
    <w:rsid w:val="008A23D3"/>
    <w:rsid w:val="008B48EA"/>
    <w:rsid w:val="008C1BB9"/>
    <w:rsid w:val="008C2348"/>
    <w:rsid w:val="008C41D3"/>
    <w:rsid w:val="008C7A66"/>
    <w:rsid w:val="008D20D9"/>
    <w:rsid w:val="008D58CB"/>
    <w:rsid w:val="008D5F62"/>
    <w:rsid w:val="008D79E5"/>
    <w:rsid w:val="008E1FF3"/>
    <w:rsid w:val="008E28EF"/>
    <w:rsid w:val="008E72AE"/>
    <w:rsid w:val="008F0609"/>
    <w:rsid w:val="008F20D4"/>
    <w:rsid w:val="008F34BA"/>
    <w:rsid w:val="008F45CC"/>
    <w:rsid w:val="00900458"/>
    <w:rsid w:val="00907D8D"/>
    <w:rsid w:val="00911852"/>
    <w:rsid w:val="009119AE"/>
    <w:rsid w:val="009122FF"/>
    <w:rsid w:val="00912389"/>
    <w:rsid w:val="00913264"/>
    <w:rsid w:val="00914F37"/>
    <w:rsid w:val="009158C1"/>
    <w:rsid w:val="00915C4E"/>
    <w:rsid w:val="0092119D"/>
    <w:rsid w:val="00921B13"/>
    <w:rsid w:val="00922A00"/>
    <w:rsid w:val="009244AA"/>
    <w:rsid w:val="00924504"/>
    <w:rsid w:val="00927236"/>
    <w:rsid w:val="00927BDD"/>
    <w:rsid w:val="0093341A"/>
    <w:rsid w:val="009356D4"/>
    <w:rsid w:val="00936C6D"/>
    <w:rsid w:val="00937589"/>
    <w:rsid w:val="00940785"/>
    <w:rsid w:val="00946907"/>
    <w:rsid w:val="00953897"/>
    <w:rsid w:val="00970A15"/>
    <w:rsid w:val="00971CEB"/>
    <w:rsid w:val="0097328B"/>
    <w:rsid w:val="0097519C"/>
    <w:rsid w:val="00976A7A"/>
    <w:rsid w:val="0097781F"/>
    <w:rsid w:val="00991961"/>
    <w:rsid w:val="009A16A7"/>
    <w:rsid w:val="009A2EA1"/>
    <w:rsid w:val="009A4718"/>
    <w:rsid w:val="009B03C3"/>
    <w:rsid w:val="009B40C7"/>
    <w:rsid w:val="009C1AF8"/>
    <w:rsid w:val="009C5A0F"/>
    <w:rsid w:val="009D17F4"/>
    <w:rsid w:val="009F3997"/>
    <w:rsid w:val="00A02383"/>
    <w:rsid w:val="00A03B21"/>
    <w:rsid w:val="00A102CF"/>
    <w:rsid w:val="00A12E04"/>
    <w:rsid w:val="00A15698"/>
    <w:rsid w:val="00A17519"/>
    <w:rsid w:val="00A17909"/>
    <w:rsid w:val="00A266B1"/>
    <w:rsid w:val="00A26E27"/>
    <w:rsid w:val="00A274D4"/>
    <w:rsid w:val="00A27BEA"/>
    <w:rsid w:val="00A30E4C"/>
    <w:rsid w:val="00A310A0"/>
    <w:rsid w:val="00A31411"/>
    <w:rsid w:val="00A31A1C"/>
    <w:rsid w:val="00A31D16"/>
    <w:rsid w:val="00A3205F"/>
    <w:rsid w:val="00A32262"/>
    <w:rsid w:val="00A33CCD"/>
    <w:rsid w:val="00A33DDB"/>
    <w:rsid w:val="00A40704"/>
    <w:rsid w:val="00A4358A"/>
    <w:rsid w:val="00A4425A"/>
    <w:rsid w:val="00A51D75"/>
    <w:rsid w:val="00A53AF4"/>
    <w:rsid w:val="00A54EF5"/>
    <w:rsid w:val="00A55AB8"/>
    <w:rsid w:val="00A562BF"/>
    <w:rsid w:val="00A62E7B"/>
    <w:rsid w:val="00A63333"/>
    <w:rsid w:val="00A76EB2"/>
    <w:rsid w:val="00A81F7D"/>
    <w:rsid w:val="00A97BEB"/>
    <w:rsid w:val="00AA367C"/>
    <w:rsid w:val="00AA544F"/>
    <w:rsid w:val="00AA5AFE"/>
    <w:rsid w:val="00AB1624"/>
    <w:rsid w:val="00AB20D3"/>
    <w:rsid w:val="00AC19CF"/>
    <w:rsid w:val="00AD3425"/>
    <w:rsid w:val="00AD499E"/>
    <w:rsid w:val="00AD4B5D"/>
    <w:rsid w:val="00AD5068"/>
    <w:rsid w:val="00AE0181"/>
    <w:rsid w:val="00AE5DA9"/>
    <w:rsid w:val="00AF17C3"/>
    <w:rsid w:val="00AF2597"/>
    <w:rsid w:val="00B00ABE"/>
    <w:rsid w:val="00B14A97"/>
    <w:rsid w:val="00B16188"/>
    <w:rsid w:val="00B31836"/>
    <w:rsid w:val="00B4213F"/>
    <w:rsid w:val="00B435D6"/>
    <w:rsid w:val="00B43E61"/>
    <w:rsid w:val="00B46151"/>
    <w:rsid w:val="00B50818"/>
    <w:rsid w:val="00B5732A"/>
    <w:rsid w:val="00B6169D"/>
    <w:rsid w:val="00B702B6"/>
    <w:rsid w:val="00B705F3"/>
    <w:rsid w:val="00B75DFF"/>
    <w:rsid w:val="00B81352"/>
    <w:rsid w:val="00B858CD"/>
    <w:rsid w:val="00B878DF"/>
    <w:rsid w:val="00B97C8F"/>
    <w:rsid w:val="00B97D7D"/>
    <w:rsid w:val="00BA4D11"/>
    <w:rsid w:val="00BB2D0C"/>
    <w:rsid w:val="00BC241B"/>
    <w:rsid w:val="00BC2C53"/>
    <w:rsid w:val="00BC408F"/>
    <w:rsid w:val="00BC7EB4"/>
    <w:rsid w:val="00BD0D6E"/>
    <w:rsid w:val="00BD460C"/>
    <w:rsid w:val="00BD52A7"/>
    <w:rsid w:val="00BE242A"/>
    <w:rsid w:val="00BE2B95"/>
    <w:rsid w:val="00BE7606"/>
    <w:rsid w:val="00BE7BC8"/>
    <w:rsid w:val="00BF01D6"/>
    <w:rsid w:val="00BF2A24"/>
    <w:rsid w:val="00BF58DB"/>
    <w:rsid w:val="00C027B6"/>
    <w:rsid w:val="00C042E1"/>
    <w:rsid w:val="00C050B3"/>
    <w:rsid w:val="00C05516"/>
    <w:rsid w:val="00C05C43"/>
    <w:rsid w:val="00C15732"/>
    <w:rsid w:val="00C21A63"/>
    <w:rsid w:val="00C24A6B"/>
    <w:rsid w:val="00C26283"/>
    <w:rsid w:val="00C3043E"/>
    <w:rsid w:val="00C30A0C"/>
    <w:rsid w:val="00C405EC"/>
    <w:rsid w:val="00C40D56"/>
    <w:rsid w:val="00C41D4A"/>
    <w:rsid w:val="00C44BD4"/>
    <w:rsid w:val="00C45200"/>
    <w:rsid w:val="00C53603"/>
    <w:rsid w:val="00C54F4A"/>
    <w:rsid w:val="00C57104"/>
    <w:rsid w:val="00C57560"/>
    <w:rsid w:val="00C643EC"/>
    <w:rsid w:val="00C67113"/>
    <w:rsid w:val="00C74F31"/>
    <w:rsid w:val="00C7555B"/>
    <w:rsid w:val="00C9138C"/>
    <w:rsid w:val="00C9402E"/>
    <w:rsid w:val="00C96422"/>
    <w:rsid w:val="00C979A3"/>
    <w:rsid w:val="00CB0AEC"/>
    <w:rsid w:val="00CC1961"/>
    <w:rsid w:val="00CC2DD7"/>
    <w:rsid w:val="00CD04AE"/>
    <w:rsid w:val="00CD22ED"/>
    <w:rsid w:val="00CD3B02"/>
    <w:rsid w:val="00CD766F"/>
    <w:rsid w:val="00CE05E9"/>
    <w:rsid w:val="00CE17AA"/>
    <w:rsid w:val="00CF14B1"/>
    <w:rsid w:val="00CF3873"/>
    <w:rsid w:val="00CF4569"/>
    <w:rsid w:val="00CF4858"/>
    <w:rsid w:val="00CF4AD1"/>
    <w:rsid w:val="00D03A2A"/>
    <w:rsid w:val="00D100FA"/>
    <w:rsid w:val="00D10119"/>
    <w:rsid w:val="00D32E3D"/>
    <w:rsid w:val="00D33A10"/>
    <w:rsid w:val="00D33E06"/>
    <w:rsid w:val="00D37C79"/>
    <w:rsid w:val="00D40D61"/>
    <w:rsid w:val="00D452BA"/>
    <w:rsid w:val="00D4545B"/>
    <w:rsid w:val="00D5420B"/>
    <w:rsid w:val="00D543A9"/>
    <w:rsid w:val="00D60AEC"/>
    <w:rsid w:val="00D6218C"/>
    <w:rsid w:val="00D62308"/>
    <w:rsid w:val="00D62F9F"/>
    <w:rsid w:val="00D9079E"/>
    <w:rsid w:val="00D93429"/>
    <w:rsid w:val="00D941D3"/>
    <w:rsid w:val="00D97D75"/>
    <w:rsid w:val="00DB2C51"/>
    <w:rsid w:val="00DB4C4D"/>
    <w:rsid w:val="00DB592C"/>
    <w:rsid w:val="00DB6734"/>
    <w:rsid w:val="00DB71BC"/>
    <w:rsid w:val="00DC3065"/>
    <w:rsid w:val="00DD1650"/>
    <w:rsid w:val="00DD1B4B"/>
    <w:rsid w:val="00DD22FC"/>
    <w:rsid w:val="00DD4CF1"/>
    <w:rsid w:val="00DE03CD"/>
    <w:rsid w:val="00DE18EB"/>
    <w:rsid w:val="00DE19D6"/>
    <w:rsid w:val="00DE3A17"/>
    <w:rsid w:val="00E00FFA"/>
    <w:rsid w:val="00E0727A"/>
    <w:rsid w:val="00E13227"/>
    <w:rsid w:val="00E138AB"/>
    <w:rsid w:val="00E2015C"/>
    <w:rsid w:val="00E217EE"/>
    <w:rsid w:val="00E26415"/>
    <w:rsid w:val="00E317EC"/>
    <w:rsid w:val="00E32145"/>
    <w:rsid w:val="00E36FB5"/>
    <w:rsid w:val="00E44E79"/>
    <w:rsid w:val="00E45151"/>
    <w:rsid w:val="00E45A96"/>
    <w:rsid w:val="00E46D22"/>
    <w:rsid w:val="00E510CA"/>
    <w:rsid w:val="00E51AEA"/>
    <w:rsid w:val="00E802D1"/>
    <w:rsid w:val="00E8682C"/>
    <w:rsid w:val="00E91EBD"/>
    <w:rsid w:val="00E93981"/>
    <w:rsid w:val="00EA160F"/>
    <w:rsid w:val="00EA797F"/>
    <w:rsid w:val="00EB220D"/>
    <w:rsid w:val="00EB38CD"/>
    <w:rsid w:val="00EC121B"/>
    <w:rsid w:val="00EC7002"/>
    <w:rsid w:val="00ED3B7C"/>
    <w:rsid w:val="00ED3D4D"/>
    <w:rsid w:val="00ED43F6"/>
    <w:rsid w:val="00EE0B56"/>
    <w:rsid w:val="00EE1602"/>
    <w:rsid w:val="00EE333A"/>
    <w:rsid w:val="00EF3782"/>
    <w:rsid w:val="00EF4125"/>
    <w:rsid w:val="00F01866"/>
    <w:rsid w:val="00F01C19"/>
    <w:rsid w:val="00F02729"/>
    <w:rsid w:val="00F05DF1"/>
    <w:rsid w:val="00F0720C"/>
    <w:rsid w:val="00F07B52"/>
    <w:rsid w:val="00F10337"/>
    <w:rsid w:val="00F21CB6"/>
    <w:rsid w:val="00F2255B"/>
    <w:rsid w:val="00F23C2E"/>
    <w:rsid w:val="00F26A81"/>
    <w:rsid w:val="00F27222"/>
    <w:rsid w:val="00F33178"/>
    <w:rsid w:val="00F41F6E"/>
    <w:rsid w:val="00F42AEF"/>
    <w:rsid w:val="00F47E40"/>
    <w:rsid w:val="00F47EFA"/>
    <w:rsid w:val="00F5451C"/>
    <w:rsid w:val="00F661E0"/>
    <w:rsid w:val="00F66772"/>
    <w:rsid w:val="00F67D1F"/>
    <w:rsid w:val="00F81747"/>
    <w:rsid w:val="00F83FB1"/>
    <w:rsid w:val="00F90940"/>
    <w:rsid w:val="00F95F85"/>
    <w:rsid w:val="00FA0EEA"/>
    <w:rsid w:val="00FB0D01"/>
    <w:rsid w:val="00FB2834"/>
    <w:rsid w:val="00FB5652"/>
    <w:rsid w:val="00FC0B26"/>
    <w:rsid w:val="00FC4C6D"/>
    <w:rsid w:val="00FC512D"/>
    <w:rsid w:val="00FC6016"/>
    <w:rsid w:val="00FC6647"/>
    <w:rsid w:val="00FD5618"/>
    <w:rsid w:val="00FE5E46"/>
    <w:rsid w:val="00FE72B6"/>
    <w:rsid w:val="00FF2120"/>
    <w:rsid w:val="160A53BE"/>
    <w:rsid w:val="1A0F22E9"/>
    <w:rsid w:val="571607DE"/>
    <w:rsid w:val="7B5803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nhideWhenUsed="0" w:uiPriority="39" w:semiHidden="0" w:name="toc 4"/>
    <w:lsdException w:qFormat="1" w:unhideWhenUsed="0" w:uiPriority="39" w:semiHidden="0" w:name="toc 5"/>
    <w:lsdException w:uiPriority="39" w:name="toc 6"/>
    <w:lsdException w:uiPriority="39" w:name="toc 7"/>
    <w:lsdException w:uiPriority="39" w:name="toc 8"/>
    <w:lsdException w:qFormat="1" w:uiPriority="39" w:name="toc 9"/>
    <w:lsdException w:qFormat="1" w:uiPriority="0" w:semiHidden="0" w:name="Normal Indent"/>
    <w:lsdException w:uiPriority="99" w:name="footnote text"/>
    <w:lsdException w:qFormat="1" w:uiPriority="99" w:name="annotation text"/>
    <w:lsdException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6"/>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39"/>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49"/>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40"/>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41"/>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qFormat/>
    <w:uiPriority w:val="0"/>
    <w:pPr>
      <w:ind w:firstLine="420" w:firstLineChars="200"/>
    </w:pPr>
    <w:rPr>
      <w:rFonts w:ascii="Times New Roman" w:hAnsi="Times New Roman"/>
      <w:szCs w:val="21"/>
    </w:rPr>
  </w:style>
  <w:style w:type="paragraph" w:styleId="9">
    <w:name w:val="Document Map"/>
    <w:basedOn w:val="1"/>
    <w:link w:val="45"/>
    <w:semiHidden/>
    <w:unhideWhenUsed/>
    <w:qFormat/>
    <w:uiPriority w:val="99"/>
    <w:rPr>
      <w:rFonts w:ascii="宋体"/>
      <w:sz w:val="18"/>
      <w:szCs w:val="18"/>
    </w:rPr>
  </w:style>
  <w:style w:type="paragraph" w:styleId="10">
    <w:name w:val="annotation text"/>
    <w:basedOn w:val="1"/>
    <w:link w:val="53"/>
    <w:semiHidden/>
    <w:unhideWhenUsed/>
    <w:qFormat/>
    <w:uiPriority w:val="99"/>
    <w:pPr>
      <w:jc w:val="left"/>
    </w:pPr>
  </w:style>
  <w:style w:type="paragraph" w:styleId="11">
    <w:name w:val="toc 5"/>
    <w:basedOn w:val="1"/>
    <w:next w:val="1"/>
    <w:qFormat/>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2">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3">
    <w:name w:val="Balloon Text"/>
    <w:basedOn w:val="1"/>
    <w:link w:val="44"/>
    <w:semiHidden/>
    <w:unhideWhenUsed/>
    <w:qFormat/>
    <w:uiPriority w:val="99"/>
    <w:rPr>
      <w:sz w:val="18"/>
      <w:szCs w:val="18"/>
    </w:rPr>
  </w:style>
  <w:style w:type="paragraph" w:styleId="14">
    <w:name w:val="footer"/>
    <w:basedOn w:val="1"/>
    <w:link w:val="36"/>
    <w:qFormat/>
    <w:uiPriority w:val="0"/>
    <w:pPr>
      <w:tabs>
        <w:tab w:val="center" w:pos="4153"/>
        <w:tab w:val="right" w:pos="8306"/>
      </w:tabs>
      <w:snapToGrid w:val="0"/>
      <w:jc w:val="left"/>
    </w:pPr>
    <w:rPr>
      <w:sz w:val="18"/>
      <w:szCs w:val="18"/>
    </w:rPr>
  </w:style>
  <w:style w:type="paragraph" w:styleId="15">
    <w:name w:val="header"/>
    <w:basedOn w:val="1"/>
    <w:link w:val="38"/>
    <w:unhideWhenUsed/>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17">
    <w:name w:val="toc 4"/>
    <w:basedOn w:val="1"/>
    <w:next w:val="1"/>
    <w:qFormat/>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18">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19">
    <w:name w:val="toc 9"/>
    <w:basedOn w:val="1"/>
    <w:next w:val="1"/>
    <w:semiHidden/>
    <w:unhideWhenUsed/>
    <w:qFormat/>
    <w:uiPriority w:val="39"/>
    <w:pPr>
      <w:ind w:left="3360" w:leftChars="1600"/>
    </w:pPr>
  </w:style>
  <w:style w:type="paragraph" w:styleId="20">
    <w:name w:val="HTML Preformatted"/>
    <w:basedOn w:val="1"/>
    <w:link w:val="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2">
    <w:name w:val="Title"/>
    <w:basedOn w:val="1"/>
    <w:next w:val="1"/>
    <w:link w:val="43"/>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paragraph" w:styleId="23">
    <w:name w:val="annotation subject"/>
    <w:basedOn w:val="10"/>
    <w:next w:val="10"/>
    <w:link w:val="54"/>
    <w:semiHidden/>
    <w:unhideWhenUsed/>
    <w:uiPriority w:val="99"/>
    <w:rPr>
      <w:b/>
      <w:bCs/>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uiPriority w:val="0"/>
  </w:style>
  <w:style w:type="character" w:styleId="28">
    <w:name w:val="FollowedHyperlink"/>
    <w:basedOn w:val="26"/>
    <w:semiHidden/>
    <w:unhideWhenUsed/>
    <w:qFormat/>
    <w:uiPriority w:val="99"/>
    <w:rPr>
      <w:color w:val="800080" w:themeColor="followedHyperlink"/>
      <w:u w:val="single"/>
    </w:rPr>
  </w:style>
  <w:style w:type="character" w:styleId="29">
    <w:name w:val="Emphasis"/>
    <w:qFormat/>
    <w:uiPriority w:val="0"/>
    <w:rPr>
      <w:i/>
      <w:iCs/>
    </w:rPr>
  </w:style>
  <w:style w:type="character" w:styleId="30">
    <w:name w:val="Hyperlink"/>
    <w:unhideWhenUsed/>
    <w:qFormat/>
    <w:uiPriority w:val="99"/>
    <w:rPr>
      <w:color w:val="0000FF"/>
      <w:u w:val="single"/>
    </w:rPr>
  </w:style>
  <w:style w:type="character" w:styleId="31">
    <w:name w:val="annotation reference"/>
    <w:basedOn w:val="26"/>
    <w:semiHidden/>
    <w:unhideWhenUsed/>
    <w:uiPriority w:val="99"/>
    <w:rPr>
      <w:sz w:val="21"/>
      <w:szCs w:val="21"/>
    </w:rPr>
  </w:style>
  <w:style w:type="character" w:customStyle="1" w:styleId="32">
    <w:name w:val="无间隔 Char"/>
    <w:link w:val="33"/>
    <w:qFormat/>
    <w:uiPriority w:val="0"/>
    <w:rPr>
      <w:sz w:val="22"/>
    </w:rPr>
  </w:style>
  <w:style w:type="paragraph" w:customStyle="1" w:styleId="33">
    <w:name w:val="无间隔1"/>
    <w:link w:val="32"/>
    <w:uiPriority w:val="0"/>
    <w:rPr>
      <w:rFonts w:asciiTheme="minorHAnsi" w:hAnsiTheme="minorHAnsi" w:eastAsiaTheme="minorEastAsia" w:cstheme="minorBidi"/>
      <w:kern w:val="2"/>
      <w:sz w:val="22"/>
      <w:szCs w:val="22"/>
      <w:lang w:val="en-US" w:eastAsia="zh-CN" w:bidi="ar-SA"/>
    </w:rPr>
  </w:style>
  <w:style w:type="character" w:customStyle="1" w:styleId="34">
    <w:name w:val="标题 Char"/>
    <w:link w:val="35"/>
    <w:qFormat/>
    <w:uiPriority w:val="0"/>
    <w:rPr>
      <w:rFonts w:ascii="Cambria" w:hAnsi="Cambria" w:eastAsia="宋体" w:cs="Times New Roman"/>
      <w:b/>
      <w:bCs/>
      <w:sz w:val="32"/>
      <w:szCs w:val="32"/>
    </w:rPr>
  </w:style>
  <w:style w:type="paragraph" w:customStyle="1" w:styleId="35">
    <w:name w:val="标题1"/>
    <w:basedOn w:val="1"/>
    <w:next w:val="1"/>
    <w:link w:val="34"/>
    <w:qFormat/>
    <w:uiPriority w:val="0"/>
    <w:pPr>
      <w:spacing w:before="240" w:after="60"/>
      <w:jc w:val="center"/>
      <w:outlineLvl w:val="0"/>
    </w:pPr>
    <w:rPr>
      <w:rFonts w:ascii="Cambria" w:hAnsi="Cambria"/>
      <w:b/>
      <w:bCs/>
      <w:sz w:val="32"/>
      <w:szCs w:val="32"/>
    </w:rPr>
  </w:style>
  <w:style w:type="character" w:customStyle="1" w:styleId="36">
    <w:name w:val="页脚 Char"/>
    <w:basedOn w:val="26"/>
    <w:link w:val="14"/>
    <w:qFormat/>
    <w:uiPriority w:val="99"/>
    <w:rPr>
      <w:rFonts w:ascii="Calibri" w:hAnsi="Calibri" w:eastAsia="宋体" w:cs="Times New Roman"/>
      <w:sz w:val="18"/>
      <w:szCs w:val="18"/>
    </w:rPr>
  </w:style>
  <w:style w:type="paragraph" w:customStyle="1" w:styleId="37">
    <w:name w:val="列出段落1"/>
    <w:basedOn w:val="1"/>
    <w:uiPriority w:val="0"/>
    <w:pPr>
      <w:ind w:firstLine="420" w:firstLineChars="200"/>
    </w:pPr>
  </w:style>
  <w:style w:type="character" w:customStyle="1" w:styleId="38">
    <w:name w:val="页眉 Char"/>
    <w:basedOn w:val="26"/>
    <w:link w:val="15"/>
    <w:qFormat/>
    <w:uiPriority w:val="0"/>
    <w:rPr>
      <w:rFonts w:ascii="Calibri" w:hAnsi="Calibri" w:eastAsia="宋体" w:cs="Times New Roman"/>
      <w:sz w:val="18"/>
      <w:szCs w:val="18"/>
    </w:rPr>
  </w:style>
  <w:style w:type="character" w:customStyle="1" w:styleId="39">
    <w:name w:val="标题 2 Char"/>
    <w:basedOn w:val="26"/>
    <w:link w:val="3"/>
    <w:qFormat/>
    <w:uiPriority w:val="9"/>
    <w:rPr>
      <w:rFonts w:asciiTheme="majorHAnsi" w:hAnsiTheme="majorHAnsi" w:eastAsiaTheme="majorEastAsia" w:cstheme="majorBidi"/>
      <w:b/>
      <w:smallCaps/>
      <w:kern w:val="0"/>
      <w:sz w:val="32"/>
      <w:szCs w:val="28"/>
      <w:lang w:eastAsia="en-US" w:bidi="en-US"/>
    </w:rPr>
  </w:style>
  <w:style w:type="character" w:customStyle="1" w:styleId="40">
    <w:name w:val="标题 4 Char"/>
    <w:basedOn w:val="26"/>
    <w:link w:val="5"/>
    <w:qFormat/>
    <w:uiPriority w:val="9"/>
    <w:rPr>
      <w:rFonts w:asciiTheme="majorHAnsi" w:hAnsiTheme="majorHAnsi" w:eastAsiaTheme="majorEastAsia" w:cstheme="majorBidi"/>
      <w:b/>
      <w:bCs/>
      <w:spacing w:val="5"/>
      <w:kern w:val="0"/>
      <w:sz w:val="24"/>
      <w:szCs w:val="24"/>
      <w:lang w:eastAsia="en-US" w:bidi="en-US"/>
    </w:rPr>
  </w:style>
  <w:style w:type="character" w:customStyle="1" w:styleId="41">
    <w:name w:val="标题 5 Char"/>
    <w:basedOn w:val="26"/>
    <w:link w:val="6"/>
    <w:uiPriority w:val="9"/>
    <w:rPr>
      <w:rFonts w:asciiTheme="majorHAnsi" w:hAnsiTheme="majorHAnsi" w:eastAsiaTheme="majorEastAsia" w:cstheme="majorBidi"/>
      <w:i/>
      <w:iCs/>
      <w:kern w:val="0"/>
      <w:sz w:val="24"/>
      <w:szCs w:val="24"/>
      <w:lang w:eastAsia="en-US" w:bidi="en-US"/>
    </w:rPr>
  </w:style>
  <w:style w:type="paragraph" w:styleId="42">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3">
    <w:name w:val="标题 Char1"/>
    <w:basedOn w:val="26"/>
    <w:link w:val="22"/>
    <w:qFormat/>
    <w:uiPriority w:val="10"/>
    <w:rPr>
      <w:rFonts w:eastAsia="宋体" w:asciiTheme="majorHAnsi" w:hAnsiTheme="majorHAnsi" w:cstheme="majorBidi"/>
      <w:b/>
      <w:bCs/>
      <w:sz w:val="32"/>
      <w:szCs w:val="32"/>
    </w:rPr>
  </w:style>
  <w:style w:type="character" w:customStyle="1" w:styleId="44">
    <w:name w:val="批注框文本 Char"/>
    <w:basedOn w:val="26"/>
    <w:link w:val="13"/>
    <w:semiHidden/>
    <w:qFormat/>
    <w:uiPriority w:val="99"/>
    <w:rPr>
      <w:rFonts w:ascii="Calibri" w:hAnsi="Calibri" w:eastAsia="宋体" w:cs="Times New Roman"/>
      <w:sz w:val="18"/>
      <w:szCs w:val="18"/>
    </w:rPr>
  </w:style>
  <w:style w:type="character" w:customStyle="1" w:styleId="45">
    <w:name w:val="文档结构图 Char"/>
    <w:basedOn w:val="26"/>
    <w:link w:val="9"/>
    <w:semiHidden/>
    <w:qFormat/>
    <w:uiPriority w:val="99"/>
    <w:rPr>
      <w:rFonts w:ascii="宋体" w:hAnsi="Calibri" w:eastAsia="宋体" w:cs="Times New Roman"/>
      <w:sz w:val="18"/>
      <w:szCs w:val="18"/>
    </w:rPr>
  </w:style>
  <w:style w:type="character" w:customStyle="1" w:styleId="46">
    <w:name w:val="标题 1 Char"/>
    <w:basedOn w:val="26"/>
    <w:link w:val="2"/>
    <w:qFormat/>
    <w:uiPriority w:val="9"/>
    <w:rPr>
      <w:rFonts w:eastAsia="宋体" w:cs="Times New Roman" w:asciiTheme="majorHAnsi" w:hAnsiTheme="majorHAnsi"/>
      <w:b/>
      <w:bCs/>
      <w:kern w:val="44"/>
      <w:sz w:val="44"/>
      <w:szCs w:val="44"/>
    </w:rPr>
  </w:style>
  <w:style w:type="paragraph" w:customStyle="1" w:styleId="47">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48">
    <w:name w:val="HTML 预设格式 Char"/>
    <w:basedOn w:val="26"/>
    <w:link w:val="20"/>
    <w:qFormat/>
    <w:uiPriority w:val="0"/>
    <w:rPr>
      <w:rFonts w:ascii="Arial" w:hAnsi="Arial" w:eastAsia="宋体" w:cs="Arial"/>
      <w:kern w:val="0"/>
      <w:szCs w:val="21"/>
    </w:rPr>
  </w:style>
  <w:style w:type="character" w:customStyle="1" w:styleId="49">
    <w:name w:val="标题 3 Char"/>
    <w:basedOn w:val="26"/>
    <w:link w:val="4"/>
    <w:qFormat/>
    <w:uiPriority w:val="9"/>
    <w:rPr>
      <w:rFonts w:eastAsia="宋体" w:cs="Times New Roman" w:asciiTheme="majorHAnsi" w:hAnsiTheme="majorHAnsi"/>
      <w:bCs/>
      <w:sz w:val="30"/>
      <w:szCs w:val="32"/>
    </w:rPr>
  </w:style>
  <w:style w:type="paragraph" w:customStyle="1" w:styleId="50">
    <w:name w:val="Char"/>
    <w:basedOn w:val="1"/>
    <w:next w:val="1"/>
    <w:qFormat/>
    <w:uiPriority w:val="0"/>
    <w:pPr>
      <w:widowControl/>
      <w:tabs>
        <w:tab w:val="left" w:pos="480"/>
      </w:tabs>
      <w:spacing w:after="160" w:line="240" w:lineRule="exact"/>
      <w:jc w:val="left"/>
    </w:pPr>
    <w:rPr>
      <w:rFonts w:ascii="Verdana" w:hAnsi="Verdana"/>
      <w:szCs w:val="20"/>
      <w:lang w:eastAsia="en-US"/>
    </w:rPr>
  </w:style>
  <w:style w:type="paragraph" w:styleId="51">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52">
    <w:name w:val="正文部分"/>
    <w:basedOn w:val="1"/>
    <w:qFormat/>
    <w:uiPriority w:val="0"/>
    <w:pPr>
      <w:spacing w:line="360" w:lineRule="auto"/>
      <w:ind w:firstLine="359" w:firstLineChars="171"/>
    </w:pPr>
    <w:rPr>
      <w:rFonts w:ascii="Times New Roman" w:hAnsi="Times New Roman"/>
      <w:szCs w:val="24"/>
    </w:rPr>
  </w:style>
  <w:style w:type="character" w:customStyle="1" w:styleId="53">
    <w:name w:val="批注文字 Char"/>
    <w:basedOn w:val="26"/>
    <w:link w:val="10"/>
    <w:semiHidden/>
    <w:uiPriority w:val="99"/>
    <w:rPr>
      <w:rFonts w:ascii="Calibri" w:hAnsi="Calibri" w:eastAsia="宋体" w:cs="Times New Roman"/>
    </w:rPr>
  </w:style>
  <w:style w:type="character" w:customStyle="1" w:styleId="54">
    <w:name w:val="批注主题 Char"/>
    <w:basedOn w:val="53"/>
    <w:link w:val="23"/>
    <w:semiHidden/>
    <w:uiPriority w:val="99"/>
    <w:rPr>
      <w:rFonts w:ascii="Calibri" w:hAnsi="Calibri" w:eastAsia="宋体" w:cs="Times New Roman"/>
      <w:b/>
      <w:bCs/>
    </w:rPr>
  </w:style>
  <w:style w:type="character" w:customStyle="1" w:styleId="55">
    <w:name w:val="标题 9 Char"/>
    <w:basedOn w:val="26"/>
    <w:link w:val="7"/>
    <w:semiHidden/>
    <w:uiPriority w:val="9"/>
    <w:rPr>
      <w:rFonts w:asciiTheme="majorHAnsi" w:hAnsiTheme="majorHAnsi" w:eastAsiaTheme="majorEastAsia" w:cstheme="majorBidi"/>
      <w:szCs w:val="21"/>
    </w:rPr>
  </w:style>
  <w:style w:type="paragraph" w:customStyle="1" w:styleId="56">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paragraph" w:customStyle="1" w:styleId="57">
    <w:name w:val="封面标准名"/>
    <w:next w:val="58"/>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58">
    <w:name w:val="封面标英名"/>
    <w:next w:val="59"/>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59">
    <w:name w:val="正文标题"/>
    <w:next w:val="1"/>
    <w:uiPriority w:val="0"/>
    <w:pPr>
      <w:numPr>
        <w:ilvl w:val="0"/>
        <w:numId w:val="1"/>
      </w:num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60">
    <w:name w:val="正文页脚"/>
    <w:uiPriority w:val="0"/>
    <w:pPr>
      <w:widowControl w:val="0"/>
      <w:jc w:val="center"/>
    </w:pPr>
    <w:rPr>
      <w:rFonts w:ascii="黑体" w:hAnsi="宋体" w:eastAsia="黑体" w:cs="Times New Roman"/>
      <w:kern w:val="2"/>
      <w:sz w:val="32"/>
      <w:szCs w:val="32"/>
      <w:lang w:val="en-US" w:eastAsia="zh-CN" w:bidi="ar-SA"/>
    </w:rPr>
  </w:style>
  <w:style w:type="character" w:customStyle="1" w:styleId="61">
    <w:name w:val="页眉 Char1"/>
    <w:basedOn w:val="26"/>
    <w:uiPriority w:val="0"/>
    <w:rPr>
      <w:rFonts w:ascii="Calibri" w:hAnsi="Calibri" w:eastAsia="宋体" w:cs="Times New Roman"/>
      <w:sz w:val="18"/>
      <w:szCs w:val="18"/>
    </w:rPr>
  </w:style>
  <w:style w:type="character" w:customStyle="1" w:styleId="62">
    <w:name w:val="页脚 Char1"/>
    <w:basedOn w:val="26"/>
    <w:uiPriority w:val="99"/>
    <w:rPr>
      <w:rFonts w:ascii="Calibri" w:hAnsi="Calibri" w:eastAsia="宋体" w:cs="Times New Roman"/>
      <w:sz w:val="18"/>
      <w:szCs w:val="18"/>
    </w:rPr>
  </w:style>
  <w:style w:type="paragraph" w:customStyle="1" w:styleId="63">
    <w:name w:val="Char Char1"/>
    <w:basedOn w:val="1"/>
    <w:uiPriority w:val="0"/>
    <w:pPr>
      <w:widowControl/>
      <w:spacing w:after="160" w:line="240" w:lineRule="exact"/>
      <w:jc w:val="left"/>
    </w:pPr>
    <w:rPr>
      <w:rFonts w:ascii="Arial" w:hAnsi="Arial"/>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emf"/><Relationship Id="rId12" Type="http://schemas.openxmlformats.org/officeDocument/2006/relationships/oleObject" Target="embeddings/oleObject1.bin"/><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1029"/>
    <customShpInfo spid="_x0000_s1028"/>
    <customShpInfo spid="_x0000_s1033"/>
    <customShpInfo spid="_x0000_s1031"/>
    <customShpInfo spid="_x0000_s1032"/>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2356</Words>
  <Characters>2497</Characters>
  <Lines>63</Lines>
  <Paragraphs>17</Paragraphs>
  <TotalTime>0</TotalTime>
  <ScaleCrop>false</ScaleCrop>
  <LinksUpToDate>false</LinksUpToDate>
  <CharactersWithSpaces>2664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NickCui</dc:creator>
  <cp:lastModifiedBy>申伶</cp:lastModifiedBy>
  <dcterms:modified xsi:type="dcterms:W3CDTF">2025-01-03T08:34:18Z</dcterms:modified>
  <cp:revision>304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1748C9FD908B4015BBDEFE16307AAE2C_12</vt:lpwstr>
  </property>
</Properties>
</file>